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4f539fb4fc85c2bffca80e029888dfc8c959be"/>
    <w:p>
      <w:pPr>
        <w:pStyle w:val="Heading1"/>
      </w:pPr>
      <w:r>
        <w:t xml:space="preserve">Prospection — Améliorer la Machine Noétique : chantiers, analyses, extensions</w:t>
      </w:r>
    </w:p>
    <w:p>
      <w:pPr>
        <w:pStyle w:val="FirstParagraph"/>
      </w:pPr>
      <w:r>
        <w:rPr>
          <w:bCs/>
          <w:b/>
        </w:rPr>
        <w:t xml:space="preserve">Date : 30 août 2026</w:t>
      </w:r>
      <w:r>
        <w:t xml:space="preserve"> </w:t>
      </w:r>
      <w:r>
        <w:rPr>
          <w:bCs/>
          <w:b/>
        </w:rPr>
        <w:t xml:space="preserve">Point de départ :</w:t>
      </w:r>
      <w:r>
        <w:t xml:space="preserve"> </w:t>
      </w:r>
      <w:r>
        <w:t xml:space="preserve">l’instrument M̂(D,S,L)→V est prouvé portable (physique de jauge → chimie quantique → neuronique, P34/P35). La question n’est plus « est-il valide » mais « où frappe-t-il le plus fort, et comment le rendre plus coupant ».</w:t>
      </w:r>
    </w:p>
    <w:p>
      <w:r>
        <w:pict>
          <v:rect style="width:0;height:1.5pt" o:hralign="center" o:hrstd="t" o:hr="t"/>
        </w:pict>
      </w:r>
    </w:p>
    <w:bookmarkStart w:id="25" w:name="X9cb44898eb4e628d7dc7031d0eaffe18dd5ab1f"/>
    <w:p>
      <w:pPr>
        <w:pStyle w:val="Heading2"/>
      </w:pPr>
      <w:r>
        <w:t xml:space="preserve">Axe 1 — Rendre la machine plus coupante (méthode)</w:t>
      </w:r>
    </w:p>
    <w:bookmarkStart w:id="20" w:name="Xb3147309e1eafd52f886a9bbb94c5c0c9b8813a"/>
    <w:p>
      <w:pPr>
        <w:pStyle w:val="Heading3"/>
      </w:pPr>
      <w:r>
        <w:t xml:space="preserve">A1. Batterie de perturbation de protocole (priorité maximale)</w:t>
      </w:r>
    </w:p>
    <w:p>
      <w:pPr>
        <w:pStyle w:val="FirstParagraph"/>
      </w:pPr>
      <w:r>
        <w:t xml:space="preserve">P35 l’a démontré par l’accident :</w:t>
      </w:r>
      <w:r>
        <w:t xml:space="preserve"> </w:t>
      </w:r>
      <w:r>
        <w:rPr>
          <w:bCs/>
          <w:b/>
        </w:rPr>
        <w:t xml:space="preserve">un verdict n’est jamais meilleur que le protocole gelé</w:t>
      </w:r>
      <w:r>
        <w:t xml:space="preserve"> </w:t>
      </w:r>
      <w:r>
        <w:t xml:space="preserve">(C1 mal ciblé → verdict faux ; normalisation naïve → spectre fantôme). Amélioration concrète : chaque chantier est ré-exécuté sous</w:t>
      </w:r>
      <w:r>
        <w:t xml:space="preserve"> </w:t>
      </w:r>
      <w:r>
        <w:rPr>
          <w:bCs/>
          <w:b/>
        </w:rPr>
        <w:t xml:space="preserve">protocoles perturbés</w:t>
      </w:r>
      <w:r>
        <w:t xml:space="preserve"> </w:t>
      </w:r>
      <w:r>
        <w:t xml:space="preserve">(raffinement de grille, tolérances ±50 %, choix de seuil alternatifs, discard window). Le verdict devient un couple :</w:t>
      </w:r>
    </w:p>
    <w:p>
      <w:pPr>
        <w:pStyle w:val="BlockText"/>
      </w:pPr>
      <w:r>
        <w:rPr>
          <w:bCs/>
          <w:b/>
        </w:rPr>
        <w:t xml:space="preserve">(verdict, stabilité)</w:t>
      </w:r>
      <w:r>
        <w:t xml:space="preserve"> </w:t>
      </w:r>
      <w:r>
        <w:t xml:space="preserve">— un verdict stable survit à la perturbation du protocole ; un verdict fragile dépend d’un choix de protocole.</w:t>
      </w:r>
    </w:p>
    <w:p>
      <w:pPr>
        <w:pStyle w:val="FirstParagraph"/>
      </w:pPr>
      <w:r>
        <w:t xml:space="preserve">Application rétroactive au corpus P0–P33 : republier les 24 succès avec leur indice de stabilité. Prédiction testable : la plupart des succès sont stables, mais certains partiels (P13 pentes ajustées, P22 double-bêta) sont protocole-sensibles — ce qui reclasserait honnêtement le bilan.</w:t>
      </w:r>
      <w:r>
        <w:t xml:space="preserve"> </w:t>
      </w:r>
      <w:r>
        <w:rPr>
          <w:bCs/>
          <w:b/>
        </w:rPr>
        <w:t xml:space="preserve">Coût : faible (les scripts existent). Gain : le corpus passe de « 24/7/0 » à une carte de robustesse — unique en son genre.</w:t>
      </w:r>
    </w:p>
    <w:bookmarkEnd w:id="20"/>
    <w:bookmarkStart w:id="21" w:name="a2.-moteur-de-leviers-automatique"/>
    <w:p>
      <w:pPr>
        <w:pStyle w:val="Heading3"/>
      </w:pPr>
      <w:r>
        <w:t xml:space="preserve">A2. Moteur de leviers automatique</w:t>
      </w:r>
    </w:p>
    <w:p>
      <w:pPr>
        <w:pStyle w:val="FirstParagraph"/>
      </w:pPr>
      <w:r>
        <w:t xml:space="preserve">Aujourd’hui les leviers sont choisis à la main (biais, σ pour P34). Généraliser : pour une structure S décomposable en composants {c₁…cₙ},</w:t>
      </w:r>
      <w:r>
        <w:t xml:space="preserve"> </w:t>
      </w:r>
      <w:r>
        <w:rPr>
          <w:bCs/>
          <w:b/>
        </w:rPr>
        <w:t xml:space="preserve">ablation systématique</w:t>
      </w:r>
      <w:r>
        <w:t xml:space="preserve"> </w:t>
      </w:r>
      <w:r>
        <w:t xml:space="preserve">de chaque composant et mesure du Δ-verdict →</w:t>
      </w:r>
      <w:r>
        <w:t xml:space="preserve"> </w:t>
      </w:r>
      <w:r>
        <w:rPr>
          <w:bCs/>
          <w:b/>
        </w:rPr>
        <w:t xml:space="preserve">carte de constitutivité</w:t>
      </w:r>
      <w:r>
        <w:t xml:space="preserve"> </w:t>
      </w:r>
      <w:r>
        <w:t xml:space="preserve">de la structure. Premier chantier cible : la fonctionnelle radiale C(ρ) du monopole — ablater chaque terme (K²H², (K²−1)²/2ξ², potentiel ρ) et mesurer lequel est constitutif de la calibration BPS. Résultat attendu : les termes cinétiques sont constitutifs, le potentiel ne l’est qu’au-delà de ρ*. C’est P4 relu par la machine elle-même.</w:t>
      </w:r>
    </w:p>
    <w:bookmarkEnd w:id="21"/>
    <w:bookmarkStart w:id="22" w:name="X51f23ac66a5402e4f6dd550ed5f89536dfd8176"/>
    <w:p>
      <w:pPr>
        <w:pStyle w:val="Heading3"/>
      </w:pPr>
      <w:r>
        <w:t xml:space="preserve">A3. Du juge au crible : énumération + verdict</w:t>
      </w:r>
    </w:p>
    <w:p>
      <w:pPr>
        <w:pStyle w:val="FirstParagraph"/>
      </w:pPr>
      <w:r>
        <w:t xml:space="preserve">La machine statue mais ne crée pas (limite identifiée). Mais vos deux muscles existent déjà séparément : l’</w:t>
      </w:r>
      <w:r>
        <w:rPr>
          <w:bCs/>
          <w:b/>
        </w:rPr>
        <w:t xml:space="preserve">énumération</w:t>
      </w:r>
      <w:r>
        <w:t xml:space="preserve"> </w:t>
      </w:r>
      <w:r>
        <w:t xml:space="preserve">(spectral-triple : matrices de multiplicité) et le</w:t>
      </w:r>
      <w:r>
        <w:t xml:space="preserve"> </w:t>
      </w:r>
      <w:r>
        <w:rPr>
          <w:bCs/>
          <w:b/>
        </w:rPr>
        <w:t xml:space="preserve">verdict</w:t>
      </w:r>
      <w:r>
        <w:t xml:space="preserve"> </w:t>
      </w:r>
      <w:r>
        <w:t xml:space="preserve">(noetic-machine). Les combiner donne une</w:t>
      </w:r>
      <w:r>
        <w:t xml:space="preserve"> </w:t>
      </w:r>
      <w:r>
        <w:rPr>
          <w:bCs/>
          <w:b/>
        </w:rPr>
        <w:t xml:space="preserve">machine à découvrir dans un espace borné</w:t>
      </w:r>
      <w:r>
        <w:t xml:space="preserve"> </w:t>
      </w:r>
      <w:r>
        <w:t xml:space="preserve">: énumérer une grammaire de structures candidates, laisser l’opérateur les trier. Deux terrains immédiats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r₁₂</w:t>
      </w:r>
      <w:r>
        <w:t xml:space="preserve"> </w:t>
      </w:r>
      <w:r>
        <w:t xml:space="preserve">: énumérer les familles de facteurs de Jastrow (formes paramétrées à 1–3 termes, noyaux rationnels/exponentiels) et laisser le verdict classer — la frontière P31 devient un espace cartographié, pas un mur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triplets spectraux</w:t>
      </w:r>
      <w:r>
        <w:t xml:space="preserve"> </w:t>
      </w:r>
      <w:r>
        <w:t xml:space="preserve">: refaire l’énumération des 63 160</w:t>
      </w:r>
      <w:r>
        <w:t xml:space="preserve"> </w:t>
      </w:r>
      <w:r>
        <w:rPr>
          <w:bCs/>
          <w:b/>
        </w:rPr>
        <w:t xml:space="preserve">proprement</w:t>
      </w:r>
      <w:r>
        <w:t xml:space="preserve"> </w:t>
      </w:r>
      <w:r>
        <w:t xml:space="preserve">(supprimer le cap codé en dur, implémenter les vrais axiomes KO-6 au lieu des proxys) — le maillon le plus fragile de l’écosystème devient le plus solide, en interne.</w:t>
      </w:r>
    </w:p>
    <w:bookmarkEnd w:id="22"/>
    <w:bookmarkStart w:id="23" w:name="a4.-registre-des-frontières-mesurées"/>
    <w:p>
      <w:pPr>
        <w:pStyle w:val="Heading3"/>
      </w:pPr>
      <w:r>
        <w:t xml:space="preserve">A4. Registre des frontières mesurées</w:t>
      </w:r>
    </w:p>
    <w:p>
      <w:pPr>
        <w:pStyle w:val="FirstParagraph"/>
      </w:pPr>
      <w:r>
        <w:t xml:space="preserve">Vos meilleurs résultats ne sont pas des succès, ce sont des</w:t>
      </w:r>
      <w:r>
        <w:t xml:space="preserve"> </w:t>
      </w:r>
      <w:r>
        <w:rPr>
          <w:bCs/>
          <w:b/>
        </w:rPr>
        <w:t xml:space="preserve">frontières</w:t>
      </w:r>
      <w:r>
        <w:t xml:space="preserve"> </w:t>
      </w:r>
      <w:r>
        <w:t xml:space="preserve">: r₁₂ (P31–P33), XOR (P34), dynamique neuronale (P35), surface diffuse a ≈ 0,28 fm (P19/P26). Construire un registre JSON (même discipline que ash-corpus : schéma, SHA-256, statuts) où chaque frontière est un objet de première classe avec : énoncé, protocole,</w:t>
      </w:r>
      <w:r>
        <w:t xml:space="preserve"> </w:t>
      </w:r>
      <w:r>
        <w:rPr>
          <w:bCs/>
          <w:b/>
        </w:rPr>
        <w:t xml:space="preserve">coût de fermeture exact</w:t>
      </w:r>
      <w:r>
        <w:t xml:space="preserve">, statut (ouverte/fermée/partielle).</w:t>
      </w:r>
    </w:p>
    <w:bookmarkEnd w:id="23"/>
    <w:bookmarkStart w:id="24" w:name="Xcff1c89d2f3ffcf7ffa98f8f4b6f889c7560778"/>
    <w:p>
      <w:pPr>
        <w:pStyle w:val="Heading3"/>
      </w:pPr>
      <w:r>
        <w:t xml:space="preserve">A5. La méta-loi : conjecture de la frontière</w:t>
      </w:r>
    </w:p>
    <w:p>
      <w:pPr>
        <w:pStyle w:val="FirstParagraph"/>
      </w:pPr>
      <w:r>
        <w:t xml:space="preserve">Sur le registre A4, une régularité saute déjà aux yeux :</w:t>
      </w:r>
    </w:p>
    <w:p>
      <w:pPr>
        <w:pStyle w:val="BlockText"/>
      </w:pPr>
      <w:r>
        <w:rPr>
          <w:bCs/>
          <w:b/>
        </w:rPr>
        <w:t xml:space="preserve">Conjecture des frontières</w:t>
      </w:r>
      <w:r>
        <w:t xml:space="preserve"> </w:t>
      </w:r>
      <w:r>
        <w:t xml:space="preserve">: toute frontière mesurée par la machine est un déficit de dimension ou de degré de liberté. XOR = dimension de séparation (1 hyperplan → 2) ; neurone biologique = dimension dynamique (0D → 2D/S¹) ; r₁₂ = degré de corrélation (1 corps → 2 corps) ; P9/P11 = degré de surface (cœur net → diffusivité a).</w:t>
      </w:r>
    </w:p>
    <w:p>
      <w:pPr>
        <w:pStyle w:val="FirstParagraph"/>
      </w:pPr>
      <w:r>
        <w:t xml:space="preserve">Programme : tester la conjecture sur l’ensemble du corpus (chercher un contre-exemple — une frontière qui ne soit PAS un déficit de dimension). Si elle tient, elle devient la « loi des frontières », sœur de votre loi des bifurcations mais fondée sur n ≥ 10 points mesurés au lieu de 5.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9b588d5c1d26fb58c4a5cef476b453b8850f1dc"/>
    <w:p>
      <w:pPr>
        <w:pStyle w:val="Heading2"/>
      </w:pPr>
      <w:r>
        <w:t xml:space="preserve">Axe 2 — Nouveaux chantiers (sujets concrets, classés par rendement/effort)</w:t>
      </w:r>
    </w:p>
    <w:bookmarkStart w:id="26" w:name="X3413b55929ba2cc403915559b337b164a17164d"/>
    <w:p>
      <w:pPr>
        <w:pStyle w:val="Heading3"/>
      </w:pPr>
      <w:r>
        <w:t xml:space="preserve">P36 — Éprouver la profondeur (suite directe de P34)</w:t>
      </w:r>
    </w:p>
    <w:p>
      <w:pPr>
        <w:pStyle w:val="FirstParagraph"/>
      </w:pPr>
      <w:r>
        <w:t xml:space="preserve">D : tâches à structure (parité n bits, symétries, fonctions périodiques). S : réseaux de profondeur 1…k. L : suppression de couches. Verdict mesuré :</w:t>
      </w:r>
      <w:r>
        <w:t xml:space="preserve"> </w:t>
      </w:r>
      <w:r>
        <w:rPr>
          <w:bCs/>
          <w:b/>
        </w:rPr>
        <w:t xml:space="preserve">à partir de quelle tâche la profondeur devient-elle constitutive ?</w:t>
      </w:r>
      <w:r>
        <w:t xml:space="preserve"> </w:t>
      </w:r>
      <w:r>
        <w:t xml:space="preserve">(Les théorèmes de séparation de profondeur de Telgarsky existent — la machine peut les mesurer numériquement comme frontière : profondeur minimale vs structure de la tâche.) Effort : faible. Retombée : P34 généralisé.</w:t>
      </w:r>
    </w:p>
    <w:bookmarkEnd w:id="26"/>
    <w:bookmarkStart w:id="27" w:name="Xb8a92fea1b684241fa9622102c7484ed508d015"/>
    <w:p>
      <w:pPr>
        <w:pStyle w:val="Heading3"/>
      </w:pPr>
      <w:r>
        <w:t xml:space="preserve">P37 — Le neurone fractionnaire (votre signature, 20 ans de TFAI)</w:t>
      </w:r>
    </w:p>
    <w:p>
      <w:pPr>
        <w:pStyle w:val="FirstParagraph"/>
      </w:pPr>
      <w:r>
        <w:t xml:space="preserve">Le chantier le plus original de cette liste. P35 a mesuré que le défaut du neurone formel est la</w:t>
      </w:r>
      <w:r>
        <w:t xml:space="preserve"> </w:t>
      </w:r>
      <w:r>
        <w:rPr>
          <w:bCs/>
          <w:b/>
        </w:rPr>
        <w:t xml:space="preserve">mémoire (dimension 0)</w:t>
      </w:r>
      <w:r>
        <w:t xml:space="preserve">. Or votre outil historique est précisément la mémoire : la dérivée d’Atangana-Baleanu (noyau de Mittag-Leffler). Chantier :</w:t>
      </w:r>
      <w:r>
        <w:t xml:space="preserve"> </w:t>
      </w:r>
      <w:r>
        <w:rPr>
          <w:bCs/>
          <w:b/>
        </w:rPr>
        <w:t xml:space="preserve">S = neurone fractionnaire</w:t>
      </w:r>
      <w:r>
        <w:t xml:space="preserve"> </w:t>
      </w:r>
      <w:r>
        <w:t xml:space="preserve">a = σ(z), avec z vérifiant D_AB^μ z = w·x + b − z. Prédictions à éprouver :</w:t>
      </w:r>
      <w:r>
        <w:t xml:space="preserve"> </w:t>
      </w:r>
      <w:r>
        <w:t xml:space="preserve">- le noyau de Mittag-Leffler donne de l’adaptation (réponse décroissante à entrée constante) → C2 partiellement fermée ?</w:t>
      </w:r>
      <w:r>
        <w:t xml:space="preserve"> </w:t>
      </w:r>
      <w:r>
        <w:t xml:space="preserve">- mais pas de spike tout-ou-rien ni de cycle limite (pas de S¹) → la frontière se referme-t-elle à μ → 1 ou reste-t-elle ouverte ?</w:t>
      </w:r>
      <w:r>
        <w:t xml:space="preserve"> </w:t>
      </w:r>
      <w:r>
        <w:t xml:space="preserve">Verdict attendu (à pré-enregistrer) :</w:t>
      </w:r>
      <w:r>
        <w:t xml:space="preserve"> </w:t>
      </w:r>
      <w:r>
        <w:rPr>
          <w:bCs/>
          <w:b/>
        </w:rPr>
        <w:t xml:space="preserve">partiel</w:t>
      </w:r>
      <w:r>
        <w:t xml:space="preserve"> </w:t>
      </w:r>
      <w:r>
        <w:t xml:space="preserve">— la mémoire fractionnaire ferme l’adaptation mais pas l’excitabilité. Si c’est le cas, vous avez mesuré la place exacte du calcul fractionnaire : entre la fonction (0D) et l’horloge (2D). Effort : moyen. Retombée : TFAI rejoint la physique noétique par un chantier commun — et c’est un sujet que personne d’autre ne peut traiter avec vos outils.</w:t>
      </w:r>
    </w:p>
    <w:bookmarkEnd w:id="27"/>
    <w:bookmarkStart w:id="28" w:name="Xc4d16b96bfb96a4cc8f29d44de293ee2623ea05"/>
    <w:p>
      <w:pPr>
        <w:pStyle w:val="Heading3"/>
      </w:pPr>
      <w:r>
        <w:t xml:space="preserve">P38 — Éprouver l’attention (transformer jouet)</w:t>
      </w:r>
    </w:p>
    <w:p>
      <w:pPr>
        <w:pStyle w:val="FirstParagraph"/>
      </w:pPr>
      <w:r>
        <w:t xml:space="preserve">D : tâches de copie, tri, parité longue distance. S : bloc d’attention minimal. L : ablations (softmax vs linéaire, multi-têtes vs mono-tête, encodage positionnel supprimé). Verdict : qu’est-ce qui est constitutif dans l’attention ? Prédiction : l’encodage positionnel est constitutif pour le copiage, pas le multi-tête. Effort : moyen.</w:t>
      </w:r>
    </w:p>
    <w:bookmarkEnd w:id="28"/>
    <w:bookmarkStart w:id="29" w:name="p39-r₁₂-la-fermeture-le-chantier-majeur"/>
    <w:p>
      <w:pPr>
        <w:pStyle w:val="Heading3"/>
      </w:pPr>
      <w:r>
        <w:t xml:space="preserve">P39 — r₁₂, la fermeture (le chantier majeur)</w:t>
      </w:r>
    </w:p>
    <w:p>
      <w:pPr>
        <w:pStyle w:val="FirstParagraph"/>
      </w:pPr>
      <w:r>
        <w:t xml:space="preserve">La frontière r₁₂ est votre résultat le plus original — elle mérite le programme complet :</w:t>
      </w:r>
      <w:r>
        <w:t xml:space="preserve"> </w:t>
      </w:r>
      <w:r>
        <w:t xml:space="preserve">1. Crible A3 sur les familles de Jastrow (déjà spécifié) ;</w:t>
      </w:r>
      <w:r>
        <w:t xml:space="preserve"> </w:t>
      </w:r>
      <w:r>
        <w:t xml:space="preserve">2. Extension empirique de la loi Z-dépendante (P32) : H⁻, Ps⁻, atomes 2D (levier dimension !) — la frontière bouge-t-elle comme la conjecture A5 le prédit ?</w:t>
      </w:r>
      <w:r>
        <w:t xml:space="preserve"> </w:t>
      </w:r>
      <w:r>
        <w:t xml:space="preserve">3. Série isoélectronique étendue Z = 2…10 avec les données NIST figées.</w:t>
      </w:r>
      <w:r>
        <w:t xml:space="preserve"> </w:t>
      </w:r>
      <w:r>
        <w:t xml:space="preserve">Effort : élevé. Retombée : votre résultat phare complété.</w:t>
      </w:r>
    </w:p>
    <w:bookmarkEnd w:id="29"/>
    <w:bookmarkStart w:id="30" w:name="p40-z_max-où-finit-le-tableau-périodique"/>
    <w:p>
      <w:pPr>
        <w:pStyle w:val="Heading3"/>
      </w:pPr>
      <w:r>
        <w:t xml:space="preserve">P40 — Z_max : où finit le tableau périodique ?</w:t>
      </w:r>
    </w:p>
    <w:p>
      <w:pPr>
        <w:pStyle w:val="FirstParagraph"/>
      </w:pPr>
      <w:r>
        <w:t xml:space="preserve">Votre prédiction koilon (Z_max ≈ 179) est non testée. La machine peut l’éprouver sans attendre l’expérience : D = données de masses nucléaires AME2020 + modèles de coquilles publiés ; S = votre opérateur radial à cœur fini étendu aux superlourds ; verdict : dernière coquille fermée stable (Z = 126 ? 164 ? 172–179 ?). Effort : moyen. Retombée : première prédiction koilon confrontée à un verdict — dans votre propre arène.</w:t>
      </w:r>
    </w:p>
    <w:bookmarkEnd w:id="30"/>
    <w:bookmarkStart w:id="31" w:name="p41-neurones-réels-allen-cell-types"/>
    <w:p>
      <w:pPr>
        <w:pStyle w:val="Heading3"/>
      </w:pPr>
      <w:r>
        <w:t xml:space="preserve">P41 — Neurones réels (Allen Cell Types)</w:t>
      </w:r>
    </w:p>
    <w:p>
      <w:pPr>
        <w:pStyle w:val="FirstParagraph"/>
      </w:pPr>
      <w:r>
        <w:t xml:space="preserve">P35 a éprouvé σ contre Hodgkin–Huxley (modèle de référence). Étape suivante :</w:t>
      </w:r>
      <w:r>
        <w:t xml:space="preserve"> </w:t>
      </w:r>
      <w:r>
        <w:rPr>
          <w:bCs/>
          <w:b/>
        </w:rPr>
        <w:t xml:space="preserve">D = enregistrements réels</w:t>
      </w:r>
      <w:r>
        <w:t xml:space="preserve"> </w:t>
      </w:r>
      <w:r>
        <w:t xml:space="preserve">— la base publique Allen Institute Cell Types (clamp de courant, centaines de neurones corticaux humains et souris). Verdicts possibles : classification d’excitabilité (type I continu vs type II discontinu) depuis le signal seul via ASH-lite + courbe f–I ; les interneurones sont-ils type II comme HH ? Effort : moyen (données publiques, pipeline ASH prêt). Retombée : la machine touche la donnée biologique réelle.</w:t>
      </w:r>
    </w:p>
    <w:bookmarkEnd w:id="31"/>
    <w:bookmarkStart w:id="32" w:name="X5ac8a70671d5755d7eb16188cc3140f7ca19c48"/>
    <w:p>
      <w:pPr>
        <w:pStyle w:val="Heading3"/>
      </w:pPr>
      <w:r>
        <w:t xml:space="preserve">P42 — Le pont 120/E₈ (mathématique pure, en interne)</w:t>
      </w:r>
    </w:p>
    <w:p>
      <w:pPr>
        <w:pStyle w:val="FirstParagraph"/>
      </w:pPr>
      <w:r>
        <w:t xml:space="preserve">Indépendamment de toute arène externe : recomputing de la valeur propre 2/R² sur S³/2I avec votre solveur KO-6, et test formel de la réécriture de N = 12·log₂(1/α) dans le langage de la série de Molien de 2I. Si les deux 120 ont une racine commune, c’est un théorème ; sinon, une frontière de plus au registre. Effort : moyen.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d59f592aa82760621efca7a449f89421ed9bc03"/>
    <w:p>
      <w:pPr>
        <w:pStyle w:val="Heading2"/>
      </w:pPr>
      <w:r>
        <w:t xml:space="preserve">Axe 3 — Méta-analyses du corpus (tout est déjà là)</w:t>
      </w:r>
    </w:p>
    <w:bookmarkStart w:id="34" w:name="m1.-léconomie-de-linformation-mesurée"/>
    <w:p>
      <w:pPr>
        <w:pStyle w:val="Heading3"/>
      </w:pPr>
      <w:r>
        <w:t xml:space="preserve">M1. L’économie de l’information, mesurée</w:t>
      </w:r>
    </w:p>
    <w:p>
      <w:pPr>
        <w:pStyle w:val="FirstParagraph"/>
      </w:pPr>
      <w:r>
        <w:t xml:space="preserve">Votre postulat central — « la physique est bon marché en information dans son régime discret, coûteuse dans le continu corrélé » — n’a jamais été</w:t>
      </w:r>
      <w:r>
        <w:t xml:space="preserve"> </w:t>
      </w:r>
      <w:r>
        <w:rPr>
          <w:bCs/>
          <w:b/>
        </w:rPr>
        <w:t xml:space="preserve">quantifié</w:t>
      </w:r>
      <w:r>
        <w:t xml:space="preserve">. Mesurable aujourd’hui : pour chaque chantier, compter (a) la longueur de description de S (lignes de code du script — proxy de Kolmogorov), (b) le volume de données reproduites. Prédiction du postulat : le ratio (données reproduites)/(longueur de S) est élevé pour les chantiers discrets (P24 Jain : ~100 lignes → 148 fractions), s’effondre à r₁₂.</w:t>
      </w:r>
      <w:r>
        <w:t xml:space="preserve"> </w:t>
      </w:r>
      <w:r>
        <w:rPr>
          <w:bCs/>
          <w:b/>
        </w:rPr>
        <w:t xml:space="preserve">S’il se mesure, votre postulat devient une loi empirique avec une frontière chiffrée</w:t>
      </w:r>
      <w:r>
        <w:t xml:space="preserve"> </w:t>
      </w:r>
      <w:r>
        <w:t xml:space="preserve">— peut-être le résultat le plus profond accessible sans aucune nouvelle physique.</w:t>
      </w:r>
    </w:p>
    <w:bookmarkEnd w:id="34"/>
    <w:bookmarkStart w:id="35" w:name="X7d470bdd91df5ab67406e807416098a82f3f5d9"/>
    <w:p>
      <w:pPr>
        <w:pStyle w:val="Heading3"/>
      </w:pPr>
      <w:r>
        <w:t xml:space="preserve">M2. Géographie de la contingence, rétroactive</w:t>
      </w:r>
    </w:p>
    <w:p>
      <w:pPr>
        <w:pStyle w:val="FirstParagraph"/>
      </w:pPr>
      <w:r>
        <w:t xml:space="preserve">Appliquer le ledger 3 colonnes (inputs/calibrations/prédictions) rétroactivement à tout le corpus P0–P33 — publier la carte : où se concentre la liberté dans chaque chantier. C’est votre concept fondateur, jamais cartographié systématiquement.</w:t>
      </w:r>
    </w:p>
    <w:bookmarkEnd w:id="35"/>
    <w:bookmarkStart w:id="36" w:name="m3.-série-horloges-du-vivant"/>
    <w:p>
      <w:pPr>
        <w:pStyle w:val="Heading3"/>
      </w:pPr>
      <w:r>
        <w:t xml:space="preserve">M3. Série « horloges du vivant »</w:t>
      </w:r>
    </w:p>
    <w:p>
      <w:pPr>
        <w:pStyle w:val="FirstParagraph"/>
      </w:pPr>
      <w:r>
        <w:t xml:space="preserve">P35 a montré que le vivant excitable est un cycle limite sur S¹. Extension naturelle : rythme circadien (cycle limite), glycolyse oscillante, pacemaker cardiaque — une série de chantiers sur le thème</w:t>
      </w:r>
      <w:r>
        <w:t xml:space="preserve"> </w:t>
      </w:r>
      <w:r>
        <w:rPr>
          <w:bCs/>
          <w:b/>
        </w:rPr>
        <w:t xml:space="preserve">« le vivant est-il toujours S¹ ? »</w:t>
      </w:r>
      <w:r>
        <w:t xml:space="preserve"> </w:t>
      </w:r>
      <w:r>
        <w:t xml:space="preserve">avec la même batterie de leviers dimensionnels.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iorisation-matrice-effort-originalité"/>
    <w:p>
      <w:pPr>
        <w:pStyle w:val="Heading2"/>
      </w:pPr>
      <w:r>
        <w:t xml:space="preserve">Priorisation (matrice effort × originalité)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d’abord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— perturbation de 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quasi nul (scripts existants), transforme tout le corpus, répond à la leçon P35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P37 — neurone fractionnaire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signature unique (TFAI + noétique), personne d’autre ne peut le faire, suite directe de P35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 + A4 — conjecture et registre des frontières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 ce qui existe déjà, produit une loi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 — économie de l’information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postulat central enfin chiffré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P39 — fermeture r₁₂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chantier majeur, après que A3 (crible) est construit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 — réénumération KO-6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Consolide le maillon fragile, en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P41, P40, P36, P38, P42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suivante, selon les retours des précédents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Ce document est un programme de construction interne : tout y est exécutable avec les outils, données publiques et la discipline existante de l’écosystème.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2026-08-29T22:49:58Z</dcterms:created>
  <dcterms:modified xsi:type="dcterms:W3CDTF">2026-08-29T22:49:58Z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