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3600"/>
          </w:tcPr>
          <w:p>
            <w:r>
              <w:t>दिनांक</w:t>
            </w:r>
          </w:p>
        </w:tc>
        <w:tc>
          <w:tcPr>
            <w:tcW w:type="dxa" w:w="785"/>
          </w:tcPr>
          <w:p>
            <w:r>
              <w:t xml:space="preserve">अिधकतम लक </w:t>
            </w:r>
          </w:p>
        </w:tc>
        <w:tc>
          <w:tcPr>
            <w:tcW w:type="dxa" w:w="785"/>
          </w:tcPr>
          <w:p>
            <w:r>
              <w:t>नतम तालक</w:t>
            </w:r>
          </w:p>
        </w:tc>
        <w:tc>
          <w:tcPr>
            <w:tcW w:type="dxa" w:w="785"/>
          </w:tcPr>
          <w:p>
            <w:r>
              <w:t>औसत</w:t>
            </w:r>
          </w:p>
        </w:tc>
        <w:tc>
          <w:tcPr>
            <w:tcW w:type="dxa" w:w="785"/>
          </w:tcPr>
          <w:p>
            <w:r>
              <w:t xml:space="preserve">% of time 49.9 से कम </w:t>
            </w:r>
          </w:p>
        </w:tc>
        <w:tc>
          <w:tcPr>
            <w:tcW w:type="dxa" w:w="785"/>
          </w:tcPr>
          <w:p>
            <w:r>
              <w:t xml:space="preserve">% of time 49.9 से 50.05 तक </w:t>
            </w:r>
          </w:p>
        </w:tc>
        <w:tc>
          <w:tcPr>
            <w:tcW w:type="dxa" w:w="785"/>
          </w:tcPr>
          <w:p>
            <w:r>
              <w:t xml:space="preserve">% of time 50.05 से उपर </w:t>
            </w:r>
          </w:p>
        </w:tc>
        <w:tc>
          <w:tcPr>
            <w:tcW w:type="dxa" w:w="785"/>
          </w:tcPr>
          <w:p>
            <w:r>
              <w:t>Percentage of Time Frequency Remained outside IEGC Band</w:t>
            </w:r>
          </w:p>
        </w:tc>
        <w:tc>
          <w:tcPr>
            <w:tcW w:type="dxa" w:w="785"/>
          </w:tcPr>
          <w:p>
            <w:r>
              <w:t xml:space="preserve">No’s of hours frequency remained outside IEGC Band </w:t>
            </w:r>
          </w:p>
        </w:tc>
        <w:tc>
          <w:tcPr>
            <w:tcW w:type="dxa" w:w="785"/>
          </w:tcPr>
          <w:p>
            <w:r>
              <w:t xml:space="preserve">FDI=No. of hours out of IEGC band/24Hrs </w:t>
            </w:r>
          </w:p>
        </w:tc>
        <w:tc>
          <w:tcPr>
            <w:tcW w:type="dxa" w:w="785"/>
          </w:tcPr>
          <w:p>
            <w:r>
              <w:t xml:space="preserve">Weekly FDI=No. of hours out of IEGC band/24*7Hrs </w:t>
            </w:r>
          </w:p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