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Russia stock index: IMOEX.ME</w:t>
      </w:r>
    </w:p>
    <w:p w:rsidR="00000000" w:rsidDel="00000000" w:rsidP="00000000" w:rsidRDefault="00000000" w:rsidRPr="00000000" w14:paraId="00000002">
      <w:pPr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Finance Sector: </w:t>
      </w:r>
    </w:p>
    <w:p w:rsidR="00000000" w:rsidDel="00000000" w:rsidP="00000000" w:rsidRDefault="00000000" w:rsidRPr="00000000" w14:paraId="00000004">
      <w:pPr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1. sherbank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ROSDOR BANK AO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AOBANK "KUZNECKIY"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AKB "AVANGARD"</w:t>
      </w:r>
    </w:p>
    <w:p w:rsidR="00000000" w:rsidDel="00000000" w:rsidP="00000000" w:rsidRDefault="00000000" w:rsidRPr="00000000" w14:paraId="00000008">
      <w:pPr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Russia energy corporation:</w:t>
      </w:r>
    </w:p>
    <w:p w:rsidR="00000000" w:rsidDel="00000000" w:rsidP="00000000" w:rsidRDefault="00000000" w:rsidRPr="00000000" w14:paraId="0000000A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1. Gazprom (OGZPY) </w:t>
      </w:r>
    </w:p>
    <w:p w:rsidR="00000000" w:rsidDel="00000000" w:rsidP="00000000" w:rsidRDefault="00000000" w:rsidRPr="00000000" w14:paraId="0000000B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2. Rosneft (OJSCY) </w:t>
      </w:r>
    </w:p>
    <w:p w:rsidR="00000000" w:rsidDel="00000000" w:rsidP="00000000" w:rsidRDefault="00000000" w:rsidRPr="00000000" w14:paraId="0000000C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3. Lukoil (LUKOY) </w:t>
      </w:r>
    </w:p>
    <w:p w:rsidR="00000000" w:rsidDel="00000000" w:rsidP="00000000" w:rsidRDefault="00000000" w:rsidRPr="00000000" w14:paraId="0000000D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Communication Company</w:t>
      </w:r>
    </w:p>
    <w:p w:rsidR="00000000" w:rsidDel="00000000" w:rsidP="00000000" w:rsidRDefault="00000000" w:rsidRPr="00000000" w14:paraId="0000000F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1. Mobile TeleSystems Public Joint Stock Company (MTSS.ME)</w:t>
      </w:r>
    </w:p>
    <w:p w:rsidR="00000000" w:rsidDel="00000000" w:rsidP="00000000" w:rsidRDefault="00000000" w:rsidRPr="00000000" w14:paraId="00000010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2. beeline.ru. Owned by PJSC VimpelCom</w:t>
      </w:r>
    </w:p>
    <w:p w:rsidR="00000000" w:rsidDel="00000000" w:rsidP="00000000" w:rsidRDefault="00000000" w:rsidRPr="00000000" w14:paraId="00000011">
      <w:pPr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color w:val="131722"/>
          <w:sz w:val="24"/>
          <w:szCs w:val="24"/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12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After we decided on the company, we get the price of data from Yahoo and specified the date of 1/3/2022 to 8/4/2022</w:t>
      </w:r>
    </w:p>
    <w:p w:rsidR="00000000" w:rsidDel="00000000" w:rsidP="00000000" w:rsidRDefault="00000000" w:rsidRPr="00000000" w14:paraId="00000016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We collect all the closed prices for each stock and put them into one single CSV file.</w:t>
      </w:r>
    </w:p>
    <w:p w:rsidR="00000000" w:rsidDel="00000000" w:rsidP="00000000" w:rsidRDefault="00000000" w:rsidRPr="00000000" w14:paraId="00000018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color w:val="131722"/>
          <w:sz w:val="24"/>
          <w:szCs w:val="24"/>
          <w:rtl w:val="0"/>
        </w:rPr>
        <w:t xml:space="preserve">https://www.investing.com/equities/rosdorbank-pao-historical-data</w:t>
      </w:r>
    </w:p>
    <w:p w:rsidR="00000000" w:rsidDel="00000000" w:rsidP="00000000" w:rsidRDefault="00000000" w:rsidRPr="00000000" w14:paraId="0000001B">
      <w:pPr>
        <w:spacing w:line="276" w:lineRule="auto"/>
        <w:rPr>
          <w:color w:val="1317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color w:val="1317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