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800"/>
        <w:jc w:val="center"/>
      </w:pPr>
      <w:r>
        <w:rPr>
          <w:rFonts w:ascii="Times New Roman" w:hAnsi="Times New Roman" w:eastAsia="Times New Roman" w:cs="Times New Roman"/>
          <w:b/>
          <w:sz w:val="32"/>
        </w:rPr>
        <w:t>100Plante</w:t>
      </w:r>
    </w:p>
    <w:p>
      <w:pPr>
        <w:jc w:val="center"/>
      </w:pPr>
      <w:r>
        <w:rPr>
          <w:rFonts w:ascii="Times New Roman" w:hAnsi="Times New Roman" w:eastAsia="Times New Roman" w:cs="Times New Roman"/>
          <w:sz w:val="24"/>
        </w:rPr>
        <w:t>Détection de maladies sur feuilles de plantes par transfert d’apprentissage</w:t>
      </w:r>
    </w:p>
    <w:p>
      <w:pPr>
        <w:spacing w:before="800"/>
        <w:jc w:val="center"/>
      </w:pPr>
      <w:r>
        <w:rPr>
          <w:rFonts w:ascii="Times New Roman" w:hAnsi="Times New Roman" w:eastAsia="Times New Roman" w:cs="Times New Roman"/>
          <w:b/>
          <w:sz w:val="28"/>
        </w:rPr>
        <w:t>Tutoriel d’utilisation</w:t>
      </w:r>
    </w:p>
    <w:p>
      <w:pPr>
        <w:spacing w:before="1800" w:after="40"/>
        <w:jc w:val="center"/>
      </w:pPr>
      <w:r>
        <w:rPr>
          <w:rFonts w:ascii="Times New Roman" w:hAnsi="Times New Roman" w:eastAsia="Times New Roman" w:cs="Times New Roman"/>
          <w:sz w:val="24"/>
        </w:rPr>
        <w:t>Dépôt du code : https://github.com/POUKONE/100Plante</w:t>
      </w:r>
    </w:p>
    <w:p>
      <w:pPr>
        <w:spacing w:after="40"/>
        <w:jc w:val="center"/>
      </w:pPr>
      <w:r>
        <w:rPr>
          <w:rFonts w:ascii="Times New Roman" w:hAnsi="Times New Roman" w:eastAsia="Times New Roman" w:cs="Times New Roman"/>
          <w:sz w:val="24"/>
        </w:rPr>
        <w:t>Application : https://100-plante.vercel.app</w:t>
      </w:r>
    </w:p>
    <w:p>
      <w:pPr>
        <w:spacing w:after="40"/>
        <w:jc w:val="center"/>
      </w:pPr>
      <w:r>
        <w:rPr>
          <w:rFonts w:ascii="Times New Roman" w:hAnsi="Times New Roman" w:eastAsia="Times New Roman" w:cs="Times New Roman"/>
          <w:sz w:val="24"/>
        </w:rPr>
        <w:t>Date du document : 10 octobre 2026</w:t>
      </w:r>
    </w:p>
    <w:p>
      <w:r>
        <w:br w:type="page"/>
      </w:r>
    </w:p>
    <w:p>
      <w:pPr>
        <w:spacing w:after="240"/>
      </w:pPr>
      <w:r>
        <w:rPr>
          <w:rFonts w:ascii="Times New Roman" w:hAnsi="Times New Roman" w:eastAsia="Times New Roman" w:cs="Times New Roman"/>
          <w:b/>
          <w:sz w:val="32"/>
        </w:rPr>
        <w:t>Table des matières</w:t>
      </w:r>
    </w:p>
    <w:p>
      <w:pPr>
        <w:spacing w:after="40" w:line="276" w:lineRule="auto"/>
        <w:ind w:left="0"/>
      </w:pPr>
      <w:r>
        <w:fldChar w:fldCharType="begin" w:dirty="true"/>
      </w:r>
      <w:r>
        <w:instrText xml:space="preserve"> TOC \o "1-2" \h \z \u </w:instrText>
      </w:r>
      <w:r>
        <w:fldChar w:fldCharType="separate"/>
      </w:r>
      <w:r>
        <w:rPr>
          <w:rFonts w:ascii="Times New Roman" w:hAnsi="Times New Roman" w:eastAsia="Times New Roman" w:cs="Times New Roman"/>
          <w:b/>
        </w:rPr>
        <w:t>1. Qu’est-ce que 100Plante ?</w:t>
      </w:r>
    </w:p>
    <w:p>
      <w:pPr>
        <w:spacing w:after="40" w:line="276" w:lineRule="auto"/>
        <w:ind w:left="0"/>
      </w:pPr>
      <w:r>
        <w:rPr>
          <w:rFonts w:ascii="Times New Roman" w:hAnsi="Times New Roman" w:eastAsia="Times New Roman" w:cs="Times New Roman"/>
          <w:b/>
        </w:rPr>
        <w:t>2. Utiliser l’application pas à pas</w:t>
      </w:r>
    </w:p>
    <w:p>
      <w:pPr>
        <w:spacing w:after="40" w:line="276" w:lineRule="auto"/>
        <w:ind w:left="510"/>
      </w:pPr>
      <w:r>
        <w:rPr>
          <w:rFonts w:ascii="Times New Roman" w:hAnsi="Times New Roman" w:eastAsia="Times New Roman" w:cs="Times New Roman"/>
          <w:b w:val="0"/>
        </w:rPr>
        <w:t>2.1 Avant de commencer</w:t>
      </w:r>
    </w:p>
    <w:p>
      <w:pPr>
        <w:spacing w:after="40" w:line="276" w:lineRule="auto"/>
        <w:ind w:left="510"/>
      </w:pPr>
      <w:r>
        <w:rPr>
          <w:rFonts w:ascii="Times New Roman" w:hAnsi="Times New Roman" w:eastAsia="Times New Roman" w:cs="Times New Roman"/>
          <w:b w:val="0"/>
        </w:rPr>
        <w:t>2.2 Étape 1 : ouvrir la démonstration</w:t>
      </w:r>
    </w:p>
    <w:p>
      <w:pPr>
        <w:spacing w:after="40" w:line="276" w:lineRule="auto"/>
        <w:ind w:left="510"/>
      </w:pPr>
      <w:r>
        <w:rPr>
          <w:rFonts w:ascii="Times New Roman" w:hAnsi="Times New Roman" w:eastAsia="Times New Roman" w:cs="Times New Roman"/>
          <w:b w:val="0"/>
        </w:rPr>
        <w:t>2.3 Étape 2 : fournir la photo</w:t>
      </w:r>
    </w:p>
    <w:p>
      <w:pPr>
        <w:spacing w:after="40" w:line="276" w:lineRule="auto"/>
        <w:ind w:left="510"/>
      </w:pPr>
      <w:r>
        <w:rPr>
          <w:rFonts w:ascii="Times New Roman" w:hAnsi="Times New Roman" w:eastAsia="Times New Roman" w:cs="Times New Roman"/>
          <w:b w:val="0"/>
        </w:rPr>
        <w:t>2.4 Étape 3 : ouvrir le diagnostic</w:t>
      </w:r>
    </w:p>
    <w:p>
      <w:pPr>
        <w:spacing w:after="40" w:line="276" w:lineRule="auto"/>
        <w:ind w:left="510"/>
      </w:pPr>
      <w:r>
        <w:rPr>
          <w:rFonts w:ascii="Times New Roman" w:hAnsi="Times New Roman" w:eastAsia="Times New Roman" w:cs="Times New Roman"/>
          <w:b w:val="0"/>
        </w:rPr>
        <w:t>2.5 Lire le diagnostic</w:t>
      </w:r>
    </w:p>
    <w:p>
      <w:pPr>
        <w:spacing w:after="40" w:line="276" w:lineRule="auto"/>
        <w:ind w:left="510"/>
      </w:pPr>
      <w:r>
        <w:rPr>
          <w:rFonts w:ascii="Times New Roman" w:hAnsi="Times New Roman" w:eastAsia="Times New Roman" w:cs="Times New Roman"/>
          <w:b w:val="0"/>
        </w:rPr>
        <w:t>2.6 Bien interpréter le résultat</w:t>
      </w:r>
    </w:p>
    <w:p>
      <w:pPr>
        <w:spacing w:after="40" w:line="276" w:lineRule="auto"/>
        <w:ind w:left="0"/>
      </w:pPr>
      <w:r>
        <w:rPr>
          <w:rFonts w:ascii="Times New Roman" w:hAnsi="Times New Roman" w:eastAsia="Times New Roman" w:cs="Times New Roman"/>
          <w:b/>
        </w:rPr>
        <w:t>3. Utiliser l’API directement</w:t>
      </w:r>
    </w:p>
    <w:p>
      <w:pPr>
        <w:spacing w:after="40" w:line="276" w:lineRule="auto"/>
        <w:ind w:left="510"/>
      </w:pPr>
      <w:r>
        <w:rPr>
          <w:rFonts w:ascii="Times New Roman" w:hAnsi="Times New Roman" w:eastAsia="Times New Roman" w:cs="Times New Roman"/>
          <w:b w:val="0"/>
        </w:rPr>
        <w:t>3.1 Vérifier que le service répond</w:t>
      </w:r>
    </w:p>
    <w:p>
      <w:pPr>
        <w:spacing w:after="40" w:line="276" w:lineRule="auto"/>
        <w:ind w:left="510"/>
      </w:pPr>
      <w:r>
        <w:rPr>
          <w:rFonts w:ascii="Times New Roman" w:hAnsi="Times New Roman" w:eastAsia="Times New Roman" w:cs="Times New Roman"/>
          <w:b w:val="0"/>
        </w:rPr>
        <w:t>3.2 Analyser une image</w:t>
      </w:r>
    </w:p>
    <w:p>
      <w:pPr>
        <w:spacing w:after="40" w:line="276" w:lineRule="auto"/>
        <w:ind w:left="0"/>
      </w:pPr>
      <w:r>
        <w:rPr>
          <w:rFonts w:ascii="Times New Roman" w:hAnsi="Times New Roman" w:eastAsia="Times New Roman" w:cs="Times New Roman"/>
          <w:b/>
        </w:rPr>
        <w:t>4. Lancer le projet sur son ordinateur</w:t>
      </w:r>
    </w:p>
    <w:p>
      <w:pPr>
        <w:spacing w:after="40" w:line="276" w:lineRule="auto"/>
        <w:ind w:left="510"/>
      </w:pPr>
      <w:r>
        <w:rPr>
          <w:rFonts w:ascii="Times New Roman" w:hAnsi="Times New Roman" w:eastAsia="Times New Roman" w:cs="Times New Roman"/>
          <w:b w:val="0"/>
        </w:rPr>
        <w:t>4.1 Le backend (API)</w:t>
      </w:r>
    </w:p>
    <w:p>
      <w:pPr>
        <w:spacing w:after="40" w:line="276" w:lineRule="auto"/>
        <w:ind w:left="510"/>
      </w:pPr>
      <w:r>
        <w:rPr>
          <w:rFonts w:ascii="Times New Roman" w:hAnsi="Times New Roman" w:eastAsia="Times New Roman" w:cs="Times New Roman"/>
          <w:b w:val="0"/>
        </w:rPr>
        <w:t>4.2 Le frontend (interface)</w:t>
      </w:r>
    </w:p>
    <w:p>
      <w:pPr>
        <w:spacing w:after="40" w:line="276" w:lineRule="auto"/>
        <w:ind w:left="510"/>
      </w:pPr>
      <w:r>
        <w:rPr>
          <w:rFonts w:ascii="Times New Roman" w:hAnsi="Times New Roman" w:eastAsia="Times New Roman" w:cs="Times New Roman"/>
          <w:b w:val="0"/>
        </w:rPr>
        <w:t>4.3 Vérifier</w:t>
      </w:r>
    </w:p>
    <w:p>
      <w:pPr>
        <w:spacing w:after="40" w:line="276" w:lineRule="auto"/>
        <w:ind w:left="0"/>
      </w:pPr>
      <w:r>
        <w:rPr>
          <w:rFonts w:ascii="Times New Roman" w:hAnsi="Times New Roman" w:eastAsia="Times New Roman" w:cs="Times New Roman"/>
          <w:b/>
        </w:rPr>
        <w:t>5. En cas de problème</w:t>
      </w:r>
      <w:r>
        <w:fldChar w:fldCharType="end"/>
      </w:r>
    </w:p>
    <w:p>
      <w:r>
        <w:br w:type="page"/>
      </w:r>
    </w:p>
    <w:p>
      <w:pPr>
        <w:pStyle w:val="Heading1"/>
      </w:pPr>
      <w:r>
        <w:t>1. Qu’est-ce que 100Plante ?</w:t>
      </w:r>
    </w:p>
    <w:p>
      <w:r>
        <w:rPr>
          <w:rFonts w:ascii="Times New Roman" w:hAnsi="Times New Roman" w:eastAsia="Times New Roman" w:cs="Times New Roman"/>
        </w:rPr>
        <w:t>100Plante est une application web qui repère, à partir d’une photo de feuille, si une plante est saine ou atteinte d’une maladie, et laquelle. Elle s’appuie sur un modèle d’apprentissage automatique (MobileNetV2, entraîné sur le jeu de données public PlantVillage, environ 54 300 images) qui distingue 38 états sanitaires répartis sur 14 espèces : pomme, myrtille, cerise, maïs, raisin, orange, pêche, poivron, pomme de terre, framboise, soja, courge, fraise et tomate.</w:t>
      </w:r>
    </w:p>
    <w:p>
      <w:r>
        <w:rPr>
          <w:rFonts w:ascii="Times New Roman" w:hAnsi="Times New Roman" w:eastAsia="Times New Roman" w:cs="Times New Roman"/>
        </w:rPr>
        <w:t>Pour chaque photo, l’application affiche le diagnostic, un niveau de confiance, les trois hypothèses les plus probables, une fiche qui explique la maladie (agent pathogène, symptômes, propagation) et la fiabilité mesurée du système pour ce type de diagnostic. Elle ne propose pas de traitement. Sur 8 179 photos de test, le modèle a donné la bonne réponse dans 96,47 % des cas ; ces photos étaient prises en laboratoire.</w:t>
      </w:r>
    </w:p>
    <w:p>
      <w:r>
        <w:rPr>
          <w:rFonts w:ascii="Times New Roman" w:hAnsi="Times New Roman" w:eastAsia="Times New Roman" w:cs="Times New Roman"/>
        </w:rPr>
        <w:t>L’application est en ligne à l’adresse https://100-plante.vercel.app. Son code est public : https://github.com/POUKONE/100Plante.</w:t>
      </w:r>
    </w:p>
    <w:p>
      <w:pPr>
        <w:pStyle w:val="Heading1"/>
      </w:pPr>
      <w:r>
        <w:t>2. Utiliser l’application pas à pas</w:t>
      </w:r>
    </w:p>
    <w:p>
      <w:pPr>
        <w:pStyle w:val="Heading2"/>
      </w:pPr>
      <w:r>
        <w:t>2.1 Avant de commencer</w:t>
      </w:r>
    </w:p>
    <w:p>
      <w:pPr>
        <w:pStyle w:val="ListBullet"/>
      </w:pPr>
      <w:r>
        <w:rPr>
          <w:rFonts w:ascii="Times New Roman" w:hAnsi="Times New Roman" w:eastAsia="Times New Roman" w:cs="Times New Roman"/>
        </w:rPr>
        <w:t>Utilisez la photo d’</w:t>
      </w:r>
      <w:r>
        <w:rPr>
          <w:rFonts w:ascii="Times New Roman" w:hAnsi="Times New Roman" w:eastAsia="Times New Roman" w:cs="Times New Roman"/>
          <w:b/>
        </w:rPr>
        <w:t>une seule feuille</w:t>
      </w:r>
      <w:r>
        <w:rPr>
          <w:rFonts w:ascii="Times New Roman" w:hAnsi="Times New Roman" w:eastAsia="Times New Roman" w:cs="Times New Roman"/>
        </w:rPr>
        <w:t>, de préférence nette, bien éclairée et sur un fond uni : c’est le type d’image sur lequel le modèle a été entraîné et évalué.</w:t>
      </w:r>
    </w:p>
    <w:p>
      <w:pPr>
        <w:pStyle w:val="ListBullet"/>
      </w:pPr>
      <w:r>
        <w:rPr>
          <w:rFonts w:ascii="Times New Roman" w:hAnsi="Times New Roman" w:eastAsia="Times New Roman" w:cs="Times New Roman"/>
        </w:rPr>
        <w:t xml:space="preserve">Le fichier doit être au format </w:t>
      </w:r>
      <w:r>
        <w:rPr>
          <w:rFonts w:ascii="Times New Roman" w:hAnsi="Times New Roman" w:eastAsia="Times New Roman" w:cs="Times New Roman"/>
          <w:b/>
        </w:rPr>
        <w:t>JPEG ou PNG</w:t>
      </w:r>
      <w:r>
        <w:rPr>
          <w:rFonts w:ascii="Times New Roman" w:hAnsi="Times New Roman" w:eastAsia="Times New Roman" w:cs="Times New Roman"/>
        </w:rPr>
        <w:t xml:space="preserve"> et peser </w:t>
      </w:r>
      <w:r>
        <w:rPr>
          <w:rFonts w:ascii="Times New Roman" w:hAnsi="Times New Roman" w:eastAsia="Times New Roman" w:cs="Times New Roman"/>
          <w:b/>
        </w:rPr>
        <w:t>10 Mo au plus</w:t>
      </w:r>
      <w:r>
        <w:rPr>
          <w:rFonts w:ascii="Times New Roman" w:hAnsi="Times New Roman" w:eastAsia="Times New Roman" w:cs="Times New Roman"/>
        </w:rPr>
        <w:t>.</w:t>
      </w:r>
    </w:p>
    <w:p>
      <w:pPr>
        <w:pStyle w:val="ListBullet"/>
      </w:pPr>
      <w:r>
        <w:rPr>
          <w:rFonts w:ascii="Times New Roman" w:hAnsi="Times New Roman" w:eastAsia="Times New Roman" w:cs="Times New Roman"/>
        </w:rPr>
        <w:t>Aucun compte n’est nécessaire. La photo est envoyée au serveur d’analyse (API) ; l’application n’en conserve pas de copie côté serveur. Un exemplaire réduit reste dans votre navigateur le temps de la session, pour afficher le résultat.</w:t>
      </w:r>
    </w:p>
    <w:p>
      <w:pPr>
        <w:pStyle w:val="Heading2"/>
      </w:pPr>
      <w:r>
        <w:t>2.2 Étape 1 : ouvrir la démonstration</w:t>
      </w:r>
    </w:p>
    <w:p>
      <w:r>
        <w:rPr>
          <w:rFonts w:ascii="Times New Roman" w:hAnsi="Times New Roman" w:eastAsia="Times New Roman" w:cs="Times New Roman"/>
        </w:rPr>
        <w:t xml:space="preserve">Sur la page d’accueil, cliquez sur le bouton </w:t>
      </w:r>
      <w:r>
        <w:rPr>
          <w:rFonts w:ascii="Times New Roman" w:hAnsi="Times New Roman" w:eastAsia="Times New Roman" w:cs="Times New Roman"/>
          <w:b/>
        </w:rPr>
        <w:t>Tester une photo</w:t>
      </w:r>
      <w:r>
        <w:rPr>
          <w:rFonts w:ascii="Times New Roman" w:hAnsi="Times New Roman" w:eastAsia="Times New Roman" w:cs="Times New Roman"/>
        </w:rPr>
        <w:t>. La page d’accueil présente aussi les 14 espèces couvertes et une section « Comment ça marche » (lien « Voir la méthodologie »). Vous arrivez sur la page de démonstration, intitulée « Importez une photo de feuille », « Étape 1 / 3 ».</w:t>
      </w:r>
    </w:p>
    <w:p>
      <w:pPr>
        <w:pStyle w:val="Heading2"/>
      </w:pPr>
      <w:r>
        <w:t>2.3 Étape 2 : fournir la photo</w:t>
      </w:r>
    </w:p>
    <w:p>
      <w:r>
        <w:rPr>
          <w:rFonts w:ascii="Times New Roman" w:hAnsi="Times New Roman" w:eastAsia="Times New Roman" w:cs="Times New Roman"/>
        </w:rPr>
        <w:t>Quatre possibilités s’offrent à vous sur la page de démonstration :</w:t>
      </w:r>
    </w:p>
    <w:p>
      <w:pPr>
        <w:tabs>
          <w:tab w:pos="510" w:val="left"/>
        </w:tabs>
        <w:spacing w:after="60"/>
        <w:ind w:left="510" w:hanging="510"/>
      </w:pPr>
      <w:r>
        <w:rPr>
          <w:rFonts w:ascii="Times New Roman" w:hAnsi="Times New Roman" w:eastAsia="Times New Roman" w:cs="Times New Roman"/>
        </w:rPr>
        <w:t>1.</w:t>
        <w:tab/>
      </w:r>
      <w:r>
        <w:rPr>
          <w:rFonts w:ascii="Times New Roman" w:hAnsi="Times New Roman" w:eastAsia="Times New Roman" w:cs="Times New Roman"/>
          <w:b/>
        </w:rPr>
        <w:t>Prendre une photo.</w:t>
      </w:r>
      <w:r>
        <w:rPr>
          <w:rFonts w:ascii="Times New Roman" w:hAnsi="Times New Roman" w:eastAsia="Times New Roman" w:cs="Times New Roman"/>
        </w:rPr>
        <w:t xml:space="preserve"> Le bouton « Prendre une photo » ouvre l’appareil photo sur un téléphone ou une tablette. Sur ordinateur, le comportement dépend du navigateur.</w:t>
      </w:r>
    </w:p>
    <w:p>
      <w:pPr>
        <w:tabs>
          <w:tab w:pos="510" w:val="left"/>
        </w:tabs>
        <w:spacing w:after="60"/>
        <w:ind w:left="510" w:hanging="510"/>
      </w:pPr>
      <w:r>
        <w:rPr>
          <w:rFonts w:ascii="Times New Roman" w:hAnsi="Times New Roman" w:eastAsia="Times New Roman" w:cs="Times New Roman"/>
        </w:rPr>
        <w:t>2.</w:t>
        <w:tab/>
      </w:r>
      <w:r>
        <w:rPr>
          <w:rFonts w:ascii="Times New Roman" w:hAnsi="Times New Roman" w:eastAsia="Times New Roman" w:cs="Times New Roman"/>
          <w:b/>
        </w:rPr>
        <w:t>Choisir un fichier.</w:t>
      </w:r>
      <w:r>
        <w:rPr>
          <w:rFonts w:ascii="Times New Roman" w:hAnsi="Times New Roman" w:eastAsia="Times New Roman" w:cs="Times New Roman"/>
        </w:rPr>
        <w:t xml:space="preserve"> Le bouton « Choisir un fichier » ouvre le sélecteur de fichiers de l’appareil.</w:t>
      </w:r>
    </w:p>
    <w:p>
      <w:pPr>
        <w:tabs>
          <w:tab w:pos="510" w:val="left"/>
        </w:tabs>
        <w:spacing w:after="60"/>
        <w:ind w:left="510" w:hanging="510"/>
      </w:pPr>
      <w:r>
        <w:rPr>
          <w:rFonts w:ascii="Times New Roman" w:hAnsi="Times New Roman" w:eastAsia="Times New Roman" w:cs="Times New Roman"/>
        </w:rPr>
        <w:t>3.</w:t>
        <w:tab/>
      </w:r>
      <w:r>
        <w:rPr>
          <w:rFonts w:ascii="Times New Roman" w:hAnsi="Times New Roman" w:eastAsia="Times New Roman" w:cs="Times New Roman"/>
          <w:b/>
        </w:rPr>
        <w:t>Glisser-déposer.</w:t>
      </w:r>
      <w:r>
        <w:rPr>
          <w:rFonts w:ascii="Times New Roman" w:hAnsi="Times New Roman" w:eastAsia="Times New Roman" w:cs="Times New Roman"/>
        </w:rPr>
        <w:t xml:space="preserve"> Déposez une image dans la zone « Glissez une photo ici ».</w:t>
      </w:r>
    </w:p>
    <w:p>
      <w:pPr>
        <w:tabs>
          <w:tab w:pos="510" w:val="left"/>
        </w:tabs>
        <w:spacing w:after="60"/>
        <w:ind w:left="510" w:hanging="510"/>
      </w:pPr>
      <w:r>
        <w:rPr>
          <w:rFonts w:ascii="Times New Roman" w:hAnsi="Times New Roman" w:eastAsia="Times New Roman" w:cs="Times New Roman"/>
        </w:rPr>
        <w:t>4.</w:t>
        <w:tab/>
      </w:r>
      <w:r>
        <w:rPr>
          <w:rFonts w:ascii="Times New Roman" w:hAnsi="Times New Roman" w:eastAsia="Times New Roman" w:cs="Times New Roman"/>
          <w:b/>
        </w:rPr>
        <w:t>Essayer un exemple.</w:t>
      </w:r>
      <w:r>
        <w:rPr>
          <w:rFonts w:ascii="Times New Roman" w:hAnsi="Times New Roman" w:eastAsia="Times New Roman" w:cs="Times New Roman"/>
        </w:rPr>
        <w:t xml:space="preserve"> Sous « Ou essayer », deux vignettes (feuille de tomate, feuille de pomme de terre) lancent l’analyse sans fichier à fournir.</w:t>
      </w:r>
    </w:p>
    <w:p>
      <w:r>
        <w:rPr>
          <w:rFonts w:ascii="Times New Roman" w:hAnsi="Times New Roman" w:eastAsia="Times New Roman" w:cs="Times New Roman"/>
        </w:rPr>
        <w:t>L’analyse démarre dès que la photo est choisie. La page affiche l’étape « Analyse de l’échantillon » (étape 2 sur 3), des messages d’avancement (« Lecture de l’image… », « Extraction des caractéristiques… », « Classification en cours… ») et un chronomètre en millisecondes.</w:t>
      </w:r>
    </w:p>
    <w:p>
      <w:pPr>
        <w:pStyle w:val="Heading2"/>
      </w:pPr>
      <w:r>
        <w:t>2.4 Étape 3 : ouvrir le diagnostic</w:t>
      </w:r>
    </w:p>
    <w:p>
      <w:r>
        <w:rPr>
          <w:rFonts w:ascii="Times New Roman" w:hAnsi="Times New Roman" w:eastAsia="Times New Roman" w:cs="Times New Roman"/>
        </w:rPr>
        <w:t xml:space="preserve">Quand l’analyse est terminée, la page indique « Diagnostic prêt » avec le niveau de confiance (« confiance élevée » ou « confiance faible ») et son pourcentage. Cliquez sur </w:t>
      </w:r>
      <w:r>
        <w:rPr>
          <w:rFonts w:ascii="Times New Roman" w:hAnsi="Times New Roman" w:eastAsia="Times New Roman" w:cs="Times New Roman"/>
          <w:b/>
        </w:rPr>
        <w:t>Voir le diagnostic</w:t>
      </w:r>
      <w:r>
        <w:rPr>
          <w:rFonts w:ascii="Times New Roman" w:hAnsi="Times New Roman" w:eastAsia="Times New Roman" w:cs="Times New Roman"/>
        </w:rPr>
        <w:t>. Le lien « Recommencer avec une autre photo » permet de repartir de zéro.</w:t>
      </w:r>
    </w:p>
    <w:p>
      <w:pPr>
        <w:pStyle w:val="Heading2"/>
      </w:pPr>
      <w:r>
        <w:t>2.5 Lire le diagnostic</w:t>
      </w:r>
    </w:p>
    <w:p>
      <w:pPr>
        <w:pStyle w:val="Legende"/>
        <w:keepNext/>
        <w:spacing w:before="120" w:after="80"/>
      </w:pPr>
      <w:r>
        <w:rPr>
          <w:rFonts w:ascii="Times New Roman" w:hAnsi="Times New Roman" w:eastAsia="Times New Roman" w:cs="Times New Roman"/>
          <w:b/>
          <w:sz w:val="21"/>
        </w:rPr>
        <w:t>Tableau 1.</w:t>
      </w:r>
      <w:r>
        <w:rPr>
          <w:rFonts w:ascii="Times New Roman" w:hAnsi="Times New Roman" w:eastAsia="Times New Roman" w:cs="Times New Roman"/>
          <w:sz w:val="21"/>
        </w:rPr>
        <w:t xml:space="preserve"> Éléments de la page de résultat.</w:t>
      </w:r>
    </w:p>
    <w:tbl>
      <w:tblPr>
        <w:tblStyle w:val="TableGrid"/>
        <w:tblW w:type="auto" w:w="0"/>
        <w:jc w:val="left"/>
        <w:tblLayout w:type="fixed"/>
        <w:tblLook w:firstColumn="1" w:firstRow="1" w:lastColumn="0" w:lastRow="0" w:noHBand="0" w:noVBand="1" w:val="04A0"/>
      </w:tblPr>
      <w:tblGrid>
        <w:gridCol w:w="4536"/>
        <w:gridCol w:w="4536"/>
      </w:tblGrid>
      <w:tr>
        <w:trPr>
          <w:tblHeader w:val="true"/>
        </w:trPr>
        <w:tc>
          <w:tcPr>
            <w:tcW w:type="dxa" w:w="2993"/>
          </w:tcPr>
          <w:p>
            <w:pPr>
              <w:pStyle w:val="Cellule"/>
            </w:pPr>
            <w:r>
              <w:rPr>
                <w:rFonts w:ascii="Times New Roman" w:hAnsi="Times New Roman" w:eastAsia="Times New Roman" w:cs="Times New Roman"/>
                <w:b/>
                <w:sz w:val="21"/>
              </w:rPr>
              <w:t>Élément à l’écran</w:t>
            </w:r>
          </w:p>
        </w:tc>
        <w:tc>
          <w:tcPr>
            <w:tcW w:type="dxa" w:w="6077"/>
          </w:tcPr>
          <w:p>
            <w:pPr>
              <w:pStyle w:val="Cellule"/>
            </w:pPr>
            <w:r>
              <w:rPr>
                <w:rFonts w:ascii="Times New Roman" w:hAnsi="Times New Roman" w:eastAsia="Times New Roman" w:cs="Times New Roman"/>
                <w:b/>
                <w:sz w:val="21"/>
              </w:rPr>
              <w:t>Ce qu’il signifie</w:t>
            </w:r>
          </w:p>
        </w:tc>
      </w:tr>
      <w:tr>
        <w:trPr>
          <w:cantSplit w:val="true"/>
        </w:trPr>
        <w:tc>
          <w:tcPr>
            <w:tcW w:type="dxa" w:w="2993"/>
          </w:tcPr>
          <w:p>
            <w:pPr>
              <w:pStyle w:val="Cellule"/>
            </w:pPr>
            <w:r>
              <w:rPr>
                <w:rFonts w:ascii="Times New Roman" w:hAnsi="Times New Roman" w:eastAsia="Times New Roman" w:cs="Times New Roman"/>
                <w:sz w:val="21"/>
              </w:rPr>
              <w:t>Photo analysée</w:t>
            </w:r>
          </w:p>
        </w:tc>
        <w:tc>
          <w:tcPr>
            <w:tcW w:type="dxa" w:w="6077"/>
          </w:tcPr>
          <w:p>
            <w:pPr>
              <w:pStyle w:val="Cellule"/>
            </w:pPr>
            <w:r>
              <w:rPr>
                <w:rFonts w:ascii="Times New Roman" w:hAnsi="Times New Roman" w:eastAsia="Times New Roman" w:cs="Times New Roman"/>
                <w:sz w:val="21"/>
              </w:rPr>
              <w:t>La copie réduite de votre image.</w:t>
            </w:r>
          </w:p>
        </w:tc>
      </w:tr>
      <w:tr>
        <w:trPr>
          <w:cantSplit w:val="true"/>
        </w:trPr>
        <w:tc>
          <w:tcPr>
            <w:tcW w:type="dxa" w:w="2993"/>
          </w:tcPr>
          <w:p>
            <w:pPr>
              <w:pStyle w:val="Cellule"/>
            </w:pPr>
            <w:r>
              <w:rPr>
                <w:rFonts w:ascii="Times New Roman" w:hAnsi="Times New Roman" w:eastAsia="Times New Roman" w:cs="Times New Roman"/>
                <w:sz w:val="21"/>
              </w:rPr>
              <w:t>« Feuille saine » ou « Maladie détectée »</w:t>
            </w:r>
          </w:p>
        </w:tc>
        <w:tc>
          <w:tcPr>
            <w:tcW w:type="dxa" w:w="6077"/>
          </w:tcPr>
          <w:p>
            <w:pPr>
              <w:pStyle w:val="Cellule"/>
            </w:pPr>
            <w:r>
              <w:rPr>
                <w:rFonts w:ascii="Times New Roman" w:hAnsi="Times New Roman" w:eastAsia="Times New Roman" w:cs="Times New Roman"/>
                <w:sz w:val="21"/>
              </w:rPr>
              <w:t>Verdict général, suivi du nom de l’état en français (espèce et maladie).</w:t>
            </w:r>
          </w:p>
        </w:tc>
      </w:tr>
      <w:tr>
        <w:trPr>
          <w:cantSplit w:val="true"/>
        </w:trPr>
        <w:tc>
          <w:tcPr>
            <w:tcW w:type="dxa" w:w="2993"/>
          </w:tcPr>
          <w:p>
            <w:pPr>
              <w:pStyle w:val="Cellule"/>
            </w:pPr>
            <w:r>
              <w:rPr>
                <w:rFonts w:ascii="Times New Roman" w:hAnsi="Times New Roman" w:eastAsia="Times New Roman" w:cs="Times New Roman"/>
                <w:sz w:val="21"/>
              </w:rPr>
              <w:t>Anneau de confiance (pourcentage)</w:t>
            </w:r>
          </w:p>
        </w:tc>
        <w:tc>
          <w:tcPr>
            <w:tcW w:type="dxa" w:w="6077"/>
          </w:tcPr>
          <w:p>
            <w:pPr>
              <w:pStyle w:val="Cellule"/>
            </w:pPr>
            <w:r>
              <w:rPr>
                <w:rFonts w:ascii="Times New Roman" w:hAnsi="Times New Roman" w:eastAsia="Times New Roman" w:cs="Times New Roman"/>
                <w:sz w:val="21"/>
              </w:rPr>
              <w:t>La probabilité que le modèle attribue à son diagnostic. Au-dessus de 70 %, le message indique un score net. En dessous, il invite à comparer avec les trois hypothèses avant de conclure.</w:t>
            </w:r>
          </w:p>
        </w:tc>
      </w:tr>
      <w:tr>
        <w:trPr>
          <w:cantSplit w:val="true"/>
        </w:trPr>
        <w:tc>
          <w:tcPr>
            <w:tcW w:type="dxa" w:w="2993"/>
          </w:tcPr>
          <w:p>
            <w:pPr>
              <w:pStyle w:val="Cellule"/>
            </w:pPr>
            <w:r>
              <w:rPr>
                <w:rFonts w:ascii="Times New Roman" w:hAnsi="Times New Roman" w:eastAsia="Times New Roman" w:cs="Times New Roman"/>
                <w:sz w:val="21"/>
              </w:rPr>
              <w:t>Fiabilité « excellente », « bonne » ou « moyenne »</w:t>
            </w:r>
          </w:p>
        </w:tc>
        <w:tc>
          <w:tcPr>
            <w:tcW w:type="dxa" w:w="6077"/>
          </w:tcPr>
          <w:p>
            <w:pPr>
              <w:pStyle w:val="Cellule"/>
            </w:pPr>
            <w:r>
              <w:rPr>
                <w:rFonts w:ascii="Times New Roman" w:hAnsi="Times New Roman" w:eastAsia="Times New Roman" w:cs="Times New Roman"/>
                <w:sz w:val="21"/>
              </w:rPr>
              <w:t>Mesure faite sur les 8 179 photos de test : quand le système annonce ce diagnostic, il a raison dans X % des cas. Elle dépend de la maladie et non de votre photo.</w:t>
            </w:r>
          </w:p>
        </w:tc>
      </w:tr>
      <w:tr>
        <w:trPr>
          <w:cantSplit w:val="true"/>
        </w:trPr>
        <w:tc>
          <w:tcPr>
            <w:tcW w:type="dxa" w:w="2993"/>
          </w:tcPr>
          <w:p>
            <w:pPr>
              <w:pStyle w:val="Cellule"/>
            </w:pPr>
            <w:r>
              <w:rPr>
                <w:rFonts w:ascii="Times New Roman" w:hAnsi="Times New Roman" w:eastAsia="Times New Roman" w:cs="Times New Roman"/>
                <w:sz w:val="21"/>
              </w:rPr>
              <w:t>« À savoir »</w:t>
            </w:r>
          </w:p>
        </w:tc>
        <w:tc>
          <w:tcPr>
            <w:tcW w:type="dxa" w:w="6077"/>
          </w:tcPr>
          <w:p>
            <w:pPr>
              <w:pStyle w:val="Cellule"/>
            </w:pPr>
            <w:r>
              <w:rPr>
                <w:rFonts w:ascii="Times New Roman" w:hAnsi="Times New Roman" w:eastAsia="Times New Roman" w:cs="Times New Roman"/>
                <w:sz w:val="21"/>
              </w:rPr>
              <w:t>Apparaît pour certaines maladies que le système confond parfois avec d’autres, dont les symptômes se ressemblent. Si cette confusion figure parmi les hypothèses, comparez-les.</w:t>
            </w:r>
          </w:p>
        </w:tc>
      </w:tr>
      <w:tr>
        <w:trPr>
          <w:cantSplit w:val="true"/>
        </w:trPr>
        <w:tc>
          <w:tcPr>
            <w:tcW w:type="dxa" w:w="2993"/>
          </w:tcPr>
          <w:p>
            <w:pPr>
              <w:pStyle w:val="Cellule"/>
            </w:pPr>
            <w:r>
              <w:rPr>
                <w:rFonts w:ascii="Times New Roman" w:hAnsi="Times New Roman" w:eastAsia="Times New Roman" w:cs="Times New Roman"/>
                <w:sz w:val="21"/>
              </w:rPr>
              <w:t>Fiche de la maladie</w:t>
            </w:r>
          </w:p>
        </w:tc>
        <w:tc>
          <w:tcPr>
            <w:tcW w:type="dxa" w:w="6077"/>
          </w:tcPr>
          <w:p>
            <w:pPr>
              <w:pStyle w:val="Cellule"/>
            </w:pPr>
            <w:r>
              <w:rPr>
                <w:rFonts w:ascii="Times New Roman" w:hAnsi="Times New Roman" w:eastAsia="Times New Roman" w:cs="Times New Roman"/>
                <w:sz w:val="21"/>
              </w:rPr>
              <w:t>Agent pathogène, symptômes, mode de propagation. Information générale, sans recommandation de traitement.</w:t>
            </w:r>
          </w:p>
        </w:tc>
      </w:tr>
      <w:tr>
        <w:trPr>
          <w:cantSplit w:val="true"/>
        </w:trPr>
        <w:tc>
          <w:tcPr>
            <w:tcW w:type="dxa" w:w="2993"/>
          </w:tcPr>
          <w:p>
            <w:pPr>
              <w:pStyle w:val="Cellule"/>
            </w:pPr>
            <w:r>
              <w:rPr>
                <w:rFonts w:ascii="Times New Roman" w:hAnsi="Times New Roman" w:eastAsia="Times New Roman" w:cs="Times New Roman"/>
                <w:sz w:val="21"/>
              </w:rPr>
              <w:t>Trois hypothèses</w:t>
            </w:r>
          </w:p>
        </w:tc>
        <w:tc>
          <w:tcPr>
            <w:tcW w:type="dxa" w:w="6077"/>
          </w:tcPr>
          <w:p>
            <w:pPr>
              <w:pStyle w:val="Cellule"/>
            </w:pPr>
            <w:r>
              <w:rPr>
                <w:rFonts w:ascii="Times New Roman" w:hAnsi="Times New Roman" w:eastAsia="Times New Roman" w:cs="Times New Roman"/>
                <w:sz w:val="21"/>
              </w:rPr>
              <w:t>Les trois états les plus probables, avec leur pourcentage, sous forme de barres.</w:t>
            </w:r>
          </w:p>
        </w:tc>
      </w:tr>
      <w:tr>
        <w:trPr>
          <w:cantSplit w:val="true"/>
        </w:trPr>
        <w:tc>
          <w:tcPr>
            <w:tcW w:type="dxa" w:w="2993"/>
          </w:tcPr>
          <w:p>
            <w:pPr>
              <w:pStyle w:val="Cellule"/>
            </w:pPr>
            <w:r>
              <w:rPr>
                <w:rFonts w:ascii="Times New Roman" w:hAnsi="Times New Roman" w:eastAsia="Times New Roman" w:cs="Times New Roman"/>
                <w:sz w:val="21"/>
              </w:rPr>
              <w:t>« Tester une nouvelle image » et « Nouvelle analyse »</w:t>
            </w:r>
          </w:p>
        </w:tc>
        <w:tc>
          <w:tcPr>
            <w:tcW w:type="dxa" w:w="6077"/>
          </w:tcPr>
          <w:p>
            <w:pPr>
              <w:pStyle w:val="Cellule"/>
            </w:pPr>
            <w:r>
              <w:rPr>
                <w:rFonts w:ascii="Times New Roman" w:hAnsi="Times New Roman" w:eastAsia="Times New Roman" w:cs="Times New Roman"/>
                <w:sz w:val="21"/>
              </w:rPr>
              <w:t>Retour à la page de démonstration pour une autre photo.</w:t>
            </w:r>
          </w:p>
        </w:tc>
      </w:tr>
    </w:tbl>
    <w:p>
      <w:pPr>
        <w:spacing w:after="0" w:lineRule="exact" w:line="200"/>
      </w:pPr>
    </w:p>
    <w:p>
      <w:pPr>
        <w:pStyle w:val="Heading2"/>
      </w:pPr>
      <w:r>
        <w:t>2.6 Bien interpréter le résultat</w:t>
      </w:r>
    </w:p>
    <w:p>
      <w:pPr>
        <w:pStyle w:val="ListBullet"/>
      </w:pPr>
      <w:r>
        <w:rPr>
          <w:rFonts w:ascii="Times New Roman" w:hAnsi="Times New Roman" w:eastAsia="Times New Roman" w:cs="Times New Roman"/>
        </w:rPr>
        <w:t>Le modèle répond toujours par l’un des 38 états. Une photo qui n’est pas une feuille, ou une espèce hors de la liste de 14, recevra tout de même un diagnostic, sans valeur. L’application ne détecte pas ces cas.</w:t>
      </w:r>
    </w:p>
    <w:p>
      <w:pPr>
        <w:pStyle w:val="ListBullet"/>
      </w:pPr>
      <w:r>
        <w:rPr>
          <w:rFonts w:ascii="Times New Roman" w:hAnsi="Times New Roman" w:eastAsia="Times New Roman" w:cs="Times New Roman"/>
        </w:rPr>
        <w:t>Les performances annoncées viennent de photos de laboratoire. Sur une photo prise au champ, elles ne sont pas démontrées : un résultat est une indication, pas un avis d’expert.</w:t>
      </w:r>
    </w:p>
    <w:p>
      <w:pPr>
        <w:pStyle w:val="ListBullet"/>
      </w:pPr>
      <w:r>
        <w:rPr>
          <w:rFonts w:ascii="Times New Roman" w:hAnsi="Times New Roman" w:eastAsia="Times New Roman" w:cs="Times New Roman"/>
        </w:rPr>
        <w:t>Les maladies voisines, surtout chez la tomate, sont plus souvent confondues. Regardez les trois hypothèses et, en cas de doute ou d’enjeu important, consultez un conseiller agricole ou un spécialiste.</w:t>
      </w:r>
    </w:p>
    <w:p>
      <w:pPr>
        <w:pStyle w:val="Heading1"/>
      </w:pPr>
      <w:r>
        <w:t>3. Utiliser l’API directement</w:t>
      </w:r>
    </w:p>
    <w:p>
      <w:r>
        <w:rPr>
          <w:rFonts w:ascii="Times New Roman" w:hAnsi="Times New Roman" w:eastAsia="Times New Roman" w:cs="Times New Roman"/>
        </w:rPr>
        <w:t xml:space="preserve">Le service d’analyse est accessible sans l’interface, à l’adresse https://100plante-backend.fly.dev. Sa documentation interactive est générée par FastAPI à la page </w:t>
      </w:r>
      <w:r>
        <w:rPr>
          <w:rFonts w:ascii="Courier New" w:hAnsi="Courier New" w:eastAsia="Courier New" w:cs="Courier New"/>
          <w:sz w:val="21"/>
        </w:rPr>
        <w:t>/docs</w:t>
      </w:r>
      <w:r>
        <w:rPr>
          <w:rFonts w:ascii="Times New Roman" w:hAnsi="Times New Roman" w:eastAsia="Times New Roman" w:cs="Times New Roman"/>
        </w:rPr>
        <w:t xml:space="preserve"> du service (et sur </w:t>
      </w:r>
      <w:r>
        <w:rPr>
          <w:rFonts w:ascii="Courier New" w:hAnsi="Courier New" w:eastAsia="Courier New" w:cs="Courier New"/>
          <w:sz w:val="21"/>
        </w:rPr>
        <w:t>http://localhost:8000/docs</w:t>
      </w:r>
      <w:r>
        <w:rPr>
          <w:rFonts w:ascii="Times New Roman" w:hAnsi="Times New Roman" w:eastAsia="Times New Roman" w:cs="Times New Roman"/>
        </w:rPr>
        <w:t xml:space="preserve"> en local).</w:t>
      </w:r>
    </w:p>
    <w:p>
      <w:pPr>
        <w:pStyle w:val="Heading2"/>
      </w:pPr>
      <w:r>
        <w:t>3.1 Vérifier que le service répond</w:t>
      </w:r>
    </w:p>
    <w:p>
      <w:pPr>
        <w:pStyle w:val="Commande"/>
        <w:spacing w:before="40" w:after="160"/>
      </w:pPr>
      <w:r>
        <w:rPr>
          <w:rFonts w:ascii="Courier New" w:hAnsi="Courier New" w:eastAsia="Courier New" w:cs="Courier New"/>
          <w:sz w:val="19"/>
        </w:rPr>
        <w:t xml:space="preserve">curl https://100plante-backend.fly.dev/api/health</w:t>
      </w:r>
    </w:p>
    <w:p>
      <w:r>
        <w:rPr>
          <w:rFonts w:ascii="Times New Roman" w:hAnsi="Times New Roman" w:eastAsia="Times New Roman" w:cs="Times New Roman"/>
        </w:rPr>
        <w:t xml:space="preserve">La réponse attendue contient </w:t>
      </w:r>
      <w:r>
        <w:rPr>
          <w:rFonts w:ascii="Courier New" w:hAnsi="Courier New" w:eastAsia="Courier New" w:cs="Courier New"/>
          <w:sz w:val="21"/>
        </w:rPr>
        <w:t>"status": "ok"</w:t>
      </w:r>
      <w:r>
        <w:rPr>
          <w:rFonts w:ascii="Times New Roman" w:hAnsi="Times New Roman" w:eastAsia="Times New Roman" w:cs="Times New Roman"/>
        </w:rPr>
        <w:t xml:space="preserve">, </w:t>
      </w:r>
      <w:r>
        <w:rPr>
          <w:rFonts w:ascii="Courier New" w:hAnsi="Courier New" w:eastAsia="Courier New" w:cs="Courier New"/>
          <w:sz w:val="21"/>
        </w:rPr>
        <w:t>"model_loaded": true</w:t>
      </w:r>
      <w:r>
        <w:rPr>
          <w:rFonts w:ascii="Times New Roman" w:hAnsi="Times New Roman" w:eastAsia="Times New Roman" w:cs="Times New Roman"/>
        </w:rPr>
        <w:t xml:space="preserve">, </w:t>
      </w:r>
      <w:r>
        <w:rPr>
          <w:rFonts w:ascii="Courier New" w:hAnsi="Courier New" w:eastAsia="Courier New" w:cs="Courier New"/>
          <w:sz w:val="21"/>
        </w:rPr>
        <w:t>"is_placeholder": false</w:t>
      </w:r>
      <w:r>
        <w:rPr>
          <w:rFonts w:ascii="Times New Roman" w:hAnsi="Times New Roman" w:eastAsia="Times New Roman" w:cs="Times New Roman"/>
        </w:rPr>
        <w:t xml:space="preserve"> et </w:t>
      </w:r>
      <w:r>
        <w:rPr>
          <w:rFonts w:ascii="Courier New" w:hAnsi="Courier New" w:eastAsia="Courier New" w:cs="Courier New"/>
          <w:sz w:val="21"/>
        </w:rPr>
        <w:t>"num_classes": 38</w:t>
      </w:r>
      <w:r>
        <w:rPr>
          <w:rFonts w:ascii="Times New Roman" w:hAnsi="Times New Roman" w:eastAsia="Times New Roman" w:cs="Times New Roman"/>
        </w:rPr>
        <w:t>.</w:t>
      </w:r>
    </w:p>
    <w:p>
      <w:pPr>
        <w:pStyle w:val="Heading2"/>
      </w:pPr>
      <w:r>
        <w:t>3.2 Analyser une image</w:t>
      </w:r>
    </w:p>
    <w:p>
      <w:pPr>
        <w:pStyle w:val="Commande"/>
        <w:spacing w:before="40"/>
      </w:pPr>
      <w:r>
        <w:rPr>
          <w:rFonts w:ascii="Courier New" w:hAnsi="Courier New" w:eastAsia="Courier New" w:cs="Courier New"/>
          <w:sz w:val="19"/>
        </w:rPr>
        <w:t xml:space="preserve">curl -X POST https://100plante-backend.fly.dev/api/predict \</w:t>
      </w:r>
    </w:p>
    <w:p>
      <w:pPr>
        <w:pStyle w:val="Commande"/>
        <w:spacing w:after="160"/>
      </w:pPr>
      <w:r>
        <w:rPr>
          <w:rFonts w:ascii="Courier New" w:hAnsi="Courier New" w:eastAsia="Courier New" w:cs="Courier New"/>
          <w:sz w:val="19"/>
        </w:rPr>
        <w:t xml:space="preserve">     -F "file=@feuille.jpg;type=image/jpeg"</w:t>
      </w:r>
    </w:p>
    <w:p>
      <w:r>
        <w:rPr>
          <w:rFonts w:ascii="Times New Roman" w:hAnsi="Times New Roman" w:eastAsia="Times New Roman" w:cs="Times New Roman"/>
        </w:rPr>
        <w:t xml:space="preserve">La réponse JSON contient </w:t>
      </w:r>
      <w:r>
        <w:rPr>
          <w:rFonts w:ascii="Courier New" w:hAnsi="Courier New" w:eastAsia="Courier New" w:cs="Courier New"/>
          <w:sz w:val="21"/>
        </w:rPr>
        <w:t>predicted</w:t>
      </w:r>
      <w:r>
        <w:rPr>
          <w:rFonts w:ascii="Times New Roman" w:hAnsi="Times New Roman" w:eastAsia="Times New Roman" w:cs="Times New Roman"/>
        </w:rPr>
        <w:t xml:space="preserve"> (classe la plus probable : </w:t>
      </w:r>
      <w:r>
        <w:rPr>
          <w:rFonts w:ascii="Courier New" w:hAnsi="Courier New" w:eastAsia="Courier New" w:cs="Courier New"/>
          <w:sz w:val="21"/>
        </w:rPr>
        <w:t>label</w:t>
      </w:r>
      <w:r>
        <w:rPr>
          <w:rFonts w:ascii="Times New Roman" w:hAnsi="Times New Roman" w:eastAsia="Times New Roman" w:cs="Times New Roman"/>
        </w:rPr>
        <w:t xml:space="preserve">, </w:t>
      </w:r>
      <w:r>
        <w:rPr>
          <w:rFonts w:ascii="Courier New" w:hAnsi="Courier New" w:eastAsia="Courier New" w:cs="Courier New"/>
          <w:sz w:val="21"/>
        </w:rPr>
        <w:t>species</w:t>
      </w:r>
      <w:r>
        <w:rPr>
          <w:rFonts w:ascii="Times New Roman" w:hAnsi="Times New Roman" w:eastAsia="Times New Roman" w:cs="Times New Roman"/>
        </w:rPr>
        <w:t xml:space="preserve">, </w:t>
      </w:r>
      <w:r>
        <w:rPr>
          <w:rFonts w:ascii="Courier New" w:hAnsi="Courier New" w:eastAsia="Courier New" w:cs="Courier New"/>
          <w:sz w:val="21"/>
        </w:rPr>
        <w:t>condition</w:t>
      </w:r>
      <w:r>
        <w:rPr>
          <w:rFonts w:ascii="Times New Roman" w:hAnsi="Times New Roman" w:eastAsia="Times New Roman" w:cs="Times New Roman"/>
        </w:rPr>
        <w:t xml:space="preserve">, </w:t>
      </w:r>
      <w:r>
        <w:rPr>
          <w:rFonts w:ascii="Courier New" w:hAnsi="Courier New" w:eastAsia="Courier New" w:cs="Courier New"/>
          <w:sz w:val="21"/>
        </w:rPr>
        <w:t>confidence</w:t>
      </w:r>
      <w:r>
        <w:rPr>
          <w:rFonts w:ascii="Times New Roman" w:hAnsi="Times New Roman" w:eastAsia="Times New Roman" w:cs="Times New Roman"/>
        </w:rPr>
        <w:t xml:space="preserve">), </w:t>
      </w:r>
      <w:r>
        <w:rPr>
          <w:rFonts w:ascii="Courier New" w:hAnsi="Courier New" w:eastAsia="Courier New" w:cs="Courier New"/>
          <w:sz w:val="21"/>
        </w:rPr>
        <w:t>top_k</w:t>
      </w:r>
      <w:r>
        <w:rPr>
          <w:rFonts w:ascii="Times New Roman" w:hAnsi="Times New Roman" w:eastAsia="Times New Roman" w:cs="Times New Roman"/>
        </w:rPr>
        <w:t xml:space="preserve"> (trois classes), </w:t>
      </w:r>
      <w:r>
        <w:rPr>
          <w:rFonts w:ascii="Courier New" w:hAnsi="Courier New" w:eastAsia="Courier New" w:cs="Courier New"/>
          <w:sz w:val="21"/>
        </w:rPr>
        <w:t>low_confidence</w:t>
      </w:r>
      <w:r>
        <w:rPr>
          <w:rFonts w:ascii="Times New Roman" w:hAnsi="Times New Roman" w:eastAsia="Times New Roman" w:cs="Times New Roman"/>
        </w:rPr>
        <w:t xml:space="preserve"> (vrai si la confiance est sous 0,70), </w:t>
      </w:r>
      <w:r>
        <w:rPr>
          <w:rFonts w:ascii="Courier New" w:hAnsi="Courier New" w:eastAsia="Courier New" w:cs="Courier New"/>
          <w:sz w:val="21"/>
        </w:rPr>
        <w:t>inference_time_ms</w:t>
      </w:r>
      <w:r>
        <w:rPr>
          <w:rFonts w:ascii="Times New Roman" w:hAnsi="Times New Roman" w:eastAsia="Times New Roman" w:cs="Times New Roman"/>
        </w:rPr>
        <w:t xml:space="preserve"> et </w:t>
      </w:r>
      <w:r>
        <w:rPr>
          <w:rFonts w:ascii="Courier New" w:hAnsi="Courier New" w:eastAsia="Courier New" w:cs="Courier New"/>
          <w:sz w:val="21"/>
        </w:rPr>
        <w:t>is_placeholder</w:t>
      </w:r>
      <w:r>
        <w:rPr>
          <w:rFonts w:ascii="Times New Roman" w:hAnsi="Times New Roman" w:eastAsia="Times New Roman" w:cs="Times New Roman"/>
        </w:rPr>
        <w:t>. La documentation technique (section 5) décrit chaque champ.</w:t>
      </w:r>
    </w:p>
    <w:p>
      <w:pPr>
        <w:pStyle w:val="Heading1"/>
      </w:pPr>
      <w:r>
        <w:t>4. Lancer le projet sur son ordinateur</w:t>
      </w:r>
    </w:p>
    <w:p>
      <w:r>
        <w:rPr>
          <w:rFonts w:ascii="Times New Roman" w:hAnsi="Times New Roman" w:eastAsia="Times New Roman" w:cs="Times New Roman"/>
        </w:rPr>
        <w:t>Prérequis : Python 3.11, Node.js et npm (versions utilisées : Python 3.11.6, Node.js 24.11.0, npm 11.6.1). Les commandes sont à exécuter depuis la racine du dépôt cloné.</w:t>
      </w:r>
    </w:p>
    <w:p>
      <w:pPr>
        <w:pStyle w:val="Heading2"/>
      </w:pPr>
      <w:r>
        <w:t>4.1 Le backend (API)</w:t>
      </w:r>
    </w:p>
    <w:p>
      <w:pPr>
        <w:pStyle w:val="Commande"/>
        <w:spacing w:before="40"/>
      </w:pPr>
      <w:r>
        <w:rPr>
          <w:rFonts w:ascii="Courier New" w:hAnsi="Courier New" w:eastAsia="Courier New" w:cs="Courier New"/>
          <w:sz w:val="19"/>
        </w:rPr>
        <w:t xml:space="preserve">cd backend</w:t>
      </w:r>
    </w:p>
    <w:p>
      <w:pPr>
        <w:pStyle w:val="Commande"/>
      </w:pPr>
      <w:r>
        <w:rPr>
          <w:rFonts w:ascii="Courier New" w:hAnsi="Courier New" w:eastAsia="Courier New" w:cs="Courier New"/>
          <w:sz w:val="19"/>
        </w:rPr>
        <w:t xml:space="preserve">python -m venv .venv</w:t>
      </w:r>
    </w:p>
    <w:p>
      <w:pPr>
        <w:pStyle w:val="Commande"/>
      </w:pPr>
      <w:r>
        <w:rPr>
          <w:rFonts w:ascii="Courier New" w:hAnsi="Courier New" w:eastAsia="Courier New" w:cs="Courier New"/>
          <w:sz w:val="19"/>
        </w:rPr>
        <w:t xml:space="preserve">./.venv/bin/pip install -r requirements.txt</w:t>
      </w:r>
    </w:p>
    <w:p>
      <w:pPr>
        <w:pStyle w:val="Commande"/>
        <w:spacing w:after="160"/>
      </w:pPr>
      <w:r>
        <w:rPr>
          <w:rFonts w:ascii="Courier New" w:hAnsi="Courier New" w:eastAsia="Courier New" w:cs="Courier New"/>
          <w:sz w:val="19"/>
        </w:rPr>
        <w:t xml:space="preserve">./.venv/bin/uvicorn app.main:app --reload --port 8000</w:t>
      </w:r>
    </w:p>
    <w:p>
      <w:r>
        <w:rPr>
          <w:rFonts w:ascii="Times New Roman" w:hAnsi="Times New Roman" w:eastAsia="Times New Roman" w:cs="Times New Roman"/>
        </w:rPr>
        <w:t xml:space="preserve">L’API écoute sur </w:t>
      </w:r>
      <w:r>
        <w:rPr>
          <w:rFonts w:ascii="Courier New" w:hAnsi="Courier New" w:eastAsia="Courier New" w:cs="Courier New"/>
          <w:sz w:val="21"/>
        </w:rPr>
        <w:t>http://localhost:8000</w:t>
      </w:r>
      <w:r>
        <w:rPr>
          <w:rFonts w:ascii="Times New Roman" w:hAnsi="Times New Roman" w:eastAsia="Times New Roman" w:cs="Times New Roman"/>
        </w:rPr>
        <w:t>. Le modèle est chargé au démarrage ; le journal affiche « Warmup du modèle effectué » quand l’API est prête.</w:t>
      </w:r>
    </w:p>
    <w:p>
      <w:pPr>
        <w:pStyle w:val="Heading2"/>
      </w:pPr>
      <w:r>
        <w:t>4.2 Le frontend (interface)</w:t>
      </w:r>
    </w:p>
    <w:p>
      <w:r>
        <w:rPr>
          <w:rFonts w:ascii="Times New Roman" w:hAnsi="Times New Roman" w:eastAsia="Times New Roman" w:cs="Times New Roman"/>
        </w:rPr>
        <w:t>Dans un second terminal :</w:t>
      </w:r>
    </w:p>
    <w:p>
      <w:pPr>
        <w:pStyle w:val="Commande"/>
        <w:spacing w:before="40"/>
      </w:pPr>
      <w:r>
        <w:rPr>
          <w:rFonts w:ascii="Courier New" w:hAnsi="Courier New" w:eastAsia="Courier New" w:cs="Courier New"/>
          <w:sz w:val="19"/>
        </w:rPr>
        <w:t xml:space="preserve">cd frontend</w:t>
      </w:r>
    </w:p>
    <w:p>
      <w:pPr>
        <w:pStyle w:val="Commande"/>
      </w:pPr>
      <w:r>
        <w:rPr>
          <w:rFonts w:ascii="Courier New" w:hAnsi="Courier New" w:eastAsia="Courier New" w:cs="Courier New"/>
          <w:sz w:val="19"/>
        </w:rPr>
        <w:t xml:space="preserve">npm install</w:t>
      </w:r>
    </w:p>
    <w:p>
      <w:pPr>
        <w:pStyle w:val="Commande"/>
        <w:spacing w:after="160"/>
      </w:pPr>
      <w:r>
        <w:rPr>
          <w:rFonts w:ascii="Courier New" w:hAnsi="Courier New" w:eastAsia="Courier New" w:cs="Courier New"/>
          <w:sz w:val="19"/>
        </w:rPr>
        <w:t xml:space="preserve">npm run dev</w:t>
      </w:r>
    </w:p>
    <w:p>
      <w:r>
        <w:rPr>
          <w:rFonts w:ascii="Times New Roman" w:hAnsi="Times New Roman" w:eastAsia="Times New Roman" w:cs="Times New Roman"/>
        </w:rPr>
        <w:t xml:space="preserve">L’interface est sur </w:t>
      </w:r>
      <w:r>
        <w:rPr>
          <w:rFonts w:ascii="Courier New" w:hAnsi="Courier New" w:eastAsia="Courier New" w:cs="Courier New"/>
          <w:sz w:val="21"/>
        </w:rPr>
        <w:t>http://localhost:3000</w:t>
      </w:r>
      <w:r>
        <w:rPr>
          <w:rFonts w:ascii="Times New Roman" w:hAnsi="Times New Roman" w:eastAsia="Times New Roman" w:cs="Times New Roman"/>
        </w:rPr>
        <w:t xml:space="preserve">. Par défaut, elle appelle l’API sur </w:t>
      </w:r>
      <w:r>
        <w:rPr>
          <w:rFonts w:ascii="Courier New" w:hAnsi="Courier New" w:eastAsia="Courier New" w:cs="Courier New"/>
          <w:sz w:val="21"/>
        </w:rPr>
        <w:t>http://localhost:8000</w:t>
      </w:r>
      <w:r>
        <w:rPr>
          <w:rFonts w:ascii="Times New Roman" w:hAnsi="Times New Roman" w:eastAsia="Times New Roman" w:cs="Times New Roman"/>
        </w:rPr>
        <w:t xml:space="preserve">. Pour viser une autre adresse, créez </w:t>
      </w:r>
      <w:r>
        <w:rPr>
          <w:rFonts w:ascii="Courier New" w:hAnsi="Courier New" w:eastAsia="Courier New" w:cs="Courier New"/>
          <w:sz w:val="21"/>
        </w:rPr>
        <w:t>frontend/.env.local</w:t>
      </w:r>
      <w:r>
        <w:rPr>
          <w:rFonts w:ascii="Times New Roman" w:hAnsi="Times New Roman" w:eastAsia="Times New Roman" w:cs="Times New Roman"/>
        </w:rPr>
        <w:t xml:space="preserve"> avec la ligne </w:t>
      </w:r>
      <w:r>
        <w:rPr>
          <w:rFonts w:ascii="Courier New" w:hAnsi="Courier New" w:eastAsia="Courier New" w:cs="Courier New"/>
          <w:sz w:val="21"/>
        </w:rPr>
        <w:t>NEXT_PUBLIC_API_URL=&lt;adresse de l'API&gt;</w:t>
      </w:r>
      <w:r>
        <w:rPr>
          <w:rFonts w:ascii="Times New Roman" w:hAnsi="Times New Roman" w:eastAsia="Times New Roman" w:cs="Times New Roman"/>
        </w:rPr>
        <w:t xml:space="preserve"> puis relancez </w:t>
      </w:r>
      <w:r>
        <w:rPr>
          <w:rFonts w:ascii="Courier New" w:hAnsi="Courier New" w:eastAsia="Courier New" w:cs="Courier New"/>
          <w:sz w:val="21"/>
        </w:rPr>
        <w:t>npm run dev</w:t>
      </w:r>
      <w:r>
        <w:rPr>
          <w:rFonts w:ascii="Times New Roman" w:hAnsi="Times New Roman" w:eastAsia="Times New Roman" w:cs="Times New Roman"/>
        </w:rPr>
        <w:t>.</w:t>
      </w:r>
    </w:p>
    <w:p>
      <w:pPr>
        <w:pStyle w:val="Heading2"/>
      </w:pPr>
      <w:r>
        <w:t>4.3 Vérifier</w:t>
      </w:r>
    </w:p>
    <w:p>
      <w:pPr>
        <w:pStyle w:val="Commande"/>
        <w:spacing w:before="40"/>
      </w:pPr>
      <w:r>
        <w:rPr>
          <w:rFonts w:ascii="Courier New" w:hAnsi="Courier New" w:eastAsia="Courier New" w:cs="Courier New"/>
          <w:sz w:val="19"/>
        </w:rPr>
        <w:t xml:space="preserve">cd backend</w:t>
      </w:r>
    </w:p>
    <w:p>
      <w:pPr>
        <w:pStyle w:val="Commande"/>
        <w:spacing w:after="160"/>
      </w:pPr>
      <w:r>
        <w:rPr>
          <w:rFonts w:ascii="Courier New" w:hAnsi="Courier New" w:eastAsia="Courier New" w:cs="Courier New"/>
          <w:sz w:val="19"/>
        </w:rPr>
        <w:t xml:space="preserve">./.venv/bin/python -m pytest tests/ -v</w:t>
      </w:r>
    </w:p>
    <w:p>
      <w:r>
        <w:rPr>
          <w:rFonts w:ascii="Times New Roman" w:hAnsi="Times New Roman" w:eastAsia="Times New Roman" w:cs="Times New Roman"/>
        </w:rPr>
        <w:t>Les cinq tests de l’API doivent réussir. Le réentraînement du modèle et le déploiement sont décrits dans la documentation technique (sections 7 et 11).</w:t>
      </w:r>
    </w:p>
    <w:p>
      <w:pPr>
        <w:pStyle w:val="Heading1"/>
      </w:pPr>
      <w:r>
        <w:t>5. En cas de problème</w:t>
      </w:r>
    </w:p>
    <w:p>
      <w:pPr>
        <w:pStyle w:val="Legende"/>
        <w:keepNext/>
        <w:spacing w:before="120" w:after="80"/>
      </w:pPr>
      <w:r>
        <w:rPr>
          <w:rFonts w:ascii="Times New Roman" w:hAnsi="Times New Roman" w:eastAsia="Times New Roman" w:cs="Times New Roman"/>
          <w:b/>
          <w:sz w:val="21"/>
        </w:rPr>
        <w:t>Tableau 2.</w:t>
      </w:r>
      <w:r>
        <w:rPr>
          <w:rFonts w:ascii="Times New Roman" w:hAnsi="Times New Roman" w:eastAsia="Times New Roman" w:cs="Times New Roman"/>
          <w:sz w:val="21"/>
        </w:rPr>
        <w:t xml:space="preserve"> Messages d’erreur et solutions.</w:t>
      </w:r>
    </w:p>
    <w:tbl>
      <w:tblPr>
        <w:tblStyle w:val="TableGrid"/>
        <w:tblW w:type="auto" w:w="0"/>
        <w:jc w:val="left"/>
        <w:tblLayout w:type="fixed"/>
        <w:tblLook w:firstColumn="1" w:firstRow="1" w:lastColumn="0" w:lastRow="0" w:noHBand="0" w:noVBand="1" w:val="04A0"/>
      </w:tblPr>
      <w:tblGrid>
        <w:gridCol w:w="3024"/>
        <w:gridCol w:w="3024"/>
        <w:gridCol w:w="3024"/>
      </w:tblGrid>
      <w:tr>
        <w:trPr>
          <w:tblHeader w:val="true"/>
        </w:trPr>
        <w:tc>
          <w:tcPr>
            <w:tcW w:type="dxa" w:w="3084"/>
          </w:tcPr>
          <w:p>
            <w:pPr>
              <w:pStyle w:val="Cellule"/>
            </w:pPr>
            <w:r>
              <w:rPr>
                <w:rFonts w:ascii="Times New Roman" w:hAnsi="Times New Roman" w:eastAsia="Times New Roman" w:cs="Times New Roman"/>
                <w:b/>
                <w:sz w:val="21"/>
              </w:rPr>
              <w:t>Ce que vous voyez</w:t>
            </w:r>
          </w:p>
        </w:tc>
        <w:tc>
          <w:tcPr>
            <w:tcW w:type="dxa" w:w="2721"/>
          </w:tcPr>
          <w:p>
            <w:pPr>
              <w:pStyle w:val="Cellule"/>
            </w:pPr>
            <w:r>
              <w:rPr>
                <w:rFonts w:ascii="Times New Roman" w:hAnsi="Times New Roman" w:eastAsia="Times New Roman" w:cs="Times New Roman"/>
                <w:b/>
                <w:sz w:val="21"/>
              </w:rPr>
              <w:t>Cause probable</w:t>
            </w:r>
          </w:p>
        </w:tc>
        <w:tc>
          <w:tcPr>
            <w:tcW w:type="dxa" w:w="3266"/>
          </w:tcPr>
          <w:p>
            <w:pPr>
              <w:pStyle w:val="Cellule"/>
            </w:pPr>
            <w:r>
              <w:rPr>
                <w:rFonts w:ascii="Times New Roman" w:hAnsi="Times New Roman" w:eastAsia="Times New Roman" w:cs="Times New Roman"/>
                <w:b/>
                <w:sz w:val="21"/>
              </w:rPr>
              <w:t>Que faire</w:t>
            </w:r>
          </w:p>
        </w:tc>
      </w:tr>
      <w:tr>
        <w:trPr>
          <w:cantSplit w:val="true"/>
        </w:trPr>
        <w:tc>
          <w:tcPr>
            <w:tcW w:type="dxa" w:w="3084"/>
          </w:tcPr>
          <w:p>
            <w:pPr>
              <w:pStyle w:val="Cellule"/>
            </w:pPr>
            <w:r>
              <w:rPr>
                <w:rFonts w:ascii="Times New Roman" w:hAnsi="Times New Roman" w:eastAsia="Times New Roman" w:cs="Times New Roman"/>
                <w:sz w:val="21"/>
              </w:rPr>
              <w:t>« Impossible de joindre le serveur d’analyse. Vérifiez qu’il est démarré. »</w:t>
            </w:r>
          </w:p>
        </w:tc>
        <w:tc>
          <w:tcPr>
            <w:tcW w:type="dxa" w:w="2721"/>
          </w:tcPr>
          <w:p>
            <w:pPr>
              <w:pStyle w:val="Cellule"/>
            </w:pPr>
            <w:r>
              <w:rPr>
                <w:rFonts w:ascii="Times New Roman" w:hAnsi="Times New Roman" w:eastAsia="Times New Roman" w:cs="Times New Roman"/>
                <w:sz w:val="21"/>
              </w:rPr>
              <w:t>L’API ne répond pas (arrêtée, réseau, mauvaise adresse)</w:t>
            </w:r>
          </w:p>
        </w:tc>
        <w:tc>
          <w:tcPr>
            <w:tcW w:type="dxa" w:w="3266"/>
          </w:tcPr>
          <w:p>
            <w:pPr>
              <w:pStyle w:val="Cellule"/>
            </w:pPr>
            <w:r>
              <w:rPr>
                <w:rFonts w:ascii="Times New Roman" w:hAnsi="Times New Roman" w:eastAsia="Times New Roman" w:cs="Times New Roman"/>
                <w:sz w:val="21"/>
              </w:rPr>
              <w:t xml:space="preserve">En local, vérifier que </w:t>
            </w:r>
            <w:r>
              <w:rPr>
                <w:rFonts w:ascii="Courier New" w:hAnsi="Courier New" w:eastAsia="Courier New" w:cs="Courier New"/>
                <w:sz w:val="19"/>
              </w:rPr>
              <w:t>uvicorn</w:t>
            </w:r>
            <w:r>
              <w:rPr>
                <w:rFonts w:ascii="Times New Roman" w:hAnsi="Times New Roman" w:eastAsia="Times New Roman" w:cs="Times New Roman"/>
                <w:sz w:val="21"/>
              </w:rPr>
              <w:t xml:space="preserve"> tourne sur le port 8000 et que </w:t>
            </w:r>
            <w:r>
              <w:rPr>
                <w:rFonts w:ascii="Courier New" w:hAnsi="Courier New" w:eastAsia="Courier New" w:cs="Courier New"/>
                <w:sz w:val="19"/>
              </w:rPr>
              <w:t>NEXT_PUBLIC_API_URL</w:t>
            </w:r>
            <w:r>
              <w:rPr>
                <w:rFonts w:ascii="Times New Roman" w:hAnsi="Times New Roman" w:eastAsia="Times New Roman" w:cs="Times New Roman"/>
                <w:sz w:val="21"/>
              </w:rPr>
              <w:t xml:space="preserve"> est correcte. En ligne, tester </w:t>
            </w:r>
            <w:r>
              <w:rPr>
                <w:rFonts w:ascii="Courier New" w:hAnsi="Courier New" w:eastAsia="Courier New" w:cs="Courier New"/>
                <w:sz w:val="19"/>
              </w:rPr>
              <w:t>/api/health</w:t>
            </w:r>
            <w:r>
              <w:rPr>
                <w:rFonts w:ascii="Times New Roman" w:hAnsi="Times New Roman" w:eastAsia="Times New Roman" w:cs="Times New Roman"/>
                <w:sz w:val="21"/>
              </w:rPr>
              <w:t>, puis réessayer plus tard.</w:t>
            </w:r>
          </w:p>
        </w:tc>
      </w:tr>
      <w:tr>
        <w:trPr>
          <w:cantSplit w:val="true"/>
        </w:trPr>
        <w:tc>
          <w:tcPr>
            <w:tcW w:type="dxa" w:w="3084"/>
          </w:tcPr>
          <w:p>
            <w:pPr>
              <w:pStyle w:val="Cellule"/>
            </w:pPr>
            <w:r>
              <w:rPr>
                <w:rFonts w:ascii="Times New Roman" w:hAnsi="Times New Roman" w:eastAsia="Times New Roman" w:cs="Times New Roman"/>
                <w:sz w:val="21"/>
              </w:rPr>
              <w:t>« Type de fichier non supporté… Attendu : JPEG ou PNG. »</w:t>
            </w:r>
          </w:p>
        </w:tc>
        <w:tc>
          <w:tcPr>
            <w:tcW w:type="dxa" w:w="2721"/>
          </w:tcPr>
          <w:p>
            <w:pPr>
              <w:pStyle w:val="Cellule"/>
            </w:pPr>
            <w:r>
              <w:rPr>
                <w:rFonts w:ascii="Times New Roman" w:hAnsi="Times New Roman" w:eastAsia="Times New Roman" w:cs="Times New Roman"/>
                <w:sz w:val="21"/>
              </w:rPr>
              <w:t>Fichier d’un autre format (code 415)</w:t>
            </w:r>
          </w:p>
        </w:tc>
        <w:tc>
          <w:tcPr>
            <w:tcW w:type="dxa" w:w="3266"/>
          </w:tcPr>
          <w:p>
            <w:pPr>
              <w:pStyle w:val="Cellule"/>
            </w:pPr>
            <w:r>
              <w:rPr>
                <w:rFonts w:ascii="Times New Roman" w:hAnsi="Times New Roman" w:eastAsia="Times New Roman" w:cs="Times New Roman"/>
                <w:sz w:val="21"/>
              </w:rPr>
              <w:t>Convertir l’image en JPEG ou PNG.</w:t>
            </w:r>
          </w:p>
        </w:tc>
      </w:tr>
      <w:tr>
        <w:trPr>
          <w:cantSplit w:val="true"/>
        </w:trPr>
        <w:tc>
          <w:tcPr>
            <w:tcW w:type="dxa" w:w="3084"/>
          </w:tcPr>
          <w:p>
            <w:pPr>
              <w:pStyle w:val="Cellule"/>
            </w:pPr>
            <w:r>
              <w:rPr>
                <w:rFonts w:ascii="Times New Roman" w:hAnsi="Times New Roman" w:eastAsia="Times New Roman" w:cs="Times New Roman"/>
                <w:sz w:val="21"/>
              </w:rPr>
              <w:t>« Fichier trop volumineux (max 10 Mo). »</w:t>
            </w:r>
          </w:p>
        </w:tc>
        <w:tc>
          <w:tcPr>
            <w:tcW w:type="dxa" w:w="2721"/>
          </w:tcPr>
          <w:p>
            <w:pPr>
              <w:pStyle w:val="Cellule"/>
            </w:pPr>
            <w:r>
              <w:rPr>
                <w:rFonts w:ascii="Times New Roman" w:hAnsi="Times New Roman" w:eastAsia="Times New Roman" w:cs="Times New Roman"/>
                <w:sz w:val="21"/>
              </w:rPr>
              <w:t>Image de plus de 10 Mo (code 413)</w:t>
            </w:r>
          </w:p>
        </w:tc>
        <w:tc>
          <w:tcPr>
            <w:tcW w:type="dxa" w:w="3266"/>
          </w:tcPr>
          <w:p>
            <w:pPr>
              <w:pStyle w:val="Cellule"/>
            </w:pPr>
            <w:r>
              <w:rPr>
                <w:rFonts w:ascii="Times New Roman" w:hAnsi="Times New Roman" w:eastAsia="Times New Roman" w:cs="Times New Roman"/>
                <w:sz w:val="21"/>
              </w:rPr>
              <w:t>Réduire la taille ou la résolution de l’image.</w:t>
            </w:r>
          </w:p>
        </w:tc>
      </w:tr>
      <w:tr>
        <w:trPr>
          <w:cantSplit w:val="true"/>
        </w:trPr>
        <w:tc>
          <w:tcPr>
            <w:tcW w:type="dxa" w:w="3084"/>
          </w:tcPr>
          <w:p>
            <w:pPr>
              <w:pStyle w:val="Cellule"/>
            </w:pPr>
            <w:r>
              <w:rPr>
                <w:rFonts w:ascii="Times New Roman" w:hAnsi="Times New Roman" w:eastAsia="Times New Roman" w:cs="Times New Roman"/>
                <w:sz w:val="21"/>
              </w:rPr>
              <w:t>« Impossible de décoder l’image envoyée »</w:t>
            </w:r>
          </w:p>
        </w:tc>
        <w:tc>
          <w:tcPr>
            <w:tcW w:type="dxa" w:w="2721"/>
          </w:tcPr>
          <w:p>
            <w:pPr>
              <w:pStyle w:val="Cellule"/>
            </w:pPr>
            <w:r>
              <w:rPr>
                <w:rFonts w:ascii="Times New Roman" w:hAnsi="Times New Roman" w:eastAsia="Times New Roman" w:cs="Times New Roman"/>
                <w:sz w:val="21"/>
              </w:rPr>
              <w:t>Fichier corrompu ou qui n’est pas une image (code 400)</w:t>
            </w:r>
          </w:p>
        </w:tc>
        <w:tc>
          <w:tcPr>
            <w:tcW w:type="dxa" w:w="3266"/>
          </w:tcPr>
          <w:p>
            <w:pPr>
              <w:pStyle w:val="Cellule"/>
            </w:pPr>
            <w:r>
              <w:rPr>
                <w:rFonts w:ascii="Times New Roman" w:hAnsi="Times New Roman" w:eastAsia="Times New Roman" w:cs="Times New Roman"/>
                <w:sz w:val="21"/>
              </w:rPr>
              <w:t>Prendre ou exporter à nouveau la photo.</w:t>
            </w:r>
          </w:p>
        </w:tc>
      </w:tr>
      <w:tr>
        <w:trPr>
          <w:cantSplit w:val="true"/>
        </w:trPr>
        <w:tc>
          <w:tcPr>
            <w:tcW w:type="dxa" w:w="3084"/>
          </w:tcPr>
          <w:p>
            <w:pPr>
              <w:pStyle w:val="Cellule"/>
            </w:pPr>
            <w:r>
              <w:rPr>
                <w:rFonts w:ascii="Times New Roman" w:hAnsi="Times New Roman" w:eastAsia="Times New Roman" w:cs="Times New Roman"/>
                <w:sz w:val="21"/>
              </w:rPr>
              <w:t>« Importez d’abord une photo pour obtenir un diagnostic. »</w:t>
            </w:r>
          </w:p>
        </w:tc>
        <w:tc>
          <w:tcPr>
            <w:tcW w:type="dxa" w:w="2721"/>
          </w:tcPr>
          <w:p>
            <w:pPr>
              <w:pStyle w:val="Cellule"/>
            </w:pPr>
            <w:r>
              <w:rPr>
                <w:rFonts w:ascii="Times New Roman" w:hAnsi="Times New Roman" w:eastAsia="Times New Roman" w:cs="Times New Roman"/>
                <w:sz w:val="21"/>
              </w:rPr>
              <w:t>La page de résultat est ouverte sans analyse préalable, ou dans un autre onglet : le résultat est gardé seulement dans l’onglet où l’analyse a été faite</w:t>
            </w:r>
          </w:p>
        </w:tc>
        <w:tc>
          <w:tcPr>
            <w:tcW w:type="dxa" w:w="3266"/>
          </w:tcPr>
          <w:p>
            <w:pPr>
              <w:pStyle w:val="Cellule"/>
            </w:pPr>
            <w:r>
              <w:rPr>
                <w:rFonts w:ascii="Times New Roman" w:hAnsi="Times New Roman" w:eastAsia="Times New Roman" w:cs="Times New Roman"/>
                <w:sz w:val="21"/>
              </w:rPr>
              <w:t>Cliquer sur « Aller à la démo » et relancer l’analyse.</w:t>
            </w:r>
          </w:p>
        </w:tc>
      </w:tr>
      <w:tr>
        <w:trPr>
          <w:cantSplit w:val="true"/>
        </w:trPr>
        <w:tc>
          <w:tcPr>
            <w:tcW w:type="dxa" w:w="3084"/>
          </w:tcPr>
          <w:p>
            <w:pPr>
              <w:pStyle w:val="Cellule"/>
            </w:pPr>
            <w:r>
              <w:rPr>
                <w:rFonts w:ascii="Times New Roman" w:hAnsi="Times New Roman" w:eastAsia="Times New Roman" w:cs="Times New Roman"/>
                <w:sz w:val="21"/>
              </w:rPr>
              <w:t>Bandeau « Le modèle entraîné n’est pas chargé côté serveur »</w:t>
            </w:r>
          </w:p>
        </w:tc>
        <w:tc>
          <w:tcPr>
            <w:tcW w:type="dxa" w:w="2721"/>
          </w:tcPr>
          <w:p>
            <w:pPr>
              <w:pStyle w:val="Cellule"/>
            </w:pPr>
            <w:r>
              <w:rPr>
                <w:rFonts w:ascii="Times New Roman" w:hAnsi="Times New Roman" w:eastAsia="Times New Roman" w:cs="Times New Roman"/>
                <w:sz w:val="21"/>
              </w:rPr>
              <w:t>L’API fonctionne en mode placeholder : le résultat est factice</w:t>
            </w:r>
          </w:p>
        </w:tc>
        <w:tc>
          <w:tcPr>
            <w:tcW w:type="dxa" w:w="3266"/>
          </w:tcPr>
          <w:p>
            <w:pPr>
              <w:pStyle w:val="Cellule"/>
            </w:pPr>
            <w:r>
              <w:rPr>
                <w:rFonts w:ascii="Times New Roman" w:hAnsi="Times New Roman" w:eastAsia="Times New Roman" w:cs="Times New Roman"/>
                <w:sz w:val="21"/>
              </w:rPr>
              <w:t xml:space="preserve">Vérifier que le fichier </w:t>
            </w:r>
            <w:r>
              <w:rPr>
                <w:rFonts w:ascii="Courier New" w:hAnsi="Courier New" w:eastAsia="Courier New" w:cs="Courier New"/>
                <w:sz w:val="19"/>
              </w:rPr>
              <w:t>backend/models/leaf_disease_model.keras</w:t>
            </w:r>
            <w:r>
              <w:rPr>
                <w:rFonts w:ascii="Times New Roman" w:hAnsi="Times New Roman" w:eastAsia="Times New Roman" w:cs="Times New Roman"/>
                <w:sz w:val="21"/>
              </w:rPr>
              <w:t xml:space="preserve"> existe ; ne pas utiliser ce résultat.</w:t>
            </w:r>
          </w:p>
        </w:tc>
      </w:tr>
      <w:tr>
        <w:trPr>
          <w:cantSplit w:val="true"/>
        </w:trPr>
        <w:tc>
          <w:tcPr>
            <w:tcW w:type="dxa" w:w="3084"/>
          </w:tcPr>
          <w:p>
            <w:pPr>
              <w:pStyle w:val="Cellule"/>
            </w:pPr>
            <w:r>
              <w:rPr>
                <w:rFonts w:ascii="Times New Roman" w:hAnsi="Times New Roman" w:eastAsia="Times New Roman" w:cs="Times New Roman"/>
                <w:sz w:val="21"/>
              </w:rPr>
              <w:t>Port 8000 déjà utilisé (</w:t>
            </w:r>
            <w:r>
              <w:rPr>
                <w:rFonts w:ascii="Courier New" w:hAnsi="Courier New" w:eastAsia="Courier New" w:cs="Courier New"/>
                <w:sz w:val="19"/>
              </w:rPr>
              <w:t>Address already in use</w:t>
            </w:r>
            <w:r>
              <w:rPr>
                <w:rFonts w:ascii="Times New Roman" w:hAnsi="Times New Roman" w:eastAsia="Times New Roman" w:cs="Times New Roman"/>
                <w:sz w:val="21"/>
              </w:rPr>
              <w:t>)</w:t>
            </w:r>
          </w:p>
        </w:tc>
        <w:tc>
          <w:tcPr>
            <w:tcW w:type="dxa" w:w="2721"/>
          </w:tcPr>
          <w:p>
            <w:pPr>
              <w:pStyle w:val="Cellule"/>
            </w:pPr>
            <w:r>
              <w:rPr>
                <w:rFonts w:ascii="Times New Roman" w:hAnsi="Times New Roman" w:eastAsia="Times New Roman" w:cs="Times New Roman"/>
                <w:sz w:val="21"/>
              </w:rPr>
              <w:t>Un autre processus occupe le port</w:t>
            </w:r>
          </w:p>
        </w:tc>
        <w:tc>
          <w:tcPr>
            <w:tcW w:type="dxa" w:w="3266"/>
          </w:tcPr>
          <w:p>
            <w:pPr>
              <w:pStyle w:val="Cellule"/>
            </w:pPr>
            <w:r>
              <w:rPr>
                <w:rFonts w:ascii="Times New Roman" w:hAnsi="Times New Roman" w:eastAsia="Times New Roman" w:cs="Times New Roman"/>
                <w:sz w:val="21"/>
              </w:rPr>
              <w:t xml:space="preserve">Arrêter ce processus ou lancer </w:t>
            </w:r>
            <w:r>
              <w:rPr>
                <w:rFonts w:ascii="Courier New" w:hAnsi="Courier New" w:eastAsia="Courier New" w:cs="Courier New"/>
                <w:sz w:val="19"/>
              </w:rPr>
              <w:t>uvicorn</w:t>
            </w:r>
            <w:r>
              <w:rPr>
                <w:rFonts w:ascii="Times New Roman" w:hAnsi="Times New Roman" w:eastAsia="Times New Roman" w:cs="Times New Roman"/>
                <w:sz w:val="21"/>
              </w:rPr>
              <w:t xml:space="preserve"> sur un autre port, et adapter </w:t>
            </w:r>
            <w:r>
              <w:rPr>
                <w:rFonts w:ascii="Courier New" w:hAnsi="Courier New" w:eastAsia="Courier New" w:cs="Courier New"/>
                <w:sz w:val="19"/>
              </w:rPr>
              <w:t>NEXT_PUBLIC_API_URL</w:t>
            </w:r>
            <w:r>
              <w:rPr>
                <w:rFonts w:ascii="Times New Roman" w:hAnsi="Times New Roman" w:eastAsia="Times New Roman" w:cs="Times New Roman"/>
                <w:sz w:val="21"/>
              </w:rPr>
              <w:t>.</w:t>
            </w:r>
          </w:p>
        </w:tc>
      </w:tr>
    </w:tbl>
    <w:p>
      <w:pPr>
        <w:spacing w:after="0" w:lineRule="exact" w:line="200"/>
      </w:pPr>
    </w:p>
    <w:sectPr w:rsidR="00FC693F" w:rsidRPr="0006063C" w:rsidSect="00034616">
      <w:footerReference w:type="default" r:id="rId9"/>
      <w:pgSz w:w="11906" w:h="16838"/>
      <w:pgMar w:top="1417" w:right="1417" w:bottom="1417" w:left="1417" w:header="720"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sz w:val="20"/>
      </w:rPr>
      <w:fldChar w:fldCharType="begin"/>
    </w:r>
    <w:r>
      <w:rPr>
        <w:rFonts w:ascii="Times New Roman" w:hAnsi="Times New Roman" w:eastAsia="Times New Roman" w:cs="Times New Roman"/>
        <w:sz w:val="20"/>
      </w:rPr>
      <w:instrText xml:space="preserve"> PAGE </w:instrText>
    </w:r>
    <w:r>
      <w:rPr>
        <w:rFonts w:ascii="Times New Roman" w:hAnsi="Times New Roman" w:eastAsia="Times New Roman" w:cs="Times New Roman"/>
        <w:sz w:val="20"/>
      </w:rPr>
      <w:fldChar w:fldCharType="separate"/>
    </w:r>
    <w:r>
      <w:rPr>
        <w:rFonts w:ascii="Times New Roman" w:hAnsi="Times New Roman" w:eastAsia="Times New Roman" w:cs="Times New Roman"/>
        <w:sz w:val="20"/>
      </w:rPr>
      <w:t>1</w:t>
    </w:r>
    <w:r>
      <w:rPr>
        <w:rFonts w:ascii="Times New Roman" w:hAnsi="Times New Roman" w:eastAsia="Times New Roman" w:cs="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12" w:lineRule="auto"/>
      <w:jc w:val="left"/>
    </w:pPr>
    <w:rPr>
      <w:rFonts w:ascii="Times New Roman" w:hAnsi="Times New Roman" w:eastAsia="Times New Roman" w:cs="Times New Roman"/>
      <w:color w:val="000000"/>
      <w:sz w:val="24"/>
      <w:lang w:val="fr-FR" w:eastAsia="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imes New Roman" w:hAnsi="Times New Roman" w:eastAsia="Times New Roman" w:cs="Times New Roman"/>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outlineLvl w:val="1"/>
    </w:pPr>
    <w:rPr>
      <w:rFonts w:ascii="Times New Roman" w:hAnsi="Times New Roman" w:eastAsia="Times New Roman" w:cs="Times New Roman"/>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312" w:lineRule="auto"/>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e">
    <w:name w:val="Commande"/>
    <w:basedOn w:val="Normal"/>
    <w:pPr>
      <w:spacing w:after="0" w:line="240" w:lineRule="auto"/>
      <w:ind w:left="340"/>
    </w:pPr>
    <w:rPr>
      <w:rFonts w:ascii="Courier New" w:hAnsi="Courier New" w:eastAsia="Courier New" w:cs="Courier New"/>
      <w:color w:val="000000"/>
      <w:sz w:val="19"/>
    </w:rPr>
  </w:style>
  <w:style w:type="paragraph" w:customStyle="1" w:styleId="Cellule">
    <w:name w:val="Cellule"/>
    <w:basedOn w:val="Normal"/>
    <w:pPr>
      <w:spacing w:after="0" w:line="264" w:lineRule="auto"/>
    </w:pPr>
    <w:rPr>
      <w:rFonts w:ascii="Times New Roman" w:hAnsi="Times New Roman" w:eastAsia="Times New Roman" w:cs="Times New Roman"/>
      <w:color w:val="000000"/>
      <w:sz w:val="21"/>
    </w:rPr>
  </w:style>
  <w:style w:type="paragraph" w:customStyle="1" w:styleId="Legende">
    <w:name w:val="Legende"/>
    <w:basedOn w:val="Normal"/>
    <w:pPr>
      <w:spacing w:before="80" w:after="160" w:line="276" w:lineRule="auto"/>
    </w:pPr>
    <w:rPr>
      <w:rFonts w:ascii="Times New Roman" w:hAnsi="Times New Roman" w:eastAsia="Times New Roman" w:cs="Times New Roman"/>
      <w:color w:val="000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100Plante — Tutoriel d'utilisation</dc:title>
  <dc:subject/>
  <dc:creator>POUKONE</dc:creator>
  <cp:keywords/>
  <dc:description/>
  <cp:lastModifiedBy>POUKONE</cp:lastModifiedBy>
  <cp:revision>1</cp:revision>
  <dcterms:created xsi:type="dcterms:W3CDTF">2013-12-23T23:15:00Z</dcterms:created>
  <dcterms:modified xsi:type="dcterms:W3CDTF">2013-12-23T23:15:00Z</dcterms:modified>
  <cp:category/>
  <dc:language>fr-FR</dc:language>
</cp:coreProperties>
</file>