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800"/>
        <w:jc w:val="center"/>
      </w:pPr>
      <w:r>
        <w:rPr>
          <w:rFonts w:ascii="Times New Roman" w:hAnsi="Times New Roman" w:eastAsia="Times New Roman" w:cs="Times New Roman"/>
          <w:b/>
          <w:sz w:val="32"/>
        </w:rPr>
        <w:t>100Plante</w:t>
      </w:r>
    </w:p>
    <w:p>
      <w:pPr>
        <w:jc w:val="center"/>
      </w:pPr>
      <w:r>
        <w:rPr>
          <w:rFonts w:ascii="Times New Roman" w:hAnsi="Times New Roman" w:eastAsia="Times New Roman" w:cs="Times New Roman"/>
          <w:sz w:val="24"/>
        </w:rPr>
        <w:t>Détection de maladies sur feuilles de plantes par transfert d’apprentissage</w:t>
      </w:r>
    </w:p>
    <w:p>
      <w:pPr>
        <w:spacing w:before="800"/>
        <w:jc w:val="center"/>
      </w:pPr>
      <w:r>
        <w:rPr>
          <w:rFonts w:ascii="Times New Roman" w:hAnsi="Times New Roman" w:eastAsia="Times New Roman" w:cs="Times New Roman"/>
          <w:b/>
          <w:sz w:val="28"/>
        </w:rPr>
        <w:t>Dossier final du projet</w:t>
      </w:r>
    </w:p>
    <w:p>
      <w:pPr>
        <w:spacing w:before="1800" w:after="40"/>
        <w:jc w:val="center"/>
      </w:pPr>
      <w:r>
        <w:rPr>
          <w:rFonts w:ascii="Times New Roman" w:hAnsi="Times New Roman" w:eastAsia="Times New Roman" w:cs="Times New Roman"/>
          <w:sz w:val="24"/>
        </w:rPr>
        <w:t>Dépôt du code : https://github.com/POUKONE/100Plante</w:t>
      </w:r>
    </w:p>
    <w:p>
      <w:pPr>
        <w:spacing w:after="40"/>
        <w:jc w:val="center"/>
      </w:pPr>
      <w:r>
        <w:rPr>
          <w:rFonts w:ascii="Times New Roman" w:hAnsi="Times New Roman" w:eastAsia="Times New Roman" w:cs="Times New Roman"/>
          <w:sz w:val="24"/>
        </w:rPr>
        <w:t>Application : https://100-plante.vercel.app</w:t>
      </w:r>
    </w:p>
    <w:p>
      <w:pPr>
        <w:spacing w:after="40"/>
        <w:jc w:val="center"/>
      </w:pPr>
      <w:r>
        <w:rPr>
          <w:rFonts w:ascii="Times New Roman" w:hAnsi="Times New Roman" w:eastAsia="Times New Roman" w:cs="Times New Roman"/>
          <w:sz w:val="24"/>
        </w:rPr>
        <w:t>Date du document : 9 octobre 2026</w:t>
      </w:r>
    </w:p>
    <w:p>
      <w:r>
        <w:br w:type="page"/>
      </w:r>
    </w:p>
    <w:p>
      <w:pPr>
        <w:spacing w:after="240"/>
      </w:pPr>
      <w:r>
        <w:rPr>
          <w:rFonts w:ascii="Times New Roman" w:hAnsi="Times New Roman" w:eastAsia="Times New Roman" w:cs="Times New Roman"/>
          <w:b/>
          <w:sz w:val="32"/>
        </w:rPr>
        <w:t>Table des matières</w:t>
      </w:r>
    </w:p>
    <w:p>
      <w:pPr>
        <w:spacing w:after="40" w:line="276" w:lineRule="auto"/>
        <w:ind w:left="0"/>
      </w:pPr>
      <w:r>
        <w:fldChar w:fldCharType="begin" w:dirty="true"/>
      </w:r>
      <w:r>
        <w:instrText xml:space="preserve"> TOC \o "1-2" \h \z \u </w:instrText>
      </w:r>
      <w:r>
        <w:fldChar w:fldCharType="separate"/>
      </w:r>
      <w:r>
        <w:rPr>
          <w:rFonts w:ascii="Times New Roman" w:hAnsi="Times New Roman" w:eastAsia="Times New Roman" w:cs="Times New Roman"/>
          <w:b/>
        </w:rPr>
        <w:t>1. Contexte et problématique</w:t>
      </w:r>
    </w:p>
    <w:p>
      <w:pPr>
        <w:spacing w:after="40" w:line="276" w:lineRule="auto"/>
        <w:ind w:left="510"/>
      </w:pPr>
      <w:r>
        <w:rPr>
          <w:rFonts w:ascii="Times New Roman" w:hAnsi="Times New Roman" w:eastAsia="Times New Roman" w:cs="Times New Roman"/>
          <w:b w:val="0"/>
        </w:rPr>
        <w:t>1.1 Contexte</w:t>
      </w:r>
    </w:p>
    <w:p>
      <w:pPr>
        <w:spacing w:after="40" w:line="276" w:lineRule="auto"/>
        <w:ind w:left="510"/>
      </w:pPr>
      <w:r>
        <w:rPr>
          <w:rFonts w:ascii="Times New Roman" w:hAnsi="Times New Roman" w:eastAsia="Times New Roman" w:cs="Times New Roman"/>
          <w:b w:val="0"/>
        </w:rPr>
        <w:t>1.2 Problématique</w:t>
      </w:r>
    </w:p>
    <w:p>
      <w:pPr>
        <w:spacing w:after="40" w:line="276" w:lineRule="auto"/>
        <w:ind w:left="510"/>
      </w:pPr>
      <w:r>
        <w:rPr>
          <w:rFonts w:ascii="Times New Roman" w:hAnsi="Times New Roman" w:eastAsia="Times New Roman" w:cs="Times New Roman"/>
          <w:b w:val="0"/>
        </w:rPr>
        <w:t>1.3 Cadre de réalisation</w:t>
      </w:r>
    </w:p>
    <w:p>
      <w:pPr>
        <w:spacing w:after="40" w:line="276" w:lineRule="auto"/>
        <w:ind w:left="0"/>
      </w:pPr>
      <w:r>
        <w:rPr>
          <w:rFonts w:ascii="Times New Roman" w:hAnsi="Times New Roman" w:eastAsia="Times New Roman" w:cs="Times New Roman"/>
          <w:b/>
        </w:rPr>
        <w:t>2. Objectifs et périmètre</w:t>
      </w:r>
    </w:p>
    <w:p>
      <w:pPr>
        <w:spacing w:after="40" w:line="276" w:lineRule="auto"/>
        <w:ind w:left="510"/>
      </w:pPr>
      <w:r>
        <w:rPr>
          <w:rFonts w:ascii="Times New Roman" w:hAnsi="Times New Roman" w:eastAsia="Times New Roman" w:cs="Times New Roman"/>
          <w:b w:val="0"/>
        </w:rPr>
        <w:t>2.1 Objectifs</w:t>
      </w:r>
    </w:p>
    <w:p>
      <w:pPr>
        <w:spacing w:after="40" w:line="276" w:lineRule="auto"/>
        <w:ind w:left="510"/>
      </w:pPr>
      <w:r>
        <w:rPr>
          <w:rFonts w:ascii="Times New Roman" w:hAnsi="Times New Roman" w:eastAsia="Times New Roman" w:cs="Times New Roman"/>
          <w:b w:val="0"/>
        </w:rPr>
        <w:t>2.2 Périmètre</w:t>
      </w:r>
    </w:p>
    <w:p>
      <w:pPr>
        <w:spacing w:after="40" w:line="276" w:lineRule="auto"/>
        <w:ind w:left="510"/>
      </w:pPr>
      <w:r>
        <w:rPr>
          <w:rFonts w:ascii="Times New Roman" w:hAnsi="Times New Roman" w:eastAsia="Times New Roman" w:cs="Times New Roman"/>
          <w:b w:val="0"/>
        </w:rPr>
        <w:t>2.3 Arbitrages de périmètre en cours de projet</w:t>
      </w:r>
    </w:p>
    <w:p>
      <w:pPr>
        <w:spacing w:after="40" w:line="276" w:lineRule="auto"/>
        <w:ind w:left="0"/>
      </w:pPr>
      <w:r>
        <w:rPr>
          <w:rFonts w:ascii="Times New Roman" w:hAnsi="Times New Roman" w:eastAsia="Times New Roman" w:cs="Times New Roman"/>
          <w:b/>
        </w:rPr>
        <w:t>3. Besoins couverts</w:t>
      </w:r>
    </w:p>
    <w:p>
      <w:pPr>
        <w:spacing w:after="40" w:line="276" w:lineRule="auto"/>
        <w:ind w:left="0"/>
      </w:pPr>
      <w:r>
        <w:rPr>
          <w:rFonts w:ascii="Times New Roman" w:hAnsi="Times New Roman" w:eastAsia="Times New Roman" w:cs="Times New Roman"/>
          <w:b/>
        </w:rPr>
        <w:t>4. Technologies et outils</w:t>
      </w:r>
    </w:p>
    <w:p>
      <w:pPr>
        <w:spacing w:after="40" w:line="276" w:lineRule="auto"/>
        <w:ind w:left="0"/>
      </w:pPr>
      <w:r>
        <w:rPr>
          <w:rFonts w:ascii="Times New Roman" w:hAnsi="Times New Roman" w:eastAsia="Times New Roman" w:cs="Times New Roman"/>
          <w:b/>
        </w:rPr>
        <w:t>5. Méthodologie de travail</w:t>
      </w:r>
    </w:p>
    <w:p>
      <w:pPr>
        <w:spacing w:after="40" w:line="276" w:lineRule="auto"/>
        <w:ind w:left="0"/>
      </w:pPr>
      <w:r>
        <w:rPr>
          <w:rFonts w:ascii="Times New Roman" w:hAnsi="Times New Roman" w:eastAsia="Times New Roman" w:cs="Times New Roman"/>
          <w:b/>
        </w:rPr>
        <w:t>6. Réalisation</w:t>
      </w:r>
    </w:p>
    <w:p>
      <w:pPr>
        <w:spacing w:after="40" w:line="276" w:lineRule="auto"/>
        <w:ind w:left="510"/>
      </w:pPr>
      <w:r>
        <w:rPr>
          <w:rFonts w:ascii="Times New Roman" w:hAnsi="Times New Roman" w:eastAsia="Times New Roman" w:cs="Times New Roman"/>
          <w:b w:val="0"/>
        </w:rPr>
        <w:t>6.1 Données</w:t>
      </w:r>
    </w:p>
    <w:p>
      <w:pPr>
        <w:spacing w:after="40" w:line="276" w:lineRule="auto"/>
        <w:ind w:left="510"/>
      </w:pPr>
      <w:r>
        <w:rPr>
          <w:rFonts w:ascii="Times New Roman" w:hAnsi="Times New Roman" w:eastAsia="Times New Roman" w:cs="Times New Roman"/>
          <w:b w:val="0"/>
        </w:rPr>
        <w:t>6.2 Baseline</w:t>
      </w:r>
    </w:p>
    <w:p>
      <w:pPr>
        <w:spacing w:after="40" w:line="276" w:lineRule="auto"/>
        <w:ind w:left="510"/>
      </w:pPr>
      <w:r>
        <w:rPr>
          <w:rFonts w:ascii="Times New Roman" w:hAnsi="Times New Roman" w:eastAsia="Times New Roman" w:cs="Times New Roman"/>
          <w:b w:val="0"/>
        </w:rPr>
        <w:t>6.3 Transfert d’apprentissage</w:t>
      </w:r>
    </w:p>
    <w:p>
      <w:pPr>
        <w:spacing w:after="40" w:line="276" w:lineRule="auto"/>
        <w:ind w:left="510"/>
      </w:pPr>
      <w:r>
        <w:rPr>
          <w:rFonts w:ascii="Times New Roman" w:hAnsi="Times New Roman" w:eastAsia="Times New Roman" w:cs="Times New Roman"/>
          <w:b w:val="0"/>
        </w:rPr>
        <w:t>6.4 Évaluation</w:t>
      </w:r>
    </w:p>
    <w:p>
      <w:pPr>
        <w:spacing w:after="40" w:line="276" w:lineRule="auto"/>
        <w:ind w:left="510"/>
      </w:pPr>
      <w:r>
        <w:rPr>
          <w:rFonts w:ascii="Times New Roman" w:hAnsi="Times New Roman" w:eastAsia="Times New Roman" w:cs="Times New Roman"/>
          <w:b w:val="0"/>
        </w:rPr>
        <w:t>6.5 API</w:t>
      </w:r>
    </w:p>
    <w:p>
      <w:pPr>
        <w:spacing w:after="40" w:line="276" w:lineRule="auto"/>
        <w:ind w:left="510"/>
      </w:pPr>
      <w:r>
        <w:rPr>
          <w:rFonts w:ascii="Times New Roman" w:hAnsi="Times New Roman" w:eastAsia="Times New Roman" w:cs="Times New Roman"/>
          <w:b w:val="0"/>
        </w:rPr>
        <w:t>6.6 Interface</w:t>
      </w:r>
    </w:p>
    <w:p>
      <w:pPr>
        <w:spacing w:after="40" w:line="276" w:lineRule="auto"/>
        <w:ind w:left="510"/>
      </w:pPr>
      <w:r>
        <w:rPr>
          <w:rFonts w:ascii="Times New Roman" w:hAnsi="Times New Roman" w:eastAsia="Times New Roman" w:cs="Times New Roman"/>
          <w:b w:val="0"/>
        </w:rPr>
        <w:t>6.7 Mise en ligne</w:t>
      </w:r>
    </w:p>
    <w:p>
      <w:pPr>
        <w:spacing w:after="40" w:line="276" w:lineRule="auto"/>
        <w:ind w:left="0"/>
      </w:pPr>
      <w:r>
        <w:rPr>
          <w:rFonts w:ascii="Times New Roman" w:hAnsi="Times New Roman" w:eastAsia="Times New Roman" w:cs="Times New Roman"/>
          <w:b/>
        </w:rPr>
        <w:t>7. Choix techniques et justifications</w:t>
      </w:r>
    </w:p>
    <w:p>
      <w:pPr>
        <w:spacing w:after="40" w:line="276" w:lineRule="auto"/>
        <w:ind w:left="0"/>
      </w:pPr>
      <w:r>
        <w:rPr>
          <w:rFonts w:ascii="Times New Roman" w:hAnsi="Times New Roman" w:eastAsia="Times New Roman" w:cs="Times New Roman"/>
          <w:b/>
        </w:rPr>
        <w:t>8. Résultats</w:t>
      </w:r>
    </w:p>
    <w:p>
      <w:pPr>
        <w:spacing w:after="40" w:line="276" w:lineRule="auto"/>
        <w:ind w:left="510"/>
      </w:pPr>
      <w:r>
        <w:rPr>
          <w:rFonts w:ascii="Times New Roman" w:hAnsi="Times New Roman" w:eastAsia="Times New Roman" w:cs="Times New Roman"/>
          <w:b w:val="0"/>
        </w:rPr>
        <w:t>8.1 Performances sur le jeu de test</w:t>
      </w:r>
    </w:p>
    <w:p>
      <w:pPr>
        <w:spacing w:after="40" w:line="276" w:lineRule="auto"/>
        <w:ind w:left="510"/>
      </w:pPr>
      <w:r>
        <w:rPr>
          <w:rFonts w:ascii="Times New Roman" w:hAnsi="Times New Roman" w:eastAsia="Times New Roman" w:cs="Times New Roman"/>
          <w:b w:val="0"/>
        </w:rPr>
        <w:t>8.2 Critères d’acceptation et objectifs</w:t>
      </w:r>
    </w:p>
    <w:p>
      <w:pPr>
        <w:spacing w:after="40" w:line="276" w:lineRule="auto"/>
        <w:ind w:left="510"/>
      </w:pPr>
      <w:r>
        <w:rPr>
          <w:rFonts w:ascii="Times New Roman" w:hAnsi="Times New Roman" w:eastAsia="Times New Roman" w:cs="Times New Roman"/>
          <w:b w:val="0"/>
        </w:rPr>
        <w:t>8.3 Analyse des erreurs</w:t>
      </w:r>
    </w:p>
    <w:p>
      <w:pPr>
        <w:spacing w:after="40" w:line="276" w:lineRule="auto"/>
        <w:ind w:left="510"/>
      </w:pPr>
      <w:r>
        <w:rPr>
          <w:rFonts w:ascii="Times New Roman" w:hAnsi="Times New Roman" w:eastAsia="Times New Roman" w:cs="Times New Roman"/>
          <w:b w:val="0"/>
        </w:rPr>
        <w:t>8.4 État au 9 octobre 2026</w:t>
      </w:r>
    </w:p>
    <w:p>
      <w:pPr>
        <w:spacing w:after="40" w:line="276" w:lineRule="auto"/>
        <w:ind w:left="0"/>
      </w:pPr>
      <w:r>
        <w:rPr>
          <w:rFonts w:ascii="Times New Roman" w:hAnsi="Times New Roman" w:eastAsia="Times New Roman" w:cs="Times New Roman"/>
          <w:b/>
        </w:rPr>
        <w:t>9. Difficultés rencontrées et solutions</w:t>
      </w:r>
    </w:p>
    <w:p>
      <w:pPr>
        <w:spacing w:after="40" w:line="276" w:lineRule="auto"/>
        <w:ind w:left="0"/>
      </w:pPr>
      <w:r>
        <w:rPr>
          <w:rFonts w:ascii="Times New Roman" w:hAnsi="Times New Roman" w:eastAsia="Times New Roman" w:cs="Times New Roman"/>
          <w:b/>
        </w:rPr>
        <w:t>10. Limites du travail</w:t>
      </w:r>
    </w:p>
    <w:p>
      <w:pPr>
        <w:spacing w:after="40" w:line="276" w:lineRule="auto"/>
        <w:ind w:left="0"/>
      </w:pPr>
      <w:r>
        <w:rPr>
          <w:rFonts w:ascii="Times New Roman" w:hAnsi="Times New Roman" w:eastAsia="Times New Roman" w:cs="Times New Roman"/>
          <w:b/>
        </w:rPr>
        <w:t>11. Perspectives d’amélioration</w:t>
      </w:r>
    </w:p>
    <w:p>
      <w:pPr>
        <w:spacing w:after="40" w:line="276" w:lineRule="auto"/>
        <w:ind w:left="0"/>
      </w:pPr>
      <w:r>
        <w:rPr>
          <w:rFonts w:ascii="Times New Roman" w:hAnsi="Times New Roman" w:eastAsia="Times New Roman" w:cs="Times New Roman"/>
          <w:b/>
        </w:rPr>
        <w:t>12. Conclusion</w:t>
      </w:r>
      <w:r>
        <w:fldChar w:fldCharType="end"/>
      </w:r>
    </w:p>
    <w:p>
      <w:r>
        <w:br w:type="page"/>
      </w:r>
    </w:p>
    <w:p>
      <w:pPr>
        <w:pStyle w:val="Heading1"/>
      </w:pPr>
      <w:r>
        <w:t>1. Contexte et problématique</w:t>
      </w:r>
    </w:p>
    <w:p>
      <w:pPr>
        <w:pStyle w:val="Heading2"/>
      </w:pPr>
      <w:r>
        <w:t>1.1 Contexte</w:t>
      </w:r>
    </w:p>
    <w:p>
      <w:r>
        <w:rPr>
          <w:rFonts w:ascii="Times New Roman" w:hAnsi="Times New Roman" w:eastAsia="Times New Roman" w:cs="Times New Roman"/>
        </w:rPr>
        <w:t>Les maladies foliaires sont une cause de pertes de rendement agricole. Leur repérage repose le plus souvent sur l’observation visuelle d’un agronome ou de l’exploitant : la méthode est lente, difficile à appliquer à grande échelle et sujette à l’erreur humaine, en particulier là où l’expertise phytosanitaire est rare. Ce constat ouvre le cahier des charges du projet (version 1.1, datée du 2 août 2026), qui demande un système capable d’identifier, à partir d’une photographie de feuille, la présence et le type d’une maladie.</w:t>
      </w:r>
    </w:p>
    <w:p>
      <w:r>
        <w:rPr>
          <w:rFonts w:ascii="Times New Roman" w:hAnsi="Times New Roman" w:eastAsia="Times New Roman" w:cs="Times New Roman"/>
        </w:rPr>
        <w:t>Le projet s’appuie sur PlantVillage, un jeu de données public d’environ 54 300 images de feuilles saines et malades, photographiées en laboratoire sur fond neutre. Il couvre 14 espèces cultivées (pomme, myrtille, cerise, maïs, raisin, orange, pêche, poivron, pomme de terre, framboise, soja, courge, fraise, tomate) et 38 classes, chaque classe correspondant à une espèce dans un état donné : saine, ou atteinte d’une maladie précise.</w:t>
      </w:r>
    </w:p>
    <w:p>
      <w:pPr>
        <w:pStyle w:val="Heading2"/>
      </w:pPr>
      <w:r>
        <w:t>1.2 Problématique</w:t>
      </w:r>
    </w:p>
    <w:p>
      <w:r>
        <w:rPr>
          <w:rFonts w:ascii="Times New Roman" w:hAnsi="Times New Roman" w:eastAsia="Times New Roman" w:cs="Times New Roman"/>
        </w:rPr>
        <w:t>La question à laquelle répond le projet est la suivante : comment identifier, à partir d’une seule photo de feuille, l’état sanitaire d’une plante parmi 38 possibilités, avec un niveau de confiance exploitable, et présenter ce résultat de façon compréhensible à une personne qui n’est pas spécialiste ?</w:t>
      </w:r>
    </w:p>
    <w:p>
      <w:r>
        <w:rPr>
          <w:rFonts w:ascii="Times New Roman" w:hAnsi="Times New Roman" w:eastAsia="Times New Roman" w:cs="Times New Roman"/>
        </w:rPr>
        <w:t>Deux difficultés apparaissent dès le cadrage. Les classes sont très inégalement représentées dans le jeu de données, ce qui expose le modèle à négliger les maladies rares. Par ailleurs, une exactitude obtenue sur des images de laboratoire ne préjuge pas de celle que l’on obtiendrait sur des photos prises au champ ; le cahier des charges le signale comme un risque à documenter.</w:t>
      </w:r>
    </w:p>
    <w:p>
      <w:pPr>
        <w:pStyle w:val="Heading2"/>
      </w:pPr>
      <w:r>
        <w:t>1.3 Cadre de réalisation</w:t>
      </w:r>
    </w:p>
    <w:p>
      <w:r>
        <w:rPr>
          <w:rFonts w:ascii="Times New Roman" w:hAnsi="Times New Roman" w:eastAsia="Times New Roman" w:cs="Times New Roman"/>
        </w:rPr>
        <w:t>Le projet est individuel. Sa partie technique (données, modèle, API, interface, déploiement) a été réalisée entre le 2 août 2026 en soirée et le 3 août 2026 en matinée, d’après les horodatages des commits et des journaux d’exécution ; le détail figure dans le compte rendu chronologique. Le travail a été mené sur un seul poste, un Mac à puce Apple M1 avec 8 Go de mémoire.</w:t>
      </w:r>
    </w:p>
    <w:p>
      <w:r>
        <w:rPr>
          <w:rFonts w:ascii="Times New Roman" w:hAnsi="Times New Roman" w:eastAsia="Times New Roman" w:cs="Times New Roman"/>
        </w:rPr>
        <w:t>Le développement s’est fait en dialogue avec un assistant de programmation fondé sur un modèle de langage (Claude Code, d’Anthropic). L’assistant a rédigé et exécuté une partie importante du code et des vérifications, sous la direction de l’auteur. L’auteur a arbitré les choix de périmètre (section 2.3) et a lui-même exécuté les scripts de préparation des données, d’extraction de caractéristiques, d’entraînement et d’évaluation, en communiquant leurs sorties. Les chiffres de ce dossier proviennent de l’exécution de ces scripts.</w:t>
      </w:r>
    </w:p>
    <w:p>
      <w:pPr>
        <w:pStyle w:val="Heading1"/>
      </w:pPr>
      <w:r>
        <w:t>2. Objectifs et périmètre</w:t>
      </w:r>
    </w:p>
    <w:p>
      <w:pPr>
        <w:pStyle w:val="Heading2"/>
      </w:pPr>
      <w:r>
        <w:t>2.1 Objectifs</w:t>
      </w:r>
    </w:p>
    <w:p>
      <w:r>
        <w:rPr>
          <w:rFonts w:ascii="Times New Roman" w:hAnsi="Times New Roman" w:eastAsia="Times New Roman" w:cs="Times New Roman"/>
        </w:rPr>
        <w:t>L’objectif général est de concevoir, d’entraîner et d’évaluer un modèle de classification d’images qui reconnaît l’état sanitaire d’une feuille, saine ou atteinte d’une maladie précise, en s’appuyant sur le transfert d’apprentissage. Le cahier des charges en déduit cinq objectifs spécifiques :</w:t>
      </w:r>
    </w:p>
    <w:p>
      <w:pPr>
        <w:pStyle w:val="ListBullet"/>
      </w:pPr>
      <w:r>
        <w:rPr>
          <w:rFonts w:ascii="Times New Roman" w:hAnsi="Times New Roman" w:eastAsia="Times New Roman" w:cs="Times New Roman"/>
        </w:rPr>
        <w:t>atteindre une exactitude globale supérieure à 90 % sur un jeu de test indépendant ;</w:t>
      </w:r>
    </w:p>
    <w:p>
      <w:pPr>
        <w:pStyle w:val="ListBullet"/>
      </w:pPr>
      <w:r>
        <w:rPr>
          <w:rFonts w:ascii="Times New Roman" w:hAnsi="Times New Roman" w:eastAsia="Times New Roman" w:cs="Times New Roman"/>
        </w:rPr>
        <w:t>fournir, pour chaque prédiction, un niveau de confiance et les trois classes les plus probables ;</w:t>
      </w:r>
    </w:p>
    <w:p>
      <w:pPr>
        <w:pStyle w:val="ListBullet"/>
      </w:pPr>
      <w:r>
        <w:rPr>
          <w:rFonts w:ascii="Times New Roman" w:hAnsi="Times New Roman" w:eastAsia="Times New Roman" w:cs="Times New Roman"/>
        </w:rPr>
        <w:t>produire un modèle assez léger pour un usage mobile ou embarqué (objectif indicatif : moins de 20 Mo après conversion) ;</w:t>
      </w:r>
    </w:p>
    <w:p>
      <w:pPr>
        <w:pStyle w:val="ListBullet"/>
      </w:pPr>
      <w:r>
        <w:rPr>
          <w:rFonts w:ascii="Times New Roman" w:hAnsi="Times New Roman" w:eastAsia="Times New Roman" w:cs="Times New Roman"/>
        </w:rPr>
        <w:t>livrer une interface de démonstration permettant de tester le modèle sur une image importée ;</w:t>
      </w:r>
    </w:p>
    <w:p>
      <w:pPr>
        <w:pStyle w:val="ListBullet"/>
      </w:pPr>
      <w:r>
        <w:rPr>
          <w:rFonts w:ascii="Times New Roman" w:hAnsi="Times New Roman" w:eastAsia="Times New Roman" w:cs="Times New Roman"/>
        </w:rPr>
        <w:t>documenter les limites du modèle, notamment sur des images prises hors laboratoire.</w:t>
      </w:r>
    </w:p>
    <w:p>
      <w:pPr>
        <w:pStyle w:val="Heading2"/>
      </w:pPr>
      <w:r>
        <w:t>2.2 Périmètre</w:t>
      </w:r>
    </w:p>
    <w:p>
      <w:r>
        <w:rPr>
          <w:rFonts w:ascii="Times New Roman" w:hAnsi="Times New Roman" w:eastAsia="Times New Roman" w:cs="Times New Roman"/>
        </w:rPr>
        <w:t>Sont inclus : la classification sur les 38 classes de PlantVillage, l’entraînement par transfert d’apprentissage à partir d’un modèle pré-entraîné sur ImageNet, l’évaluation quantitative (exactitude, précision, rappel, F1-score, matrice de confusion), une interface de démonstration et la documentation.</w:t>
      </w:r>
    </w:p>
    <w:p>
      <w:r>
        <w:rPr>
          <w:rFonts w:ascii="Times New Roman" w:hAnsi="Times New Roman" w:eastAsia="Times New Roman" w:cs="Times New Roman"/>
        </w:rPr>
        <w:t>Sont exclus : les cultures absentes de PlantVillage, le déploiement sur une flotte de capteurs ou de drones, la recommandation automatisée de traitement phytosanitaire et la collecte de nouvelles données de terrain.</w:t>
      </w:r>
    </w:p>
    <w:p>
      <w:pPr>
        <w:pStyle w:val="Heading2"/>
      </w:pPr>
      <w:r>
        <w:t>2.3 Arbitrages de périmètre en cours de projet</w:t>
      </w:r>
    </w:p>
    <w:p>
      <w:pPr>
        <w:pStyle w:val="ListBullet"/>
      </w:pPr>
      <w:r>
        <w:rPr>
          <w:rFonts w:ascii="Times New Roman" w:hAnsi="Times New Roman" w:eastAsia="Times New Roman" w:cs="Times New Roman"/>
          <w:b/>
        </w:rPr>
        <w:t>Pas de conduite à tenir dans le diagnostic.</w:t>
      </w:r>
      <w:r>
        <w:rPr>
          <w:rFonts w:ascii="Times New Roman" w:hAnsi="Times New Roman" w:eastAsia="Times New Roman" w:cs="Times New Roman"/>
        </w:rPr>
        <w:t xml:space="preserve"> L’auteur a demandé que le diagnostic indique aussi « ce qu’il faut faire ». Cette demande entrait en conflit avec la section 3.2 du cahier des charges (« le système identifie la maladie, il ne prescrit pas de solution »), et la section 12 n’envisage un tel module qu’avec un expert agronome. L’auteur a retenu l’option la plus restreinte : décrire la maladie (agent pathogène, symptômes, mode de propagation) sans recommandation de traitement ni bonne pratique générale.</w:t>
      </w:r>
    </w:p>
    <w:p>
      <w:pPr>
        <w:pStyle w:val="ListBullet"/>
      </w:pPr>
      <w:r>
        <w:rPr>
          <w:rFonts w:ascii="Times New Roman" w:hAnsi="Times New Roman" w:eastAsia="Times New Roman" w:cs="Times New Roman"/>
          <w:b/>
        </w:rPr>
        <w:t>Référence externe reprise en partie.</w:t>
      </w:r>
      <w:r>
        <w:rPr>
          <w:rFonts w:ascii="Times New Roman" w:hAnsi="Times New Roman" w:eastAsia="Times New Roman" w:cs="Times New Roman"/>
        </w:rPr>
        <w:t xml:space="preserve"> Le descriptif d’une application de diagnostic de plantes (« SOS Plantes ») a servi d’inspiration. Ont été repris le choix entre photo et fichier et une section « Comment ça marche ». Ont été écartés les jauges d’eau, de lumière et de nutriments (le modèle ne mesure pas ces grandeurs), les marqueurs de zones atteintes (ils relèvent de la segmentation, section 12 du cahier) et les boutons de téléchargement d’application mobile (hors périmètre).</w:t>
      </w:r>
    </w:p>
    <w:p>
      <w:pPr>
        <w:pStyle w:val="ListBullet"/>
      </w:pPr>
      <w:r>
        <w:rPr>
          <w:rFonts w:ascii="Times New Roman" w:hAnsi="Times New Roman" w:eastAsia="Times New Roman" w:cs="Times New Roman"/>
          <w:b/>
        </w:rPr>
        <w:t>Nom de l’application.</w:t>
      </w:r>
      <w:r>
        <w:rPr>
          <w:rFonts w:ascii="Times New Roman" w:hAnsi="Times New Roman" w:eastAsia="Times New Roman" w:cs="Times New Roman"/>
        </w:rPr>
        <w:t xml:space="preserve"> Le nom « 100Plante » a remplacé l’intitulé initial « Leaf Disease Detection » pendant la phase d’interface.</w:t>
      </w:r>
    </w:p>
    <w:p>
      <w:pPr>
        <w:pStyle w:val="ListBullet"/>
      </w:pPr>
      <w:r>
        <w:rPr>
          <w:rFonts w:ascii="Times New Roman" w:hAnsi="Times New Roman" w:eastAsia="Times New Roman" w:cs="Times New Roman"/>
          <w:b/>
        </w:rPr>
        <w:t>Modèle de base.</w:t>
      </w:r>
      <w:r>
        <w:rPr>
          <w:rFonts w:ascii="Times New Roman" w:hAnsi="Times New Roman" w:eastAsia="Times New Roman" w:cs="Times New Roman"/>
        </w:rPr>
        <w:t xml:space="preserve"> MobileNetV2 a été retenu ; EfficientNetB0, également admis par le cahier des charges, n’a pas été implémenté.</w:t>
      </w:r>
    </w:p>
    <w:p>
      <w:pPr>
        <w:pStyle w:val="Heading1"/>
      </w:pPr>
      <w:r>
        <w:t>3. Besoins couverts</w:t>
      </w:r>
    </w:p>
    <w:p>
      <w:pPr>
        <w:pStyle w:val="Legende"/>
        <w:keepNext/>
        <w:spacing w:before="120" w:after="80"/>
      </w:pPr>
      <w:r>
        <w:rPr>
          <w:rFonts w:ascii="Times New Roman" w:hAnsi="Times New Roman" w:eastAsia="Times New Roman" w:cs="Times New Roman"/>
          <w:b/>
          <w:sz w:val="21"/>
        </w:rPr>
        <w:t>Tableau 1.</w:t>
      </w:r>
      <w:r>
        <w:rPr>
          <w:rFonts w:ascii="Times New Roman" w:hAnsi="Times New Roman" w:eastAsia="Times New Roman" w:cs="Times New Roman"/>
          <w:sz w:val="21"/>
        </w:rPr>
        <w:t xml:space="preserve"> Exigences fonctionnelles du cahier des charges et réponses apportées.</w:t>
      </w:r>
    </w:p>
    <w:tbl>
      <w:tblPr>
        <w:tblStyle w:val="TableGrid"/>
        <w:tblW w:type="auto" w:w="0"/>
        <w:jc w:val="left"/>
        <w:tblLayout w:type="fixed"/>
        <w:tblLook w:firstColumn="1" w:firstRow="1" w:lastColumn="0" w:lastRow="0" w:noHBand="0" w:noVBand="1" w:val="04A0"/>
      </w:tblPr>
      <w:tblGrid>
        <w:gridCol w:w="4536"/>
        <w:gridCol w:w="4536"/>
      </w:tblGrid>
      <w:tr>
        <w:trPr>
          <w:tblHeader w:val="true"/>
        </w:trPr>
        <w:tc>
          <w:tcPr>
            <w:tcW w:type="dxa" w:w="3810"/>
          </w:tcPr>
          <w:p>
            <w:pPr>
              <w:pStyle w:val="Cellule"/>
            </w:pPr>
            <w:r>
              <w:rPr>
                <w:rFonts w:ascii="Times New Roman" w:hAnsi="Times New Roman" w:eastAsia="Times New Roman" w:cs="Times New Roman"/>
                <w:b/>
                <w:sz w:val="21"/>
              </w:rPr>
              <w:t>Exigence du cahier des charges</w:t>
            </w:r>
          </w:p>
        </w:tc>
        <w:tc>
          <w:tcPr>
            <w:tcW w:type="dxa" w:w="5261"/>
          </w:tcPr>
          <w:p>
            <w:pPr>
              <w:pStyle w:val="Cellule"/>
            </w:pPr>
            <w:r>
              <w:rPr>
                <w:rFonts w:ascii="Times New Roman" w:hAnsi="Times New Roman" w:eastAsia="Times New Roman" w:cs="Times New Roman"/>
                <w:b/>
                <w:sz w:val="21"/>
              </w:rPr>
              <w:t>Réponse apportée</w:t>
            </w:r>
          </w:p>
        </w:tc>
      </w:tr>
      <w:tr>
        <w:trPr>
          <w:cantSplit w:val="true"/>
        </w:trPr>
        <w:tc>
          <w:tcPr>
            <w:tcW w:type="dxa" w:w="3810"/>
          </w:tcPr>
          <w:p>
            <w:pPr>
              <w:pStyle w:val="Cellule"/>
            </w:pPr>
            <w:r>
              <w:rPr>
                <w:rFonts w:ascii="Times New Roman" w:hAnsi="Times New Roman" w:eastAsia="Times New Roman" w:cs="Times New Roman"/>
                <w:sz w:val="21"/>
              </w:rPr>
              <w:t>Entrée : image JPEG ou PNG</w:t>
            </w:r>
          </w:p>
        </w:tc>
        <w:tc>
          <w:tcPr>
            <w:tcW w:type="dxa" w:w="5261"/>
          </w:tcPr>
          <w:p>
            <w:pPr>
              <w:pStyle w:val="Cellule"/>
            </w:pPr>
            <w:r>
              <w:rPr>
                <w:rFonts w:ascii="Times New Roman" w:hAnsi="Times New Roman" w:eastAsia="Times New Roman" w:cs="Times New Roman"/>
                <w:sz w:val="21"/>
              </w:rPr>
              <w:t xml:space="preserve">Route </w:t>
            </w:r>
            <w:r>
              <w:rPr>
                <w:rFonts w:ascii="Courier New" w:hAnsi="Courier New" w:eastAsia="Courier New" w:cs="Courier New"/>
                <w:sz w:val="19"/>
              </w:rPr>
              <w:t>POST /api/predict</w:t>
            </w:r>
            <w:r>
              <w:rPr>
                <w:rFonts w:ascii="Times New Roman" w:hAnsi="Times New Roman" w:eastAsia="Times New Roman" w:cs="Times New Roman"/>
                <w:sz w:val="21"/>
              </w:rPr>
              <w:t xml:space="preserve"> ; types </w:t>
            </w:r>
            <w:r>
              <w:rPr>
                <w:rFonts w:ascii="Courier New" w:hAnsi="Courier New" w:eastAsia="Courier New" w:cs="Courier New"/>
                <w:sz w:val="19"/>
              </w:rPr>
              <w:t>image/jpeg</w:t>
            </w:r>
            <w:r>
              <w:rPr>
                <w:rFonts w:ascii="Times New Roman" w:hAnsi="Times New Roman" w:eastAsia="Times New Roman" w:cs="Times New Roman"/>
                <w:sz w:val="21"/>
              </w:rPr>
              <w:t xml:space="preserve"> et </w:t>
            </w:r>
            <w:r>
              <w:rPr>
                <w:rFonts w:ascii="Courier New" w:hAnsi="Courier New" w:eastAsia="Courier New" w:cs="Courier New"/>
                <w:sz w:val="19"/>
              </w:rPr>
              <w:t>image/png</w:t>
            </w:r>
            <w:r>
              <w:rPr>
                <w:rFonts w:ascii="Times New Roman" w:hAnsi="Times New Roman" w:eastAsia="Times New Roman" w:cs="Times New Roman"/>
                <w:sz w:val="21"/>
              </w:rPr>
              <w:t xml:space="preserve"> acceptés, 10 Mo au maximum.</w:t>
            </w:r>
          </w:p>
        </w:tc>
      </w:tr>
      <w:tr>
        <w:trPr>
          <w:cantSplit w:val="true"/>
        </w:trPr>
        <w:tc>
          <w:tcPr>
            <w:tcW w:type="dxa" w:w="3810"/>
          </w:tcPr>
          <w:p>
            <w:pPr>
              <w:pStyle w:val="Cellule"/>
            </w:pPr>
            <w:r>
              <w:rPr>
                <w:rFonts w:ascii="Times New Roman" w:hAnsi="Times New Roman" w:eastAsia="Times New Roman" w:cs="Times New Roman"/>
                <w:sz w:val="21"/>
              </w:rPr>
              <w:t>Sortie : classe prédite (espèce et état) avec un score de confiance</w:t>
            </w:r>
          </w:p>
        </w:tc>
        <w:tc>
          <w:tcPr>
            <w:tcW w:type="dxa" w:w="5261"/>
          </w:tcPr>
          <w:p>
            <w:pPr>
              <w:pStyle w:val="Cellule"/>
            </w:pPr>
            <w:r>
              <w:rPr>
                <w:rFonts w:ascii="Times New Roman" w:hAnsi="Times New Roman" w:eastAsia="Times New Roman" w:cs="Times New Roman"/>
                <w:sz w:val="21"/>
              </w:rPr>
              <w:t xml:space="preserve">Champ </w:t>
            </w:r>
            <w:r>
              <w:rPr>
                <w:rFonts w:ascii="Courier New" w:hAnsi="Courier New" w:eastAsia="Courier New" w:cs="Courier New"/>
                <w:sz w:val="19"/>
              </w:rPr>
              <w:t>predicted</w:t>
            </w:r>
            <w:r>
              <w:rPr>
                <w:rFonts w:ascii="Times New Roman" w:hAnsi="Times New Roman" w:eastAsia="Times New Roman" w:cs="Times New Roman"/>
                <w:sz w:val="21"/>
              </w:rPr>
              <w:t xml:space="preserve"> de la réponse : libellé brut, espèce, état, confiance entre 0 et 1.</w:t>
            </w:r>
          </w:p>
        </w:tc>
      </w:tr>
      <w:tr>
        <w:trPr>
          <w:cantSplit w:val="true"/>
        </w:trPr>
        <w:tc>
          <w:tcPr>
            <w:tcW w:type="dxa" w:w="3810"/>
          </w:tcPr>
          <w:p>
            <w:pPr>
              <w:pStyle w:val="Cellule"/>
            </w:pPr>
            <w:r>
              <w:rPr>
                <w:rFonts w:ascii="Times New Roman" w:hAnsi="Times New Roman" w:eastAsia="Times New Roman" w:cs="Times New Roman"/>
                <w:sz w:val="21"/>
              </w:rPr>
              <w:t>Trois classes les plus probables lorsque la confiance est faible (seuil indicatif de 70 %)</w:t>
            </w:r>
          </w:p>
        </w:tc>
        <w:tc>
          <w:tcPr>
            <w:tcW w:type="dxa" w:w="5261"/>
          </w:tcPr>
          <w:p>
            <w:pPr>
              <w:pStyle w:val="Cellule"/>
            </w:pPr>
            <w:r>
              <w:rPr>
                <w:rFonts w:ascii="Times New Roman" w:hAnsi="Times New Roman" w:eastAsia="Times New Roman" w:cs="Times New Roman"/>
                <w:sz w:val="21"/>
              </w:rPr>
              <w:t xml:space="preserve">Champ </w:t>
            </w:r>
            <w:r>
              <w:rPr>
                <w:rFonts w:ascii="Courier New" w:hAnsi="Courier New" w:eastAsia="Courier New" w:cs="Courier New"/>
                <w:sz w:val="19"/>
              </w:rPr>
              <w:t>top_k</w:t>
            </w:r>
            <w:r>
              <w:rPr>
                <w:rFonts w:ascii="Times New Roman" w:hAnsi="Times New Roman" w:eastAsia="Times New Roman" w:cs="Times New Roman"/>
                <w:sz w:val="21"/>
              </w:rPr>
              <w:t xml:space="preserve"> toujours renvoyé ; indicateur </w:t>
            </w:r>
            <w:r>
              <w:rPr>
                <w:rFonts w:ascii="Courier New" w:hAnsi="Courier New" w:eastAsia="Courier New" w:cs="Courier New"/>
                <w:sz w:val="19"/>
              </w:rPr>
              <w:t>low_confidence</w:t>
            </w:r>
            <w:r>
              <w:rPr>
                <w:rFonts w:ascii="Times New Roman" w:hAnsi="Times New Roman" w:eastAsia="Times New Roman" w:cs="Times New Roman"/>
                <w:sz w:val="21"/>
              </w:rPr>
              <w:t xml:space="preserve"> vrai sous 70 % ; l’interface en tient compte dans son message.</w:t>
            </w:r>
          </w:p>
        </w:tc>
      </w:tr>
      <w:tr>
        <w:trPr>
          <w:cantSplit w:val="true"/>
        </w:trPr>
        <w:tc>
          <w:tcPr>
            <w:tcW w:type="dxa" w:w="3810"/>
          </w:tcPr>
          <w:p>
            <w:pPr>
              <w:pStyle w:val="Cellule"/>
            </w:pPr>
            <w:r>
              <w:rPr>
                <w:rFonts w:ascii="Times New Roman" w:hAnsi="Times New Roman" w:eastAsia="Times New Roman" w:cs="Times New Roman"/>
                <w:sz w:val="21"/>
              </w:rPr>
              <w:t>Traitement d’une image unique via une interface de démonstration</w:t>
            </w:r>
          </w:p>
        </w:tc>
        <w:tc>
          <w:tcPr>
            <w:tcW w:type="dxa" w:w="5261"/>
          </w:tcPr>
          <w:p>
            <w:pPr>
              <w:pStyle w:val="Cellule"/>
            </w:pPr>
            <w:r>
              <w:rPr>
                <w:rFonts w:ascii="Times New Roman" w:hAnsi="Times New Roman" w:eastAsia="Times New Roman" w:cs="Times New Roman"/>
                <w:sz w:val="21"/>
              </w:rPr>
              <w:t xml:space="preserve">Pages </w:t>
            </w:r>
            <w:r>
              <w:rPr>
                <w:rFonts w:ascii="Courier New" w:hAnsi="Courier New" w:eastAsia="Courier New" w:cs="Courier New"/>
                <w:sz w:val="19"/>
              </w:rPr>
              <w:t>/demo</w:t>
            </w:r>
            <w:r>
              <w:rPr>
                <w:rFonts w:ascii="Times New Roman" w:hAnsi="Times New Roman" w:eastAsia="Times New Roman" w:cs="Times New Roman"/>
                <w:sz w:val="21"/>
              </w:rPr>
              <w:t xml:space="preserve"> (import et analyse) et </w:t>
            </w:r>
            <w:r>
              <w:rPr>
                <w:rFonts w:ascii="Courier New" w:hAnsi="Courier New" w:eastAsia="Courier New" w:cs="Courier New"/>
                <w:sz w:val="19"/>
              </w:rPr>
              <w:t>/resultat</w:t>
            </w:r>
            <w:r>
              <w:rPr>
                <w:rFonts w:ascii="Times New Roman" w:hAnsi="Times New Roman" w:eastAsia="Times New Roman" w:cs="Times New Roman"/>
                <w:sz w:val="21"/>
              </w:rPr>
              <w:t xml:space="preserve"> (diagnostic).</w:t>
            </w:r>
          </w:p>
        </w:tc>
      </w:tr>
      <w:tr>
        <w:trPr>
          <w:cantSplit w:val="true"/>
        </w:trPr>
        <w:tc>
          <w:tcPr>
            <w:tcW w:type="dxa" w:w="3810"/>
          </w:tcPr>
          <w:p>
            <w:pPr>
              <w:pStyle w:val="Cellule"/>
            </w:pPr>
            <w:r>
              <w:rPr>
                <w:rFonts w:ascii="Times New Roman" w:hAnsi="Times New Roman" w:eastAsia="Times New Roman" w:cs="Times New Roman"/>
                <w:sz w:val="21"/>
              </w:rPr>
              <w:t>Rapport d’évaluation exportable après entraînement</w:t>
            </w:r>
          </w:p>
        </w:tc>
        <w:tc>
          <w:tcPr>
            <w:tcW w:type="dxa" w:w="5261"/>
          </w:tcPr>
          <w:p>
            <w:pPr>
              <w:pStyle w:val="Cellule"/>
            </w:pPr>
            <w:r>
              <w:rPr>
                <w:rFonts w:ascii="Times New Roman" w:hAnsi="Times New Roman" w:eastAsia="Times New Roman" w:cs="Times New Roman"/>
                <w:sz w:val="21"/>
              </w:rPr>
              <w:t xml:space="preserve">Dossier </w:t>
            </w:r>
            <w:r>
              <w:rPr>
                <w:rFonts w:ascii="Courier New" w:hAnsi="Courier New" w:eastAsia="Courier New" w:cs="Courier New"/>
                <w:sz w:val="19"/>
              </w:rPr>
              <w:t>backend/reports</w:t>
            </w:r>
            <w:r>
              <w:rPr>
                <w:rFonts w:ascii="Times New Roman" w:hAnsi="Times New Roman" w:eastAsia="Times New Roman" w:cs="Times New Roman"/>
                <w:sz w:val="21"/>
              </w:rPr>
              <w:t xml:space="preserve"> : rapport Markdown, métriques JSON, matrice de confusion en CSV et PNG, rapport de classification par classe.</w:t>
            </w:r>
          </w:p>
        </w:tc>
      </w:tr>
    </w:tbl>
    <w:p>
      <w:pPr>
        <w:spacing w:after="0" w:lineRule="exact" w:line="200"/>
      </w:pPr>
    </w:p>
    <w:p>
      <w:r>
        <w:rPr>
          <w:rFonts w:ascii="Times New Roman" w:hAnsi="Times New Roman" w:eastAsia="Times New Roman" w:cs="Times New Roman"/>
        </w:rPr>
        <w:t>Trois besoins se sont ajoutés en cours de route : l’affichage des 38 classes en français, une fiche descriptive de la maladie détectée, et une indication de fiabilité propre à chaque classe, fondée sur l’évaluation sur jeu de test. L’application a de plus été adaptée aux écrans de téléphone, de tablette et d’ordinateur.</w:t>
      </w:r>
    </w:p>
    <w:p>
      <w:pPr>
        <w:pStyle w:val="Heading1"/>
      </w:pPr>
      <w:r>
        <w:t>4. Technologies et outils</w:t>
      </w:r>
    </w:p>
    <w:p>
      <w:pPr>
        <w:pStyle w:val="Legende"/>
        <w:keepNext/>
        <w:spacing w:before="120" w:after="80"/>
      </w:pPr>
      <w:r>
        <w:rPr>
          <w:rFonts w:ascii="Times New Roman" w:hAnsi="Times New Roman" w:eastAsia="Times New Roman" w:cs="Times New Roman"/>
          <w:b/>
          <w:sz w:val="21"/>
        </w:rPr>
        <w:t>Tableau 2.</w:t>
      </w:r>
      <w:r>
        <w:rPr>
          <w:rFonts w:ascii="Times New Roman" w:hAnsi="Times New Roman" w:eastAsia="Times New Roman" w:cs="Times New Roman"/>
          <w:sz w:val="21"/>
        </w:rPr>
        <w:t xml:space="preserve"> Technologies et outils utilisés.</w:t>
      </w:r>
    </w:p>
    <w:tbl>
      <w:tblPr>
        <w:tblStyle w:val="TableGrid"/>
        <w:tblW w:type="auto" w:w="0"/>
        <w:jc w:val="left"/>
        <w:tblLayout w:type="fixed"/>
        <w:tblLook w:firstColumn="1" w:firstRow="1" w:lastColumn="0" w:lastRow="0" w:noHBand="0" w:noVBand="1" w:val="04A0"/>
      </w:tblPr>
      <w:tblGrid>
        <w:gridCol w:w="2268"/>
        <w:gridCol w:w="2268"/>
        <w:gridCol w:w="2268"/>
        <w:gridCol w:w="2268"/>
      </w:tblGrid>
      <w:tr>
        <w:trPr>
          <w:tblHeader w:val="true"/>
        </w:trPr>
        <w:tc>
          <w:tcPr>
            <w:tcW w:type="dxa" w:w="1814"/>
          </w:tcPr>
          <w:p>
            <w:pPr>
              <w:pStyle w:val="Cellule"/>
            </w:pPr>
            <w:r>
              <w:rPr>
                <w:rFonts w:ascii="Times New Roman" w:hAnsi="Times New Roman" w:eastAsia="Times New Roman" w:cs="Times New Roman"/>
                <w:b/>
                <w:sz w:val="21"/>
              </w:rPr>
              <w:t>Domaine</w:t>
            </w:r>
          </w:p>
        </w:tc>
        <w:tc>
          <w:tcPr>
            <w:tcW w:type="dxa" w:w="2721"/>
          </w:tcPr>
          <w:p>
            <w:pPr>
              <w:pStyle w:val="Cellule"/>
            </w:pPr>
            <w:r>
              <w:rPr>
                <w:rFonts w:ascii="Times New Roman" w:hAnsi="Times New Roman" w:eastAsia="Times New Roman" w:cs="Times New Roman"/>
                <w:b/>
                <w:sz w:val="21"/>
              </w:rPr>
              <w:t>Outil</w:t>
            </w:r>
          </w:p>
        </w:tc>
        <w:tc>
          <w:tcPr>
            <w:tcW w:type="dxa" w:w="1542"/>
          </w:tcPr>
          <w:p>
            <w:pPr>
              <w:pStyle w:val="Cellule"/>
            </w:pPr>
            <w:r>
              <w:rPr>
                <w:rFonts w:ascii="Times New Roman" w:hAnsi="Times New Roman" w:eastAsia="Times New Roman" w:cs="Times New Roman"/>
                <w:b/>
                <w:sz w:val="21"/>
              </w:rPr>
              <w:t>Version</w:t>
            </w:r>
          </w:p>
        </w:tc>
        <w:tc>
          <w:tcPr>
            <w:tcW w:type="dxa" w:w="2993"/>
          </w:tcPr>
          <w:p>
            <w:pPr>
              <w:pStyle w:val="Cellule"/>
            </w:pPr>
            <w:r>
              <w:rPr>
                <w:rFonts w:ascii="Times New Roman" w:hAnsi="Times New Roman" w:eastAsia="Times New Roman" w:cs="Times New Roman"/>
                <w:b/>
                <w:sz w:val="21"/>
              </w:rPr>
              <w:t>Usage</w:t>
            </w:r>
          </w:p>
        </w:tc>
      </w:tr>
      <w:tr>
        <w:trPr>
          <w:cantSplit w:val="true"/>
        </w:trPr>
        <w:tc>
          <w:tcPr>
            <w:tcW w:type="dxa" w:w="1814"/>
          </w:tcPr>
          <w:p>
            <w:pPr>
              <w:pStyle w:val="Cellule"/>
            </w:pPr>
            <w:r>
              <w:rPr>
                <w:rFonts w:ascii="Times New Roman" w:hAnsi="Times New Roman" w:eastAsia="Times New Roman" w:cs="Times New Roman"/>
                <w:sz w:val="21"/>
              </w:rPr>
              <w:t>Langage</w:t>
            </w:r>
          </w:p>
        </w:tc>
        <w:tc>
          <w:tcPr>
            <w:tcW w:type="dxa" w:w="2721"/>
          </w:tcPr>
          <w:p>
            <w:pPr>
              <w:pStyle w:val="Cellule"/>
            </w:pPr>
            <w:r>
              <w:rPr>
                <w:rFonts w:ascii="Times New Roman" w:hAnsi="Times New Roman" w:eastAsia="Times New Roman" w:cs="Times New Roman"/>
                <w:sz w:val="21"/>
              </w:rPr>
              <w:t>Python (pyenv, venv)</w:t>
            </w:r>
          </w:p>
        </w:tc>
        <w:tc>
          <w:tcPr>
            <w:tcW w:type="dxa" w:w="1542"/>
          </w:tcPr>
          <w:p>
            <w:pPr>
              <w:pStyle w:val="Cellule"/>
            </w:pPr>
            <w:r>
              <w:rPr>
                <w:rFonts w:ascii="Times New Roman" w:hAnsi="Times New Roman" w:eastAsia="Times New Roman" w:cs="Times New Roman"/>
                <w:sz w:val="21"/>
              </w:rPr>
              <w:t>3.11.6</w:t>
            </w:r>
          </w:p>
        </w:tc>
        <w:tc>
          <w:tcPr>
            <w:tcW w:type="dxa" w:w="2993"/>
          </w:tcPr>
          <w:p>
            <w:pPr>
              <w:pStyle w:val="Cellule"/>
            </w:pPr>
            <w:r>
              <w:rPr>
                <w:rFonts w:ascii="Times New Roman" w:hAnsi="Times New Roman" w:eastAsia="Times New Roman" w:cs="Times New Roman"/>
                <w:sz w:val="21"/>
              </w:rPr>
              <w:t>Backend, scripts de données et d’entraînement</w:t>
            </w:r>
          </w:p>
        </w:tc>
      </w:tr>
      <w:tr>
        <w:trPr>
          <w:cantSplit w:val="true"/>
        </w:trPr>
        <w:tc>
          <w:tcPr>
            <w:tcW w:type="dxa" w:w="1814"/>
          </w:tcPr>
          <w:p>
            <w:pPr>
              <w:pStyle w:val="Cellule"/>
            </w:pPr>
            <w:r>
              <w:rPr>
                <w:rFonts w:ascii="Times New Roman" w:hAnsi="Times New Roman" w:eastAsia="Times New Roman" w:cs="Times New Roman"/>
                <w:sz w:val="21"/>
              </w:rPr>
              <w:t>Apprentissage profond</w:t>
            </w:r>
          </w:p>
        </w:tc>
        <w:tc>
          <w:tcPr>
            <w:tcW w:type="dxa" w:w="2721"/>
          </w:tcPr>
          <w:p>
            <w:pPr>
              <w:pStyle w:val="Cellule"/>
            </w:pPr>
            <w:r>
              <w:rPr>
                <w:rFonts w:ascii="Times New Roman" w:hAnsi="Times New Roman" w:eastAsia="Times New Roman" w:cs="Times New Roman"/>
                <w:sz w:val="21"/>
              </w:rPr>
              <w:t>TensorFlow / Keras</w:t>
            </w:r>
          </w:p>
        </w:tc>
        <w:tc>
          <w:tcPr>
            <w:tcW w:type="dxa" w:w="1542"/>
          </w:tcPr>
          <w:p>
            <w:pPr>
              <w:pStyle w:val="Cellule"/>
            </w:pPr>
            <w:r>
              <w:rPr>
                <w:rFonts w:ascii="Times New Roman" w:hAnsi="Times New Roman" w:eastAsia="Times New Roman" w:cs="Times New Roman"/>
                <w:sz w:val="21"/>
              </w:rPr>
              <w:t>2.18.0</w:t>
            </w:r>
          </w:p>
        </w:tc>
        <w:tc>
          <w:tcPr>
            <w:tcW w:type="dxa" w:w="2993"/>
          </w:tcPr>
          <w:p>
            <w:pPr>
              <w:pStyle w:val="Cellule"/>
            </w:pPr>
            <w:r>
              <w:rPr>
                <w:rFonts w:ascii="Times New Roman" w:hAnsi="Times New Roman" w:eastAsia="Times New Roman" w:cs="Times New Roman"/>
                <w:sz w:val="21"/>
              </w:rPr>
              <w:t>MobileNetV2, entraînement, inférence</w:t>
            </w:r>
          </w:p>
        </w:tc>
      </w:tr>
      <w:tr>
        <w:trPr>
          <w:cantSplit w:val="true"/>
        </w:trPr>
        <w:tc>
          <w:tcPr>
            <w:tcW w:type="dxa" w:w="1814"/>
          </w:tcPr>
          <w:p>
            <w:pPr>
              <w:pStyle w:val="Cellule"/>
            </w:pPr>
            <w:r>
              <w:rPr>
                <w:rFonts w:ascii="Times New Roman" w:hAnsi="Times New Roman" w:eastAsia="Times New Roman" w:cs="Times New Roman"/>
                <w:sz w:val="21"/>
              </w:rPr>
              <w:t>Accélération locale</w:t>
            </w:r>
          </w:p>
        </w:tc>
        <w:tc>
          <w:tcPr>
            <w:tcW w:type="dxa" w:w="2721"/>
          </w:tcPr>
          <w:p>
            <w:pPr>
              <w:pStyle w:val="Cellule"/>
            </w:pPr>
            <w:r>
              <w:rPr>
                <w:rFonts w:ascii="Times New Roman" w:hAnsi="Times New Roman" w:eastAsia="Times New Roman" w:cs="Times New Roman"/>
                <w:sz w:val="21"/>
              </w:rPr>
              <w:t>tensorflow-metal</w:t>
            </w:r>
          </w:p>
        </w:tc>
        <w:tc>
          <w:tcPr>
            <w:tcW w:type="dxa" w:w="1542"/>
          </w:tcPr>
          <w:p>
            <w:pPr>
              <w:pStyle w:val="Cellule"/>
            </w:pPr>
            <w:r>
              <w:rPr>
                <w:rFonts w:ascii="Times New Roman" w:hAnsi="Times New Roman" w:eastAsia="Times New Roman" w:cs="Times New Roman"/>
                <w:sz w:val="21"/>
              </w:rPr>
              <w:t>non relevée</w:t>
            </w:r>
          </w:p>
        </w:tc>
        <w:tc>
          <w:tcPr>
            <w:tcW w:type="dxa" w:w="2993"/>
          </w:tcPr>
          <w:p>
            <w:pPr>
              <w:pStyle w:val="Cellule"/>
            </w:pPr>
            <w:r>
              <w:rPr>
                <w:rFonts w:ascii="Times New Roman" w:hAnsi="Times New Roman" w:eastAsia="Times New Roman" w:cs="Times New Roman"/>
                <w:sz w:val="21"/>
              </w:rPr>
              <w:t>GPU Apple, entraînement en local uniquement</w:t>
            </w:r>
          </w:p>
        </w:tc>
      </w:tr>
      <w:tr>
        <w:trPr>
          <w:cantSplit w:val="true"/>
        </w:trPr>
        <w:tc>
          <w:tcPr>
            <w:tcW w:type="dxa" w:w="1814"/>
          </w:tcPr>
          <w:p>
            <w:pPr>
              <w:pStyle w:val="Cellule"/>
            </w:pPr>
            <w:r>
              <w:rPr>
                <w:rFonts w:ascii="Times New Roman" w:hAnsi="Times New Roman" w:eastAsia="Times New Roman" w:cs="Times New Roman"/>
                <w:sz w:val="21"/>
              </w:rPr>
              <w:t>Apprentissage classique</w:t>
            </w:r>
          </w:p>
        </w:tc>
        <w:tc>
          <w:tcPr>
            <w:tcW w:type="dxa" w:w="2721"/>
          </w:tcPr>
          <w:p>
            <w:pPr>
              <w:pStyle w:val="Cellule"/>
            </w:pPr>
            <w:r>
              <w:rPr>
                <w:rFonts w:ascii="Times New Roman" w:hAnsi="Times New Roman" w:eastAsia="Times New Roman" w:cs="Times New Roman"/>
                <w:sz w:val="21"/>
              </w:rPr>
              <w:t>scikit-learn</w:t>
            </w:r>
          </w:p>
        </w:tc>
        <w:tc>
          <w:tcPr>
            <w:tcW w:type="dxa" w:w="1542"/>
          </w:tcPr>
          <w:p>
            <w:pPr>
              <w:pStyle w:val="Cellule"/>
            </w:pPr>
            <w:r>
              <w:rPr>
                <w:rFonts w:ascii="Times New Roman" w:hAnsi="Times New Roman" w:eastAsia="Times New Roman" w:cs="Times New Roman"/>
                <w:sz w:val="21"/>
              </w:rPr>
              <w:t>1.6.1</w:t>
            </w:r>
          </w:p>
        </w:tc>
        <w:tc>
          <w:tcPr>
            <w:tcW w:type="dxa" w:w="2993"/>
          </w:tcPr>
          <w:p>
            <w:pPr>
              <w:pStyle w:val="Cellule"/>
            </w:pPr>
            <w:r>
              <w:rPr>
                <w:rFonts w:ascii="Times New Roman" w:hAnsi="Times New Roman" w:eastAsia="Times New Roman" w:cs="Times New Roman"/>
                <w:sz w:val="21"/>
              </w:rPr>
              <w:t>Random Forest, pondération des classes, métriques</w:t>
            </w:r>
          </w:p>
        </w:tc>
      </w:tr>
      <w:tr>
        <w:trPr>
          <w:cantSplit w:val="true"/>
        </w:trPr>
        <w:tc>
          <w:tcPr>
            <w:tcW w:type="dxa" w:w="1814"/>
          </w:tcPr>
          <w:p>
            <w:pPr>
              <w:pStyle w:val="Cellule"/>
            </w:pPr>
            <w:r>
              <w:rPr>
                <w:rFonts w:ascii="Times New Roman" w:hAnsi="Times New Roman" w:eastAsia="Times New Roman" w:cs="Times New Roman"/>
                <w:sz w:val="21"/>
              </w:rPr>
              <w:t>Caractéristiques de la baseline</w:t>
            </w:r>
          </w:p>
        </w:tc>
        <w:tc>
          <w:tcPr>
            <w:tcW w:type="dxa" w:w="2721"/>
          </w:tcPr>
          <w:p>
            <w:pPr>
              <w:pStyle w:val="Cellule"/>
            </w:pPr>
            <w:r>
              <w:rPr>
                <w:rFonts w:ascii="Times New Roman" w:hAnsi="Times New Roman" w:eastAsia="Times New Roman" w:cs="Times New Roman"/>
                <w:sz w:val="21"/>
              </w:rPr>
              <w:t>scikit-image</w:t>
            </w:r>
          </w:p>
        </w:tc>
        <w:tc>
          <w:tcPr>
            <w:tcW w:type="dxa" w:w="1542"/>
          </w:tcPr>
          <w:p>
            <w:pPr>
              <w:pStyle w:val="Cellule"/>
            </w:pPr>
            <w:r>
              <w:rPr>
                <w:rFonts w:ascii="Times New Roman" w:hAnsi="Times New Roman" w:eastAsia="Times New Roman" w:cs="Times New Roman"/>
                <w:sz w:val="21"/>
              </w:rPr>
              <w:t>0.25.0</w:t>
            </w:r>
          </w:p>
        </w:tc>
        <w:tc>
          <w:tcPr>
            <w:tcW w:type="dxa" w:w="2993"/>
          </w:tcPr>
          <w:p>
            <w:pPr>
              <w:pStyle w:val="Cellule"/>
            </w:pPr>
            <w:r>
              <w:rPr>
                <w:rFonts w:ascii="Times New Roman" w:hAnsi="Times New Roman" w:eastAsia="Times New Roman" w:cs="Times New Roman"/>
                <w:sz w:val="21"/>
              </w:rPr>
              <w:t>Histogramme de gradients orientés (HOG)</w:t>
            </w:r>
          </w:p>
        </w:tc>
      </w:tr>
      <w:tr>
        <w:trPr>
          <w:cantSplit w:val="true"/>
        </w:trPr>
        <w:tc>
          <w:tcPr>
            <w:tcW w:type="dxa" w:w="1814"/>
          </w:tcPr>
          <w:p>
            <w:pPr>
              <w:pStyle w:val="Cellule"/>
            </w:pPr>
            <w:r>
              <w:rPr>
                <w:rFonts w:ascii="Times New Roman" w:hAnsi="Times New Roman" w:eastAsia="Times New Roman" w:cs="Times New Roman"/>
                <w:sz w:val="21"/>
              </w:rPr>
              <w:t>Données</w:t>
            </w:r>
          </w:p>
        </w:tc>
        <w:tc>
          <w:tcPr>
            <w:tcW w:type="dxa" w:w="2721"/>
          </w:tcPr>
          <w:p>
            <w:pPr>
              <w:pStyle w:val="Cellule"/>
            </w:pPr>
            <w:r>
              <w:rPr>
                <w:rFonts w:ascii="Times New Roman" w:hAnsi="Times New Roman" w:eastAsia="Times New Roman" w:cs="Times New Roman"/>
                <w:sz w:val="21"/>
              </w:rPr>
              <w:t>TensorFlow Datasets</w:t>
            </w:r>
          </w:p>
        </w:tc>
        <w:tc>
          <w:tcPr>
            <w:tcW w:type="dxa" w:w="1542"/>
          </w:tcPr>
          <w:p>
            <w:pPr>
              <w:pStyle w:val="Cellule"/>
            </w:pPr>
            <w:r>
              <w:rPr>
                <w:rFonts w:ascii="Times New Roman" w:hAnsi="Times New Roman" w:eastAsia="Times New Roman" w:cs="Times New Roman"/>
                <w:sz w:val="21"/>
              </w:rPr>
              <w:t>4.9.10</w:t>
            </w:r>
          </w:p>
        </w:tc>
        <w:tc>
          <w:tcPr>
            <w:tcW w:type="dxa" w:w="2993"/>
          </w:tcPr>
          <w:p>
            <w:pPr>
              <w:pStyle w:val="Cellule"/>
            </w:pPr>
            <w:r>
              <w:rPr>
                <w:rFonts w:ascii="Times New Roman" w:hAnsi="Times New Roman" w:eastAsia="Times New Roman" w:cs="Times New Roman"/>
                <w:sz w:val="21"/>
              </w:rPr>
              <w:t>Téléchargement de PlantVillage</w:t>
            </w:r>
          </w:p>
        </w:tc>
      </w:tr>
      <w:tr>
        <w:trPr>
          <w:cantSplit w:val="true"/>
        </w:trPr>
        <w:tc>
          <w:tcPr>
            <w:tcW w:type="dxa" w:w="1814"/>
          </w:tcPr>
          <w:p>
            <w:pPr>
              <w:pStyle w:val="Cellule"/>
            </w:pPr>
            <w:r>
              <w:rPr>
                <w:rFonts w:ascii="Times New Roman" w:hAnsi="Times New Roman" w:eastAsia="Times New Roman" w:cs="Times New Roman"/>
                <w:sz w:val="21"/>
              </w:rPr>
              <w:t>Images et calcul</w:t>
            </w:r>
          </w:p>
        </w:tc>
        <w:tc>
          <w:tcPr>
            <w:tcW w:type="dxa" w:w="2721"/>
          </w:tcPr>
          <w:p>
            <w:pPr>
              <w:pStyle w:val="Cellule"/>
            </w:pPr>
            <w:r>
              <w:rPr>
                <w:rFonts w:ascii="Times New Roman" w:hAnsi="Times New Roman" w:eastAsia="Times New Roman" w:cs="Times New Roman"/>
                <w:sz w:val="21"/>
              </w:rPr>
              <w:t>Pillow, NumPy</w:t>
            </w:r>
          </w:p>
        </w:tc>
        <w:tc>
          <w:tcPr>
            <w:tcW w:type="dxa" w:w="1542"/>
          </w:tcPr>
          <w:p>
            <w:pPr>
              <w:pStyle w:val="Cellule"/>
            </w:pPr>
            <w:r>
              <w:rPr>
                <w:rFonts w:ascii="Times New Roman" w:hAnsi="Times New Roman" w:eastAsia="Times New Roman" w:cs="Times New Roman"/>
                <w:sz w:val="21"/>
              </w:rPr>
              <w:t>11.1.0, 1.26.4</w:t>
            </w:r>
          </w:p>
        </w:tc>
        <w:tc>
          <w:tcPr>
            <w:tcW w:type="dxa" w:w="2993"/>
          </w:tcPr>
          <w:p>
            <w:pPr>
              <w:pStyle w:val="Cellule"/>
            </w:pPr>
            <w:r>
              <w:rPr>
                <w:rFonts w:ascii="Times New Roman" w:hAnsi="Times New Roman" w:eastAsia="Times New Roman" w:cs="Times New Roman"/>
                <w:sz w:val="21"/>
              </w:rPr>
              <w:t>Décodage, redimensionnement, tableaux</w:t>
            </w:r>
          </w:p>
        </w:tc>
      </w:tr>
      <w:tr>
        <w:trPr>
          <w:cantSplit w:val="true"/>
        </w:trPr>
        <w:tc>
          <w:tcPr>
            <w:tcW w:type="dxa" w:w="1814"/>
          </w:tcPr>
          <w:p>
            <w:pPr>
              <w:pStyle w:val="Cellule"/>
            </w:pPr>
            <w:r>
              <w:rPr>
                <w:rFonts w:ascii="Times New Roman" w:hAnsi="Times New Roman" w:eastAsia="Times New Roman" w:cs="Times New Roman"/>
                <w:sz w:val="21"/>
              </w:rPr>
              <w:t>API</w:t>
            </w:r>
          </w:p>
        </w:tc>
        <w:tc>
          <w:tcPr>
            <w:tcW w:type="dxa" w:w="2721"/>
          </w:tcPr>
          <w:p>
            <w:pPr>
              <w:pStyle w:val="Cellule"/>
            </w:pPr>
            <w:r>
              <w:rPr>
                <w:rFonts w:ascii="Times New Roman" w:hAnsi="Times New Roman" w:eastAsia="Times New Roman" w:cs="Times New Roman"/>
                <w:sz w:val="21"/>
              </w:rPr>
              <w:t>FastAPI, Uvicorn, Pydantic Settings</w:t>
            </w:r>
          </w:p>
        </w:tc>
        <w:tc>
          <w:tcPr>
            <w:tcW w:type="dxa" w:w="1542"/>
          </w:tcPr>
          <w:p>
            <w:pPr>
              <w:pStyle w:val="Cellule"/>
            </w:pPr>
            <w:r>
              <w:rPr>
                <w:rFonts w:ascii="Times New Roman" w:hAnsi="Times New Roman" w:eastAsia="Times New Roman" w:cs="Times New Roman"/>
                <w:sz w:val="21"/>
              </w:rPr>
              <w:t>0.115.6, 0.34.0, 2.7.1</w:t>
            </w:r>
          </w:p>
        </w:tc>
        <w:tc>
          <w:tcPr>
            <w:tcW w:type="dxa" w:w="2993"/>
          </w:tcPr>
          <w:p>
            <w:pPr>
              <w:pStyle w:val="Cellule"/>
            </w:pPr>
            <w:r>
              <w:rPr>
                <w:rFonts w:ascii="Times New Roman" w:hAnsi="Times New Roman" w:eastAsia="Times New Roman" w:cs="Times New Roman"/>
                <w:sz w:val="21"/>
              </w:rPr>
              <w:t>Routes, validation, configuration</w:t>
            </w:r>
          </w:p>
        </w:tc>
      </w:tr>
      <w:tr>
        <w:trPr>
          <w:cantSplit w:val="true"/>
        </w:trPr>
        <w:tc>
          <w:tcPr>
            <w:tcW w:type="dxa" w:w="1814"/>
          </w:tcPr>
          <w:p>
            <w:pPr>
              <w:pStyle w:val="Cellule"/>
            </w:pPr>
            <w:r>
              <w:rPr>
                <w:rFonts w:ascii="Times New Roman" w:hAnsi="Times New Roman" w:eastAsia="Times New Roman" w:cs="Times New Roman"/>
                <w:sz w:val="21"/>
              </w:rPr>
              <w:t>Tests</w:t>
            </w:r>
          </w:p>
        </w:tc>
        <w:tc>
          <w:tcPr>
            <w:tcW w:type="dxa" w:w="2721"/>
          </w:tcPr>
          <w:p>
            <w:pPr>
              <w:pStyle w:val="Cellule"/>
            </w:pPr>
            <w:r>
              <w:rPr>
                <w:rFonts w:ascii="Times New Roman" w:hAnsi="Times New Roman" w:eastAsia="Times New Roman" w:cs="Times New Roman"/>
                <w:sz w:val="21"/>
              </w:rPr>
              <w:t>pytest, httpx</w:t>
            </w:r>
          </w:p>
        </w:tc>
        <w:tc>
          <w:tcPr>
            <w:tcW w:type="dxa" w:w="1542"/>
          </w:tcPr>
          <w:p>
            <w:pPr>
              <w:pStyle w:val="Cellule"/>
            </w:pPr>
            <w:r>
              <w:rPr>
                <w:rFonts w:ascii="Times New Roman" w:hAnsi="Times New Roman" w:eastAsia="Times New Roman" w:cs="Times New Roman"/>
                <w:sz w:val="21"/>
              </w:rPr>
              <w:t>8.3.4, 0.28.1</w:t>
            </w:r>
          </w:p>
        </w:tc>
        <w:tc>
          <w:tcPr>
            <w:tcW w:type="dxa" w:w="2993"/>
          </w:tcPr>
          <w:p>
            <w:pPr>
              <w:pStyle w:val="Cellule"/>
            </w:pPr>
            <w:r>
              <w:rPr>
                <w:rFonts w:ascii="Times New Roman" w:hAnsi="Times New Roman" w:eastAsia="Times New Roman" w:cs="Times New Roman"/>
                <w:sz w:val="21"/>
              </w:rPr>
              <w:t>Tests de l’API</w:t>
            </w:r>
          </w:p>
        </w:tc>
      </w:tr>
      <w:tr>
        <w:trPr>
          <w:cantSplit w:val="true"/>
        </w:trPr>
        <w:tc>
          <w:tcPr>
            <w:tcW w:type="dxa" w:w="1814"/>
          </w:tcPr>
          <w:p>
            <w:pPr>
              <w:pStyle w:val="Cellule"/>
            </w:pPr>
            <w:r>
              <w:rPr>
                <w:rFonts w:ascii="Times New Roman" w:hAnsi="Times New Roman" w:eastAsia="Times New Roman" w:cs="Times New Roman"/>
                <w:sz w:val="21"/>
              </w:rPr>
              <w:t>Graphiques</w:t>
            </w:r>
          </w:p>
        </w:tc>
        <w:tc>
          <w:tcPr>
            <w:tcW w:type="dxa" w:w="2721"/>
          </w:tcPr>
          <w:p>
            <w:pPr>
              <w:pStyle w:val="Cellule"/>
            </w:pPr>
            <w:r>
              <w:rPr>
                <w:rFonts w:ascii="Times New Roman" w:hAnsi="Times New Roman" w:eastAsia="Times New Roman" w:cs="Times New Roman"/>
                <w:sz w:val="21"/>
              </w:rPr>
              <w:t>matplotlib</w:t>
            </w:r>
          </w:p>
        </w:tc>
        <w:tc>
          <w:tcPr>
            <w:tcW w:type="dxa" w:w="1542"/>
          </w:tcPr>
          <w:p>
            <w:pPr>
              <w:pStyle w:val="Cellule"/>
            </w:pPr>
            <w:r>
              <w:rPr>
                <w:rFonts w:ascii="Times New Roman" w:hAnsi="Times New Roman" w:eastAsia="Times New Roman" w:cs="Times New Roman"/>
                <w:sz w:val="21"/>
              </w:rPr>
              <w:t>3.10.0</w:t>
            </w:r>
          </w:p>
        </w:tc>
        <w:tc>
          <w:tcPr>
            <w:tcW w:type="dxa" w:w="2993"/>
          </w:tcPr>
          <w:p>
            <w:pPr>
              <w:pStyle w:val="Cellule"/>
            </w:pPr>
            <w:r>
              <w:rPr>
                <w:rFonts w:ascii="Times New Roman" w:hAnsi="Times New Roman" w:eastAsia="Times New Roman" w:cs="Times New Roman"/>
                <w:sz w:val="21"/>
              </w:rPr>
              <w:t>Matrice de confusion</w:t>
            </w:r>
          </w:p>
        </w:tc>
      </w:tr>
      <w:tr>
        <w:trPr>
          <w:cantSplit w:val="true"/>
        </w:trPr>
        <w:tc>
          <w:tcPr>
            <w:tcW w:type="dxa" w:w="1814"/>
          </w:tcPr>
          <w:p>
            <w:pPr>
              <w:pStyle w:val="Cellule"/>
            </w:pPr>
            <w:r>
              <w:rPr>
                <w:rFonts w:ascii="Times New Roman" w:hAnsi="Times New Roman" w:eastAsia="Times New Roman" w:cs="Times New Roman"/>
                <w:sz w:val="21"/>
              </w:rPr>
              <w:t>Interface</w:t>
            </w:r>
          </w:p>
        </w:tc>
        <w:tc>
          <w:tcPr>
            <w:tcW w:type="dxa" w:w="2721"/>
          </w:tcPr>
          <w:p>
            <w:pPr>
              <w:pStyle w:val="Cellule"/>
            </w:pPr>
            <w:r>
              <w:rPr>
                <w:rFonts w:ascii="Times New Roman" w:hAnsi="Times New Roman" w:eastAsia="Times New Roman" w:cs="Times New Roman"/>
                <w:sz w:val="21"/>
              </w:rPr>
              <w:t>Next.js, React, TypeScript</w:t>
            </w:r>
          </w:p>
        </w:tc>
        <w:tc>
          <w:tcPr>
            <w:tcW w:type="dxa" w:w="1542"/>
          </w:tcPr>
          <w:p>
            <w:pPr>
              <w:pStyle w:val="Cellule"/>
            </w:pPr>
            <w:r>
              <w:rPr>
                <w:rFonts w:ascii="Times New Roman" w:hAnsi="Times New Roman" w:eastAsia="Times New Roman" w:cs="Times New Roman"/>
                <w:sz w:val="21"/>
              </w:rPr>
              <w:t>16.2.12, 19.2.4, 5</w:t>
            </w:r>
          </w:p>
        </w:tc>
        <w:tc>
          <w:tcPr>
            <w:tcW w:type="dxa" w:w="2993"/>
          </w:tcPr>
          <w:p>
            <w:pPr>
              <w:pStyle w:val="Cellule"/>
            </w:pPr>
            <w:r>
              <w:rPr>
                <w:rFonts w:ascii="Times New Roman" w:hAnsi="Times New Roman" w:eastAsia="Times New Roman" w:cs="Times New Roman"/>
                <w:sz w:val="21"/>
              </w:rPr>
              <w:t>Application web, CSS Modules, polices IBM Plex</w:t>
            </w:r>
          </w:p>
        </w:tc>
      </w:tr>
      <w:tr>
        <w:trPr>
          <w:cantSplit w:val="true"/>
        </w:trPr>
        <w:tc>
          <w:tcPr>
            <w:tcW w:type="dxa" w:w="1814"/>
          </w:tcPr>
          <w:p>
            <w:pPr>
              <w:pStyle w:val="Cellule"/>
            </w:pPr>
            <w:r>
              <w:rPr>
                <w:rFonts w:ascii="Times New Roman" w:hAnsi="Times New Roman" w:eastAsia="Times New Roman" w:cs="Times New Roman"/>
                <w:sz w:val="21"/>
              </w:rPr>
              <w:t>Conteneur</w:t>
            </w:r>
          </w:p>
        </w:tc>
        <w:tc>
          <w:tcPr>
            <w:tcW w:type="dxa" w:w="2721"/>
          </w:tcPr>
          <w:p>
            <w:pPr>
              <w:pStyle w:val="Cellule"/>
            </w:pPr>
            <w:r>
              <w:rPr>
                <w:rFonts w:ascii="Times New Roman" w:hAnsi="Times New Roman" w:eastAsia="Times New Roman" w:cs="Times New Roman"/>
                <w:sz w:val="21"/>
              </w:rPr>
              <w:t>Docker</w:t>
            </w:r>
          </w:p>
        </w:tc>
        <w:tc>
          <w:tcPr>
            <w:tcW w:type="dxa" w:w="1542"/>
          </w:tcPr>
          <w:p>
            <w:pPr>
              <w:pStyle w:val="Cellule"/>
            </w:pPr>
            <w:r>
              <w:rPr>
                <w:rFonts w:ascii="Times New Roman" w:hAnsi="Times New Roman" w:eastAsia="Times New Roman" w:cs="Times New Roman"/>
                <w:sz w:val="21"/>
              </w:rPr>
              <w:t>28.5.1</w:t>
            </w:r>
          </w:p>
        </w:tc>
        <w:tc>
          <w:tcPr>
            <w:tcW w:type="dxa" w:w="2993"/>
          </w:tcPr>
          <w:p>
            <w:pPr>
              <w:pStyle w:val="Cellule"/>
            </w:pPr>
            <w:r>
              <w:rPr>
                <w:rFonts w:ascii="Times New Roman" w:hAnsi="Times New Roman" w:eastAsia="Times New Roman" w:cs="Times New Roman"/>
                <w:sz w:val="21"/>
              </w:rPr>
              <w:t>Image de l’API</w:t>
            </w:r>
          </w:p>
        </w:tc>
      </w:tr>
      <w:tr>
        <w:trPr>
          <w:cantSplit w:val="true"/>
        </w:trPr>
        <w:tc>
          <w:tcPr>
            <w:tcW w:type="dxa" w:w="1814"/>
          </w:tcPr>
          <w:p>
            <w:pPr>
              <w:pStyle w:val="Cellule"/>
            </w:pPr>
            <w:r>
              <w:rPr>
                <w:rFonts w:ascii="Times New Roman" w:hAnsi="Times New Roman" w:eastAsia="Times New Roman" w:cs="Times New Roman"/>
                <w:sz w:val="21"/>
              </w:rPr>
              <w:t>Hébergement</w:t>
            </w:r>
          </w:p>
        </w:tc>
        <w:tc>
          <w:tcPr>
            <w:tcW w:type="dxa" w:w="2721"/>
          </w:tcPr>
          <w:p>
            <w:pPr>
              <w:pStyle w:val="Cellule"/>
            </w:pPr>
            <w:r>
              <w:rPr>
                <w:rFonts w:ascii="Times New Roman" w:hAnsi="Times New Roman" w:eastAsia="Times New Roman" w:cs="Times New Roman"/>
                <w:sz w:val="21"/>
              </w:rPr>
              <w:t>Fly.io (flyctl), Vercel</w:t>
            </w:r>
          </w:p>
        </w:tc>
        <w:tc>
          <w:tcPr>
            <w:tcW w:type="dxa" w:w="1542"/>
          </w:tcPr>
          <w:p>
            <w:pPr>
              <w:pStyle w:val="Cellule"/>
            </w:pPr>
            <w:r>
              <w:rPr>
                <w:rFonts w:ascii="Times New Roman" w:hAnsi="Times New Roman" w:eastAsia="Times New Roman" w:cs="Times New Roman"/>
                <w:sz w:val="21"/>
              </w:rPr>
              <w:t>0.4.77</w:t>
            </w:r>
          </w:p>
        </w:tc>
        <w:tc>
          <w:tcPr>
            <w:tcW w:type="dxa" w:w="2993"/>
          </w:tcPr>
          <w:p>
            <w:pPr>
              <w:pStyle w:val="Cellule"/>
            </w:pPr>
            <w:r>
              <w:rPr>
                <w:rFonts w:ascii="Times New Roman" w:hAnsi="Times New Roman" w:eastAsia="Times New Roman" w:cs="Times New Roman"/>
                <w:sz w:val="21"/>
              </w:rPr>
              <w:t>API (Fly.io), interface (Vercel)</w:t>
            </w:r>
          </w:p>
        </w:tc>
      </w:tr>
      <w:tr>
        <w:trPr>
          <w:cantSplit w:val="true"/>
        </w:trPr>
        <w:tc>
          <w:tcPr>
            <w:tcW w:type="dxa" w:w="1814"/>
          </w:tcPr>
          <w:p>
            <w:pPr>
              <w:pStyle w:val="Cellule"/>
            </w:pPr>
            <w:r>
              <w:rPr>
                <w:rFonts w:ascii="Times New Roman" w:hAnsi="Times New Roman" w:eastAsia="Times New Roman" w:cs="Times New Roman"/>
                <w:sz w:val="21"/>
              </w:rPr>
              <w:t>Versionnement</w:t>
            </w:r>
          </w:p>
        </w:tc>
        <w:tc>
          <w:tcPr>
            <w:tcW w:type="dxa" w:w="2721"/>
          </w:tcPr>
          <w:p>
            <w:pPr>
              <w:pStyle w:val="Cellule"/>
            </w:pPr>
            <w:r>
              <w:rPr>
                <w:rFonts w:ascii="Times New Roman" w:hAnsi="Times New Roman" w:eastAsia="Times New Roman" w:cs="Times New Roman"/>
                <w:sz w:val="21"/>
              </w:rPr>
              <w:t>Git, GitHub</w:t>
            </w:r>
          </w:p>
        </w:tc>
        <w:tc>
          <w:tcPr>
            <w:tcW w:type="dxa" w:w="1542"/>
          </w:tcPr>
          <w:p>
            <w:pPr>
              <w:pStyle w:val="Cellule"/>
            </w:pPr>
            <w:r>
              <w:rPr>
                <w:rFonts w:ascii="Times New Roman" w:hAnsi="Times New Roman" w:eastAsia="Times New Roman" w:cs="Times New Roman"/>
                <w:sz w:val="21"/>
              </w:rPr>
              <w:t>–</w:t>
            </w:r>
          </w:p>
        </w:tc>
        <w:tc>
          <w:tcPr>
            <w:tcW w:type="dxa" w:w="2993"/>
          </w:tcPr>
          <w:p>
            <w:pPr>
              <w:pStyle w:val="Cellule"/>
            </w:pPr>
            <w:r>
              <w:rPr>
                <w:rFonts w:ascii="Times New Roman" w:hAnsi="Times New Roman" w:eastAsia="Times New Roman" w:cs="Times New Roman"/>
                <w:sz w:val="21"/>
              </w:rPr>
              <w:t>Dépôt public POUKONE/100Plante</w:t>
            </w:r>
          </w:p>
        </w:tc>
      </w:tr>
    </w:tbl>
    <w:p>
      <w:pPr>
        <w:spacing w:after="0" w:lineRule="exact" w:line="200"/>
      </w:pPr>
    </w:p>
    <w:p>
      <w:pPr>
        <w:pStyle w:val="Heading1"/>
      </w:pPr>
      <w:r>
        <w:t>5. Méthodologie de travail</w:t>
      </w:r>
    </w:p>
    <w:p>
      <w:r>
        <w:rPr>
          <w:rFonts w:ascii="Times New Roman" w:hAnsi="Times New Roman" w:eastAsia="Times New Roman" w:cs="Times New Roman"/>
        </w:rPr>
        <w:t>Le travail suit les six phases du cahier des charges : préparation des données, baseline, transfert d’apprentissage, évaluation, direction artistique et démonstrateur, documentation et livraison. Les cinq premières ont été menées dans cet ordre. La mise en ligne, que le cahier ne prévoit pas comme phase distincte, s’est ajoutée à la cinquième ; la sixième est couverte par le présent dossier et la documentation technique.</w:t>
      </w:r>
    </w:p>
    <w:p>
      <w:pPr>
        <w:pStyle w:val="ListBullet"/>
      </w:pPr>
      <w:r>
        <w:rPr>
          <w:rFonts w:ascii="Times New Roman" w:hAnsi="Times New Roman" w:eastAsia="Times New Roman" w:cs="Times New Roman"/>
          <w:b/>
        </w:rPr>
        <w:t>Baseline avant modèle.</w:t>
      </w:r>
      <w:r>
        <w:rPr>
          <w:rFonts w:ascii="Times New Roman" w:hAnsi="Times New Roman" w:eastAsia="Times New Roman" w:cs="Times New Roman"/>
        </w:rPr>
        <w:t xml:space="preserve"> Un classifieur simple (Random Forest sur couleur et HOG) fixe le seuil que le modèle de transfert doit dépasser strictement.</w:t>
      </w:r>
    </w:p>
    <w:p>
      <w:pPr>
        <w:pStyle w:val="ListBullet"/>
      </w:pPr>
      <w:r>
        <w:rPr>
          <w:rFonts w:ascii="Times New Roman" w:hAnsi="Times New Roman" w:eastAsia="Times New Roman" w:cs="Times New Roman"/>
          <w:b/>
        </w:rPr>
        <w:t>Jeu de test réservé.</w:t>
      </w:r>
      <w:r>
        <w:rPr>
          <w:rFonts w:ascii="Times New Roman" w:hAnsi="Times New Roman" w:eastAsia="Times New Roman" w:cs="Times New Roman"/>
        </w:rPr>
        <w:t xml:space="preserve"> Le jeu de validation sert au suivi et à l’arrêt anticipé ; le jeu de test n’est utilisé que pour l’évaluation finale.</w:t>
      </w:r>
    </w:p>
    <w:p>
      <w:pPr>
        <w:pStyle w:val="ListBullet"/>
      </w:pPr>
      <w:r>
        <w:rPr>
          <w:rFonts w:ascii="Times New Roman" w:hAnsi="Times New Roman" w:eastAsia="Times New Roman" w:cs="Times New Roman"/>
          <w:b/>
        </w:rPr>
        <w:t>Décisions consignées dans le code.</w:t>
      </w:r>
      <w:r>
        <w:rPr>
          <w:rFonts w:ascii="Times New Roman" w:hAnsi="Times New Roman" w:eastAsia="Times New Roman" w:cs="Times New Roman"/>
        </w:rPr>
        <w:t xml:space="preserve"> Les choix de méthode (pondération des classes, normalisation, ordre des classes) sont écrits dans les docstrings des scripts.</w:t>
      </w:r>
    </w:p>
    <w:p>
      <w:pPr>
        <w:pStyle w:val="ListBullet"/>
      </w:pPr>
      <w:r>
        <w:rPr>
          <w:rFonts w:ascii="Times New Roman" w:hAnsi="Times New Roman" w:eastAsia="Times New Roman" w:cs="Times New Roman"/>
          <w:b/>
        </w:rPr>
        <w:t>Maquette avant code pour l’interface.</w:t>
      </w:r>
      <w:r>
        <w:rPr>
          <w:rFonts w:ascii="Times New Roman" w:hAnsi="Times New Roman" w:eastAsia="Times New Roman" w:cs="Times New Roman"/>
        </w:rPr>
        <w:t xml:space="preserve"> Trois maquettes HTML (accueil, démonstration, résultat) ont été validées par l’auteur avant la construction de l’application Next.js, conformément à la section 7.7 du cahier des charges.</w:t>
      </w:r>
    </w:p>
    <w:p>
      <w:pPr>
        <w:pStyle w:val="ListBullet"/>
      </w:pPr>
      <w:r>
        <w:rPr>
          <w:rFonts w:ascii="Times New Roman" w:hAnsi="Times New Roman" w:eastAsia="Times New Roman" w:cs="Times New Roman"/>
          <w:b/>
        </w:rPr>
        <w:t>Vérification en conditions réelles.</w:t>
      </w:r>
      <w:r>
        <w:rPr>
          <w:rFonts w:ascii="Times New Roman" w:hAnsi="Times New Roman" w:eastAsia="Times New Roman" w:cs="Times New Roman"/>
        </w:rPr>
        <w:t xml:space="preserve"> Chaque étape a été contrôlée en exécutant le code : tests automatisés, appels de l’API avec de vraies images, parcours complet dans un navigateur, construction et lancement du conteneur, essais sur l’hébergement final.</w:t>
      </w:r>
    </w:p>
    <w:p>
      <w:r>
        <w:rPr>
          <w:rFonts w:ascii="Times New Roman" w:hAnsi="Times New Roman" w:eastAsia="Times New Roman" w:cs="Times New Roman"/>
        </w:rPr>
        <w:t>Pour la préparation des données, l’auteur avait demandé à y participer pour l’essentiel (environ 60 %, contre 40 % pour l’assistant). Concrètement, l’assistant écrivait et expliquait les scripts ; l’auteur les lançait, lisait les sorties et prenait les décisions qui en découlaient, par exemple le traitement du déséquilibre de classes.</w:t>
      </w:r>
    </w:p>
    <w:p>
      <w:pPr>
        <w:pStyle w:val="Heading1"/>
      </w:pPr>
      <w:r>
        <w:t>6. Réalisation</w:t>
      </w:r>
    </w:p>
    <w:p>
      <w:r>
        <w:rPr>
          <w:rFonts w:ascii="Times New Roman" w:hAnsi="Times New Roman" w:eastAsia="Times New Roman" w:cs="Times New Roman"/>
        </w:rPr>
        <w:t>Cette section résume les étapes ; les paramètres, les commandes et les sorties détaillées figurent dans la documentation technique.</w:t>
      </w:r>
    </w:p>
    <w:p>
      <w:pPr>
        <w:pStyle w:val="Heading2"/>
      </w:pPr>
      <w:r>
        <w:t>6.1 Données</w:t>
      </w:r>
    </w:p>
    <w:p>
      <w:r>
        <w:rPr>
          <w:rFonts w:ascii="Times New Roman" w:hAnsi="Times New Roman" w:eastAsia="Times New Roman" w:cs="Times New Roman"/>
        </w:rPr>
        <w:t>Le jeu a été récupéré avec TensorFlow Datasets (téléchargement de 827 Mio, 54 303 images) puis exporté en fichiers JPEG rangés par classe. Il a été réparti en trois sous-ensembles stratifiés par classe, avec une graine fixe : 37 995 images pour l’entraînement, 8 129 pour la validation et 8 179 pour le test (70 %, 15 %, 15 %). Les images ne sont pas redimensionnées à ce stade ; la mise à l’échelle à 224 × 224 pixels est faite à la volée, à l’entraînement comme à l’inférence.</w:t>
      </w:r>
    </w:p>
    <w:p>
      <w:r>
        <w:rPr>
          <w:rFonts w:ascii="Times New Roman" w:hAnsi="Times New Roman" w:eastAsia="Times New Roman" w:cs="Times New Roman"/>
        </w:rPr>
        <w:t xml:space="preserve">L’effectif par classe varie fortement : de 106 images d’entraînement pour </w:t>
      </w:r>
      <w:r>
        <w:rPr>
          <w:rFonts w:ascii="Courier New" w:hAnsi="Courier New" w:eastAsia="Courier New" w:cs="Courier New"/>
          <w:sz w:val="21"/>
        </w:rPr>
        <w:t>Potato___healthy</w:t>
      </w:r>
      <w:r>
        <w:rPr>
          <w:rFonts w:ascii="Times New Roman" w:hAnsi="Times New Roman" w:eastAsia="Times New Roman" w:cs="Times New Roman"/>
        </w:rPr>
        <w:t xml:space="preserve"> à 3 854 pour </w:t>
      </w:r>
      <w:r>
        <w:rPr>
          <w:rFonts w:ascii="Courier New" w:hAnsi="Courier New" w:eastAsia="Courier New" w:cs="Courier New"/>
          <w:sz w:val="21"/>
        </w:rPr>
        <w:t>Orange___Haunglongbing_(Citrus_greening)</w:t>
      </w:r>
      <w:r>
        <w:rPr>
          <w:rFonts w:ascii="Times New Roman" w:hAnsi="Times New Roman" w:eastAsia="Times New Roman" w:cs="Times New Roman"/>
        </w:rPr>
        <w:t>, soit un rapport d’environ 36. Cet écart a motivé deux décisions : pondérer la fonction de perte par classe, et suivre le F1 macro, qui donne le même poids à chaque classe, en plus de l’exactitude. Une augmentation ciblée des classes rares a été écartée, la plus petite classe comptant tout de même 106 images.</w:t>
      </w:r>
    </w:p>
    <w:p>
      <w:r>
        <w:rPr>
          <w:rFonts w:ascii="Times New Roman" w:hAnsi="Times New Roman" w:eastAsia="Times New Roman" w:cs="Times New Roman"/>
        </w:rPr>
        <w:t xml:space="preserve">Un écart de nommage a été relevé à ce stade : TensorFlow Datasets nomme </w:t>
      </w:r>
      <w:r>
        <w:rPr>
          <w:rFonts w:ascii="Courier New" w:hAnsi="Courier New" w:eastAsia="Courier New" w:cs="Courier New"/>
          <w:sz w:val="21"/>
        </w:rPr>
        <w:t>Cherry</w:t>
      </w:r>
      <w:r>
        <w:rPr>
          <w:rFonts w:ascii="Times New Roman" w:hAnsi="Times New Roman" w:eastAsia="Times New Roman" w:cs="Times New Roman"/>
        </w:rPr>
        <w:t xml:space="preserve"> et </w:t>
      </w:r>
      <w:r>
        <w:rPr>
          <w:rFonts w:ascii="Courier New" w:hAnsi="Courier New" w:eastAsia="Courier New" w:cs="Courier New"/>
          <w:sz w:val="21"/>
        </w:rPr>
        <w:t>Corn</w:t>
      </w:r>
      <w:r>
        <w:rPr>
          <w:rFonts w:ascii="Times New Roman" w:hAnsi="Times New Roman" w:eastAsia="Times New Roman" w:cs="Times New Roman"/>
        </w:rPr>
        <w:t xml:space="preserve"> ce que la liste initiale du code appelait </w:t>
      </w:r>
      <w:r>
        <w:rPr>
          <w:rFonts w:ascii="Courier New" w:hAnsi="Courier New" w:eastAsia="Courier New" w:cs="Courier New"/>
          <w:sz w:val="21"/>
        </w:rPr>
        <w:t>Cherry_(including_sour)</w:t>
      </w:r>
      <w:r>
        <w:rPr>
          <w:rFonts w:ascii="Times New Roman" w:hAnsi="Times New Roman" w:eastAsia="Times New Roman" w:cs="Times New Roman"/>
        </w:rPr>
        <w:t xml:space="preserve"> et </w:t>
      </w:r>
      <w:r>
        <w:rPr>
          <w:rFonts w:ascii="Courier New" w:hAnsi="Courier New" w:eastAsia="Courier New" w:cs="Courier New"/>
          <w:sz w:val="21"/>
        </w:rPr>
        <w:t>Corn_(maize)</w:t>
      </w:r>
      <w:r>
        <w:rPr>
          <w:rFonts w:ascii="Times New Roman" w:hAnsi="Times New Roman" w:eastAsia="Times New Roman" w:cs="Times New Roman"/>
        </w:rPr>
        <w:t>. La liste a été corrigée et son ordre confronté à celui des dossiers, car l’API associe chaque sortie du modèle à une classe par sa position.</w:t>
      </w:r>
    </w:p>
    <w:p>
      <w:pPr>
        <w:pStyle w:val="Heading2"/>
      </w:pPr>
      <w:r>
        <w:t>6.2 Baseline</w:t>
      </w:r>
    </w:p>
    <w:p>
      <w:r>
        <w:rPr>
          <w:rFonts w:ascii="Times New Roman" w:hAnsi="Times New Roman" w:eastAsia="Times New Roman" w:cs="Times New Roman"/>
        </w:rPr>
        <w:t>Chaque image est décrite par 1 860 valeurs : un histogramme de couleur sur les trois canaux (32 intervalles par canal, soit 96 valeurs) et un histogramme de gradients orientés (HOG, 1 764 valeurs) calculé sur l’image en niveaux de gris réduite à 128 × 128 pixels. Un Random Forest de 200 arbres, pondéré par classe, est entraîné sur ces vecteurs en 108 secondes. Sur le jeu de validation, il atteint 80,74 % d’exactitude et 72,98 % de F1 macro, avec deux classes entièrement manquées (</w:t>
      </w:r>
      <w:r>
        <w:rPr>
          <w:rFonts w:ascii="Courier New" w:hAnsi="Courier New" w:eastAsia="Courier New" w:cs="Courier New"/>
          <w:sz w:val="21"/>
        </w:rPr>
        <w:t>Apple___Cedar_apple_rust</w:t>
      </w:r>
      <w:r>
        <w:rPr>
          <w:rFonts w:ascii="Times New Roman" w:hAnsi="Times New Roman" w:eastAsia="Times New Roman" w:cs="Times New Roman"/>
        </w:rPr>
        <w:t xml:space="preserve"> et </w:t>
      </w:r>
      <w:r>
        <w:rPr>
          <w:rFonts w:ascii="Courier New" w:hAnsi="Courier New" w:eastAsia="Courier New" w:cs="Courier New"/>
          <w:sz w:val="21"/>
        </w:rPr>
        <w:t>Potato___healthy</w:t>
      </w:r>
      <w:r>
        <w:rPr>
          <w:rFonts w:ascii="Times New Roman" w:hAnsi="Times New Roman" w:eastAsia="Times New Roman" w:cs="Times New Roman"/>
        </w:rPr>
        <w:t>).</w:t>
      </w:r>
    </w:p>
    <w:p>
      <w:pPr>
        <w:pStyle w:val="Heading2"/>
      </w:pPr>
      <w:r>
        <w:t>6.3 Transfert d’apprentissage</w:t>
      </w:r>
    </w:p>
    <w:p>
      <w:r>
        <w:rPr>
          <w:rFonts w:ascii="Times New Roman" w:hAnsi="Times New Roman" w:eastAsia="Times New Roman" w:cs="Times New Roman"/>
        </w:rPr>
        <w:t>Le modèle repose sur MobileNetV2 pré-entraîné sur ImageNet, sans sa couche de classification. Une tête composée d’un average pooling global, d’un dropout à 0,2 et d’une couche dense à 38 sorties (softmax) est ajoutée. Des couches d’augmentation de données (retournement horizontal, rotation, zoom, luminosité) et une couche de mise à l’échelle des pixels précèdent la base. L’ensemble compte 2 306 662 paramètres.</w:t>
      </w:r>
    </w:p>
    <w:p>
      <w:r>
        <w:rPr>
          <w:rFonts w:ascii="Times New Roman" w:hAnsi="Times New Roman" w:eastAsia="Times New Roman" w:cs="Times New Roman"/>
        </w:rPr>
        <w:t>L’entraînement se déroule en deux étapes, sur 16 epochs au total : huit epochs où seule la tête apprend (base gelée, taux d’apprentissage de 1e-3), puis huit epochs où les 30 dernières couches de la base sont dégelées avec un taux de 1e-5. La perte est l’entropie croisée catégorielle, l’optimiseur Adam, la graine 42, et la pondération des classes est calculée sur l’effectif d’entraînement. L’arrêt anticipé (patience de 5 epochs sur la perte de validation) était actif mais ne s’est pas déclenché. L’entraînement a duré environ une heure et demie sur le GPU du Mac, de 00 h 28 à 01 h 58 le 3 août d’après l’heure de lancement et la date du fichier produit. Sur le jeu de validation, le modèle final atteint 96,48 % d’exactitude et 95,93 % de F1 macro.</w:t>
      </w:r>
    </w:p>
    <w:p>
      <w:pPr>
        <w:pStyle w:val="Heading2"/>
      </w:pPr>
      <w:r>
        <w:t>6.4 Évaluation</w:t>
      </w:r>
    </w:p>
    <w:p>
      <w:r>
        <w:rPr>
          <w:rFonts w:ascii="Times New Roman" w:hAnsi="Times New Roman" w:eastAsia="Times New Roman" w:cs="Times New Roman"/>
        </w:rPr>
        <w:t>L’évaluation finale porte sur les 8 179 images de test. Elle compare le modèle de transfert à la baseline, ré-entraînée pour l’occasion à partir des caractéristiques déjà extraites, afin que les deux modèles soient jugés sur le même jeu. Le script produit le rapport de classification par classe, la matrice de confusion et la liste des confusions les plus fréquentes. Les résultats sont donnés au chapitre 8.</w:t>
      </w:r>
    </w:p>
    <w:p>
      <w:pPr>
        <w:pStyle w:val="Heading2"/>
      </w:pPr>
      <w:r>
        <w:t>6.5 API</w:t>
      </w:r>
    </w:p>
    <w:p>
      <w:r>
        <w:rPr>
          <w:rFonts w:ascii="Times New Roman" w:hAnsi="Times New Roman" w:eastAsia="Times New Roman" w:cs="Times New Roman"/>
        </w:rPr>
        <w:t xml:space="preserve">L’API est écrite avec FastAPI. Elle expose </w:t>
      </w:r>
      <w:r>
        <w:rPr>
          <w:rFonts w:ascii="Courier New" w:hAnsi="Courier New" w:eastAsia="Courier New" w:cs="Courier New"/>
          <w:sz w:val="21"/>
        </w:rPr>
        <w:t>GET /api/health</w:t>
      </w:r>
      <w:r>
        <w:rPr>
          <w:rFonts w:ascii="Times New Roman" w:hAnsi="Times New Roman" w:eastAsia="Times New Roman" w:cs="Times New Roman"/>
        </w:rPr>
        <w:t xml:space="preserve"> (état du service et du modèle) et </w:t>
      </w:r>
      <w:r>
        <w:rPr>
          <w:rFonts w:ascii="Courier New" w:hAnsi="Courier New" w:eastAsia="Courier New" w:cs="Courier New"/>
          <w:sz w:val="21"/>
        </w:rPr>
        <w:t>POST /api/predict</w:t>
      </w:r>
      <w:r>
        <w:rPr>
          <w:rFonts w:ascii="Times New Roman" w:hAnsi="Times New Roman" w:eastAsia="Times New Roman" w:cs="Times New Roman"/>
        </w:rPr>
        <w:t xml:space="preserve"> (réception d’une image, validation du type et de la taille, prétraitement, inférence, classement des classes). Le modèle est chargé une fois au démarrage, suivi d’un appel à vide : sans lui, le premier appel réel prenait plus de 2 s (2,1 et 2,2 s sur deux mesures) ; avec lui, 262 ms. Si aucun modèle n’est présent, l’API démarre en « mode placeholder » : elle renvoie une prédiction factice et déterministe, signalée par le champ </w:t>
      </w:r>
      <w:r>
        <w:rPr>
          <w:rFonts w:ascii="Courier New" w:hAnsi="Courier New" w:eastAsia="Courier New" w:cs="Courier New"/>
          <w:sz w:val="21"/>
        </w:rPr>
        <w:t>is_placeholder</w:t>
      </w:r>
      <w:r>
        <w:rPr>
          <w:rFonts w:ascii="Times New Roman" w:hAnsi="Times New Roman" w:eastAsia="Times New Roman" w:cs="Times New Roman"/>
        </w:rPr>
        <w:t>, ce qui a permis de développer l’interface avant la fin de l’entraînement.</w:t>
      </w:r>
    </w:p>
    <w:p>
      <w:pPr>
        <w:pStyle w:val="Heading2"/>
      </w:pPr>
      <w:r>
        <w:t>6.6 Interface</w:t>
      </w:r>
    </w:p>
    <w:p>
      <w:r>
        <w:rPr>
          <w:rFonts w:ascii="Times New Roman" w:hAnsi="Times New Roman" w:eastAsia="Times New Roman" w:cs="Times New Roman"/>
        </w:rPr>
        <w:t>L’interface est une application Next.js (App Router, TypeScript) qui suit les maquettes validées par l’auteur. La page d’accueil présente les 14 espèces couvertes. La page de démonstration permet de prendre une photo ou de choisir un fichier, l’envoie à l’API et suit trois étapes (import, analyse, résultat). La page de résultat affiche le diagnostic : classe en français, score de confiance, trois classes les plus probables, fiche descriptive de la maladie (agent pathogène, symptômes, propagation), indication de fiabilité propre à la classe et, le cas échéant, note sur les confusions connues. Les indications de fiabilité et de confusion proviennent de l’évaluation sur jeu de test (section 8.3) et sont enregistrées dans le code de l’interface. L’application s’adapte aux écrans de téléphone, de tablette et d’ordinateur.</w:t>
      </w:r>
    </w:p>
    <w:p>
      <w:pPr>
        <w:pStyle w:val="Heading2"/>
      </w:pPr>
      <w:r>
        <w:t>6.7 Mise en ligne</w:t>
      </w:r>
    </w:p>
    <w:p>
      <w:r>
        <w:rPr>
          <w:rFonts w:ascii="Times New Roman" w:hAnsi="Times New Roman" w:eastAsia="Times New Roman" w:cs="Times New Roman"/>
        </w:rPr>
        <w:t xml:space="preserve">L’API est empaquetée dans une image Docker (Python 3.11, dépendances de production, modèle de 21 Mo) puis déployée sur Fly.io, région de Paris, sur une seule machine à processeur partagé et 1 Go de mémoire, avec une vérification de santé sur </w:t>
      </w:r>
      <w:r>
        <w:rPr>
          <w:rFonts w:ascii="Courier New" w:hAnsi="Courier New" w:eastAsia="Courier New" w:cs="Courier New"/>
          <w:sz w:val="21"/>
        </w:rPr>
        <w:t>/api/health</w:t>
      </w:r>
      <w:r>
        <w:rPr>
          <w:rFonts w:ascii="Times New Roman" w:hAnsi="Times New Roman" w:eastAsia="Times New Roman" w:cs="Times New Roman"/>
        </w:rPr>
        <w:t>. L’interface est déployée sur Vercel. Un premier essai d’hébergement sur Render n’a pas abouti, le quota gratuit de l’auteur étant atteint ; le fichier de configuration correspondant est resté dans le dépôt sans avoir été exécuté. Au 9 octobre 2026, l’API et le site répondent.</w:t>
      </w:r>
    </w:p>
    <w:p>
      <w:pPr>
        <w:pStyle w:val="Heading1"/>
      </w:pPr>
      <w:r>
        <w:t>7. Choix techniques et justifications</w:t>
      </w:r>
    </w:p>
    <w:p>
      <w:pPr>
        <w:pStyle w:val="Legende"/>
        <w:keepNext/>
        <w:spacing w:before="120" w:after="80"/>
      </w:pPr>
      <w:r>
        <w:rPr>
          <w:rFonts w:ascii="Times New Roman" w:hAnsi="Times New Roman" w:eastAsia="Times New Roman" w:cs="Times New Roman"/>
          <w:b/>
          <w:sz w:val="21"/>
        </w:rPr>
        <w:t>Tableau 3.</w:t>
      </w:r>
      <w:r>
        <w:rPr>
          <w:rFonts w:ascii="Times New Roman" w:hAnsi="Times New Roman" w:eastAsia="Times New Roman" w:cs="Times New Roman"/>
          <w:sz w:val="21"/>
        </w:rPr>
        <w:t xml:space="preserve"> Principaux choix techniques.</w:t>
      </w:r>
    </w:p>
    <w:tbl>
      <w:tblPr>
        <w:tblStyle w:val="TableGrid"/>
        <w:tblW w:type="auto" w:w="0"/>
        <w:jc w:val="left"/>
        <w:tblLayout w:type="fixed"/>
        <w:tblLook w:firstColumn="1" w:firstRow="1" w:lastColumn="0" w:lastRow="0" w:noHBand="0" w:noVBand="1" w:val="04A0"/>
      </w:tblPr>
      <w:tblGrid>
        <w:gridCol w:w="4536"/>
        <w:gridCol w:w="4536"/>
      </w:tblGrid>
      <w:tr>
        <w:trPr>
          <w:tblHeader w:val="true"/>
        </w:trPr>
        <w:tc>
          <w:tcPr>
            <w:tcW w:type="dxa" w:w="2721"/>
          </w:tcPr>
          <w:p>
            <w:pPr>
              <w:pStyle w:val="Cellule"/>
            </w:pPr>
            <w:r>
              <w:rPr>
                <w:rFonts w:ascii="Times New Roman" w:hAnsi="Times New Roman" w:eastAsia="Times New Roman" w:cs="Times New Roman"/>
                <w:b/>
                <w:sz w:val="21"/>
              </w:rPr>
              <w:t>Choix</w:t>
            </w:r>
          </w:p>
        </w:tc>
        <w:tc>
          <w:tcPr>
            <w:tcW w:type="dxa" w:w="6350"/>
          </w:tcPr>
          <w:p>
            <w:pPr>
              <w:pStyle w:val="Cellule"/>
            </w:pPr>
            <w:r>
              <w:rPr>
                <w:rFonts w:ascii="Times New Roman" w:hAnsi="Times New Roman" w:eastAsia="Times New Roman" w:cs="Times New Roman"/>
                <w:b/>
                <w:sz w:val="21"/>
              </w:rPr>
              <w:t>Justification</w:t>
            </w:r>
          </w:p>
        </w:tc>
      </w:tr>
      <w:tr>
        <w:trPr>
          <w:cantSplit w:val="true"/>
        </w:trPr>
        <w:tc>
          <w:tcPr>
            <w:tcW w:type="dxa" w:w="2721"/>
          </w:tcPr>
          <w:p>
            <w:pPr>
              <w:pStyle w:val="Cellule"/>
            </w:pPr>
            <w:r>
              <w:rPr>
                <w:rFonts w:ascii="Times New Roman" w:hAnsi="Times New Roman" w:eastAsia="Times New Roman" w:cs="Times New Roman"/>
                <w:sz w:val="21"/>
              </w:rPr>
              <w:t>Python 3.11.6 via pyenv</w:t>
            </w:r>
          </w:p>
        </w:tc>
        <w:tc>
          <w:tcPr>
            <w:tcW w:type="dxa" w:w="6350"/>
          </w:tcPr>
          <w:p>
            <w:pPr>
              <w:pStyle w:val="Cellule"/>
            </w:pPr>
            <w:r>
              <w:rPr>
                <w:rFonts w:ascii="Times New Roman" w:hAnsi="Times New Roman" w:eastAsia="Times New Roman" w:cs="Times New Roman"/>
                <w:sz w:val="21"/>
              </w:rPr>
              <w:t xml:space="preserve">Version compatible avec TensorFlow 2.18, fixée dans </w:t>
            </w:r>
            <w:r>
              <w:rPr>
                <w:rFonts w:ascii="Courier New" w:hAnsi="Courier New" w:eastAsia="Courier New" w:cs="Courier New"/>
                <w:sz w:val="19"/>
              </w:rPr>
              <w:t>.python-version</w:t>
            </w:r>
            <w:r>
              <w:rPr>
                <w:rFonts w:ascii="Times New Roman" w:hAnsi="Times New Roman" w:eastAsia="Times New Roman" w:cs="Times New Roman"/>
                <w:sz w:val="21"/>
              </w:rPr>
              <w:t xml:space="preserve"> pour que le projet se reconstruise à l’identique. La version installée sur le poste (3.13.9) n’a pas été essayée.</w:t>
            </w:r>
          </w:p>
        </w:tc>
      </w:tr>
      <w:tr>
        <w:trPr>
          <w:cantSplit w:val="true"/>
        </w:trPr>
        <w:tc>
          <w:tcPr>
            <w:tcW w:type="dxa" w:w="2721"/>
          </w:tcPr>
          <w:p>
            <w:pPr>
              <w:pStyle w:val="Cellule"/>
            </w:pPr>
            <w:r>
              <w:rPr>
                <w:rFonts w:ascii="Times New Roman" w:hAnsi="Times New Roman" w:eastAsia="Times New Roman" w:cs="Times New Roman"/>
                <w:sz w:val="21"/>
              </w:rPr>
              <w:t>FastAPI</w:t>
            </w:r>
          </w:p>
        </w:tc>
        <w:tc>
          <w:tcPr>
            <w:tcW w:type="dxa" w:w="6350"/>
          </w:tcPr>
          <w:p>
            <w:pPr>
              <w:pStyle w:val="Cellule"/>
            </w:pPr>
            <w:r>
              <w:rPr>
                <w:rFonts w:ascii="Times New Roman" w:hAnsi="Times New Roman" w:eastAsia="Times New Roman" w:cs="Times New Roman"/>
                <w:sz w:val="21"/>
              </w:rPr>
              <w:t>Validation des entrées par les types, documentation OpenAPI générée automatiquement, exécution asynchrone.</w:t>
            </w:r>
          </w:p>
        </w:tc>
      </w:tr>
      <w:tr>
        <w:trPr>
          <w:cantSplit w:val="true"/>
        </w:trPr>
        <w:tc>
          <w:tcPr>
            <w:tcW w:type="dxa" w:w="2721"/>
          </w:tcPr>
          <w:p>
            <w:pPr>
              <w:pStyle w:val="Cellule"/>
            </w:pPr>
            <w:r>
              <w:rPr>
                <w:rFonts w:ascii="Times New Roman" w:hAnsi="Times New Roman" w:eastAsia="Times New Roman" w:cs="Times New Roman"/>
                <w:sz w:val="21"/>
              </w:rPr>
              <w:t>MobileNetV2</w:t>
            </w:r>
          </w:p>
        </w:tc>
        <w:tc>
          <w:tcPr>
            <w:tcW w:type="dxa" w:w="6350"/>
          </w:tcPr>
          <w:p>
            <w:pPr>
              <w:pStyle w:val="Cellule"/>
            </w:pPr>
            <w:r>
              <w:rPr>
                <w:rFonts w:ascii="Times New Roman" w:hAnsi="Times New Roman" w:eastAsia="Times New Roman" w:cs="Times New Roman"/>
                <w:sz w:val="21"/>
              </w:rPr>
              <w:t>Recommandé par le cahier des charges pour son compromis précision et taille : 2,3 millions de paramètres, fichier de 21 Mo.</w:t>
            </w:r>
          </w:p>
        </w:tc>
      </w:tr>
      <w:tr>
        <w:trPr>
          <w:cantSplit w:val="true"/>
        </w:trPr>
        <w:tc>
          <w:tcPr>
            <w:tcW w:type="dxa" w:w="2721"/>
          </w:tcPr>
          <w:p>
            <w:pPr>
              <w:pStyle w:val="Cellule"/>
            </w:pPr>
            <w:r>
              <w:rPr>
                <w:rFonts w:ascii="Times New Roman" w:hAnsi="Times New Roman" w:eastAsia="Times New Roman" w:cs="Times New Roman"/>
                <w:sz w:val="21"/>
              </w:rPr>
              <w:t>Entraînement en deux étapes</w:t>
            </w:r>
          </w:p>
        </w:tc>
        <w:tc>
          <w:tcPr>
            <w:tcW w:type="dxa" w:w="6350"/>
          </w:tcPr>
          <w:p>
            <w:pPr>
              <w:pStyle w:val="Cellule"/>
            </w:pPr>
            <w:r>
              <w:rPr>
                <w:rFonts w:ascii="Times New Roman" w:hAnsi="Times New Roman" w:eastAsia="Times New Roman" w:cs="Times New Roman"/>
                <w:sz w:val="21"/>
              </w:rPr>
              <w:t>Stabiliser d’abord la tête avec la base gelée évite de dégrader les poids d’ImageNet par des gradients encore mal calibrés ; le taux de 1e-5 du fine-tuning affine ces poids sans les écraser.</w:t>
            </w:r>
          </w:p>
        </w:tc>
      </w:tr>
      <w:tr>
        <w:trPr>
          <w:cantSplit w:val="true"/>
        </w:trPr>
        <w:tc>
          <w:tcPr>
            <w:tcW w:type="dxa" w:w="2721"/>
          </w:tcPr>
          <w:p>
            <w:pPr>
              <w:pStyle w:val="Cellule"/>
            </w:pPr>
            <w:r>
              <w:rPr>
                <w:rFonts w:ascii="Times New Roman" w:hAnsi="Times New Roman" w:eastAsia="Times New Roman" w:cs="Times New Roman"/>
                <w:sz w:val="21"/>
              </w:rPr>
              <w:t>Pondération des classes et F1 macro</w:t>
            </w:r>
          </w:p>
        </w:tc>
        <w:tc>
          <w:tcPr>
            <w:tcW w:type="dxa" w:w="6350"/>
          </w:tcPr>
          <w:p>
            <w:pPr>
              <w:pStyle w:val="Cellule"/>
            </w:pPr>
            <w:r>
              <w:rPr>
                <w:rFonts w:ascii="Times New Roman" w:hAnsi="Times New Roman" w:eastAsia="Times New Roman" w:cs="Times New Roman"/>
                <w:sz w:val="21"/>
              </w:rPr>
              <w:t>Rapport d’effectifs de 36 entre classes. Le F1 macro met en évidence les classes ignorées que l’exactitude globale masque.</w:t>
            </w:r>
          </w:p>
        </w:tc>
      </w:tr>
      <w:tr>
        <w:trPr>
          <w:cantSplit w:val="true"/>
        </w:trPr>
        <w:tc>
          <w:tcPr>
            <w:tcW w:type="dxa" w:w="2721"/>
          </w:tcPr>
          <w:p>
            <w:pPr>
              <w:pStyle w:val="Cellule"/>
            </w:pPr>
            <w:r>
              <w:rPr>
                <w:rFonts w:ascii="Times New Roman" w:hAnsi="Times New Roman" w:eastAsia="Times New Roman" w:cs="Times New Roman"/>
                <w:sz w:val="21"/>
              </w:rPr>
              <w:t>Normalisation dans le modèle</w:t>
            </w:r>
          </w:p>
        </w:tc>
        <w:tc>
          <w:tcPr>
            <w:tcW w:type="dxa" w:w="6350"/>
          </w:tcPr>
          <w:p>
            <w:pPr>
              <w:pStyle w:val="Cellule"/>
            </w:pPr>
            <w:r>
              <w:rPr>
                <w:rFonts w:ascii="Times New Roman" w:hAnsi="Times New Roman" w:eastAsia="Times New Roman" w:cs="Times New Roman"/>
                <w:sz w:val="21"/>
              </w:rPr>
              <w:t xml:space="preserve">La couche </w:t>
            </w:r>
            <w:r>
              <w:rPr>
                <w:rFonts w:ascii="Courier New" w:hAnsi="Courier New" w:eastAsia="Courier New" w:cs="Courier New"/>
                <w:sz w:val="19"/>
              </w:rPr>
              <w:t>Rescaling</w:t>
            </w:r>
            <w:r>
              <w:rPr>
                <w:rFonts w:ascii="Times New Roman" w:hAnsi="Times New Roman" w:eastAsia="Times New Roman" w:cs="Times New Roman"/>
                <w:sz w:val="21"/>
              </w:rPr>
              <w:t xml:space="preserve"> est sauvegardée avec le modèle et reste le seul endroit où les pixels sont normalisés ; le prétraitement de l’API se limite au redimensionnement (voir section 9).</w:t>
            </w:r>
          </w:p>
        </w:tc>
      </w:tr>
      <w:tr>
        <w:trPr>
          <w:cantSplit w:val="true"/>
        </w:trPr>
        <w:tc>
          <w:tcPr>
            <w:tcW w:type="dxa" w:w="2721"/>
          </w:tcPr>
          <w:p>
            <w:pPr>
              <w:pStyle w:val="Cellule"/>
            </w:pPr>
            <w:r>
              <w:rPr>
                <w:rFonts w:ascii="Times New Roman" w:hAnsi="Times New Roman" w:eastAsia="Times New Roman" w:cs="Times New Roman"/>
                <w:sz w:val="21"/>
              </w:rPr>
              <w:t>Chargement au démarrage et appel à vide</w:t>
            </w:r>
          </w:p>
        </w:tc>
        <w:tc>
          <w:tcPr>
            <w:tcW w:type="dxa" w:w="6350"/>
          </w:tcPr>
          <w:p>
            <w:pPr>
              <w:pStyle w:val="Cellule"/>
            </w:pPr>
            <w:r>
              <w:rPr>
                <w:rFonts w:ascii="Times New Roman" w:hAnsi="Times New Roman" w:eastAsia="Times New Roman" w:cs="Times New Roman"/>
                <w:sz w:val="21"/>
              </w:rPr>
              <w:t>Le coût de chargement de TensorFlow est payé une fois par le serveur, pas par l’utilisateur.</w:t>
            </w:r>
          </w:p>
        </w:tc>
      </w:tr>
      <w:tr>
        <w:trPr>
          <w:cantSplit w:val="true"/>
        </w:trPr>
        <w:tc>
          <w:tcPr>
            <w:tcW w:type="dxa" w:w="2721"/>
          </w:tcPr>
          <w:p>
            <w:pPr>
              <w:pStyle w:val="Cellule"/>
            </w:pPr>
            <w:r>
              <w:rPr>
                <w:rFonts w:ascii="Times New Roman" w:hAnsi="Times New Roman" w:eastAsia="Times New Roman" w:cs="Times New Roman"/>
                <w:sz w:val="21"/>
              </w:rPr>
              <w:t>Import différé de TensorFlow</w:t>
            </w:r>
          </w:p>
        </w:tc>
        <w:tc>
          <w:tcPr>
            <w:tcW w:type="dxa" w:w="6350"/>
          </w:tcPr>
          <w:p>
            <w:pPr>
              <w:pStyle w:val="Cellule"/>
            </w:pPr>
            <w:r>
              <w:rPr>
                <w:rFonts w:ascii="Times New Roman" w:hAnsi="Times New Roman" w:eastAsia="Times New Roman" w:cs="Times New Roman"/>
                <w:sz w:val="21"/>
              </w:rPr>
              <w:t>En mode placeholder, TensorFlow n’est pas chargé, ce qui accélère le démarrage.</w:t>
            </w:r>
          </w:p>
        </w:tc>
      </w:tr>
      <w:tr>
        <w:trPr>
          <w:cantSplit w:val="true"/>
        </w:trPr>
        <w:tc>
          <w:tcPr>
            <w:tcW w:type="dxa" w:w="2721"/>
          </w:tcPr>
          <w:p>
            <w:pPr>
              <w:pStyle w:val="Cellule"/>
            </w:pPr>
            <w:r>
              <w:rPr>
                <w:rFonts w:ascii="Times New Roman" w:hAnsi="Times New Roman" w:eastAsia="Times New Roman" w:cs="Times New Roman"/>
                <w:sz w:val="21"/>
              </w:rPr>
              <w:t>Modèle versionné dans Git</w:t>
            </w:r>
          </w:p>
        </w:tc>
        <w:tc>
          <w:tcPr>
            <w:tcW w:type="dxa" w:w="6350"/>
          </w:tcPr>
          <w:p>
            <w:pPr>
              <w:pStyle w:val="Cellule"/>
            </w:pPr>
            <w:r>
              <w:rPr>
                <w:rFonts w:ascii="Times New Roman" w:hAnsi="Times New Roman" w:eastAsia="Times New Roman" w:cs="Times New Roman"/>
                <w:sz w:val="21"/>
              </w:rPr>
              <w:t>21 Mo, sous la limite de GitHub : l’image Docker se construit sans étape de téléchargement. Les données (environ 2 Go) ne sont pas versionnées.</w:t>
            </w:r>
          </w:p>
        </w:tc>
      </w:tr>
      <w:tr>
        <w:trPr>
          <w:cantSplit w:val="true"/>
        </w:trPr>
        <w:tc>
          <w:tcPr>
            <w:tcW w:type="dxa" w:w="2721"/>
          </w:tcPr>
          <w:p>
            <w:pPr>
              <w:pStyle w:val="Cellule"/>
            </w:pPr>
            <w:r>
              <w:rPr>
                <w:rFonts w:ascii="Times New Roman" w:hAnsi="Times New Roman" w:eastAsia="Times New Roman" w:cs="Times New Roman"/>
                <w:sz w:val="21"/>
              </w:rPr>
              <w:t>Fly.io, une seule machine</w:t>
            </w:r>
          </w:p>
        </w:tc>
        <w:tc>
          <w:tcPr>
            <w:tcW w:type="dxa" w:w="6350"/>
          </w:tcPr>
          <w:p>
            <w:pPr>
              <w:pStyle w:val="Cellule"/>
            </w:pPr>
            <w:r>
              <w:rPr>
                <w:rFonts w:ascii="Times New Roman" w:hAnsi="Times New Roman" w:eastAsia="Times New Roman" w:cs="Times New Roman"/>
                <w:sz w:val="21"/>
              </w:rPr>
              <w:t>Processus actif en continu, adapté à un modèle lent à charger. La seconde machine créée par défaut a été supprimée pour limiter le coût, au prix de la haute disponibilité.</w:t>
            </w:r>
          </w:p>
        </w:tc>
      </w:tr>
      <w:tr>
        <w:trPr>
          <w:cantSplit w:val="true"/>
        </w:trPr>
        <w:tc>
          <w:tcPr>
            <w:tcW w:type="dxa" w:w="2721"/>
          </w:tcPr>
          <w:p>
            <w:pPr>
              <w:pStyle w:val="Cellule"/>
            </w:pPr>
            <w:r>
              <w:rPr>
                <w:rFonts w:ascii="Times New Roman" w:hAnsi="Times New Roman" w:eastAsia="Times New Roman" w:cs="Times New Roman"/>
                <w:sz w:val="21"/>
              </w:rPr>
              <w:t>CSS Modules, sans bibliothèque de style</w:t>
            </w:r>
          </w:p>
        </w:tc>
        <w:tc>
          <w:tcPr>
            <w:tcW w:type="dxa" w:w="6350"/>
          </w:tcPr>
          <w:p>
            <w:pPr>
              <w:pStyle w:val="Cellule"/>
            </w:pPr>
            <w:r>
              <w:rPr>
                <w:rFonts w:ascii="Times New Roman" w:hAnsi="Times New Roman" w:eastAsia="Times New Roman" w:cs="Times New Roman"/>
                <w:sz w:val="21"/>
              </w:rPr>
              <w:t>Reproduction directe des maquettes, sans traduction vers un système utilitaire.</w:t>
            </w:r>
          </w:p>
        </w:tc>
      </w:tr>
      <w:tr>
        <w:trPr>
          <w:cantSplit w:val="true"/>
        </w:trPr>
        <w:tc>
          <w:tcPr>
            <w:tcW w:type="dxa" w:w="2721"/>
          </w:tcPr>
          <w:p>
            <w:pPr>
              <w:pStyle w:val="Cellule"/>
            </w:pPr>
            <w:r>
              <w:rPr>
                <w:rFonts w:ascii="Times New Roman" w:hAnsi="Times New Roman" w:eastAsia="Times New Roman" w:cs="Times New Roman"/>
                <w:sz w:val="21"/>
              </w:rPr>
              <w:t xml:space="preserve">Résultat transmis par </w:t>
            </w:r>
            <w:r>
              <w:rPr>
                <w:rFonts w:ascii="Courier New" w:hAnsi="Courier New" w:eastAsia="Courier New" w:cs="Courier New"/>
                <w:sz w:val="19"/>
              </w:rPr>
              <w:t>sessionStorage</w:t>
            </w:r>
          </w:p>
        </w:tc>
        <w:tc>
          <w:tcPr>
            <w:tcW w:type="dxa" w:w="6350"/>
          </w:tcPr>
          <w:p>
            <w:pPr>
              <w:pStyle w:val="Cellule"/>
            </w:pPr>
            <w:r>
              <w:rPr>
                <w:rFonts w:ascii="Times New Roman" w:hAnsi="Times New Roman" w:eastAsia="Times New Roman" w:cs="Times New Roman"/>
                <w:sz w:val="21"/>
              </w:rPr>
              <w:t>Aucun stockage côté serveur. L’image est réduite à 900 pixels de côté au plus avant d’être conservée, pour rester sous le quota du navigateur.</w:t>
            </w:r>
          </w:p>
        </w:tc>
      </w:tr>
      <w:tr>
        <w:trPr>
          <w:cantSplit w:val="true"/>
        </w:trPr>
        <w:tc>
          <w:tcPr>
            <w:tcW w:type="dxa" w:w="2721"/>
          </w:tcPr>
          <w:p>
            <w:pPr>
              <w:pStyle w:val="Cellule"/>
            </w:pPr>
            <w:r>
              <w:rPr>
                <w:rFonts w:ascii="Times New Roman" w:hAnsi="Times New Roman" w:eastAsia="Times New Roman" w:cs="Times New Roman"/>
                <w:sz w:val="21"/>
              </w:rPr>
              <w:t>Description de la maladie sans traitement</w:t>
            </w:r>
          </w:p>
        </w:tc>
        <w:tc>
          <w:tcPr>
            <w:tcW w:type="dxa" w:w="6350"/>
          </w:tcPr>
          <w:p>
            <w:pPr>
              <w:pStyle w:val="Cellule"/>
            </w:pPr>
            <w:r>
              <w:rPr>
                <w:rFonts w:ascii="Times New Roman" w:hAnsi="Times New Roman" w:eastAsia="Times New Roman" w:cs="Times New Roman"/>
                <w:sz w:val="21"/>
              </w:rPr>
              <w:t>Limite posée par la section 3.2 du cahier des charges (voir section 2.3).</w:t>
            </w:r>
          </w:p>
        </w:tc>
      </w:tr>
    </w:tbl>
    <w:p>
      <w:pPr>
        <w:spacing w:after="0" w:lineRule="exact" w:line="200"/>
      </w:pPr>
    </w:p>
    <w:p>
      <w:pPr>
        <w:pStyle w:val="Heading1"/>
      </w:pPr>
      <w:r>
        <w:t>8. Résultats</w:t>
      </w:r>
    </w:p>
    <w:p>
      <w:pPr>
        <w:pStyle w:val="Heading2"/>
      </w:pPr>
      <w:r>
        <w:t>8.1 Performances sur le jeu de test</w:t>
      </w:r>
    </w:p>
    <w:p>
      <w:pPr>
        <w:pStyle w:val="Legende"/>
        <w:keepNext/>
        <w:spacing w:before="120" w:after="80"/>
      </w:pPr>
      <w:r>
        <w:rPr>
          <w:rFonts w:ascii="Times New Roman" w:hAnsi="Times New Roman" w:eastAsia="Times New Roman" w:cs="Times New Roman"/>
          <w:b/>
          <w:sz w:val="21"/>
        </w:rPr>
        <w:t>Tableau 4.</w:t>
      </w:r>
      <w:r>
        <w:rPr>
          <w:rFonts w:ascii="Times New Roman" w:hAnsi="Times New Roman" w:eastAsia="Times New Roman" w:cs="Times New Roman"/>
          <w:sz w:val="21"/>
        </w:rPr>
        <w:t xml:space="preserve"> Résultats sur le jeu de test (8 179 images jamais vues à l’entraînement).</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5080"/>
          </w:tcPr>
          <w:p>
            <w:pPr>
              <w:pStyle w:val="Cellule"/>
            </w:pPr>
            <w:r>
              <w:rPr>
                <w:rFonts w:ascii="Times New Roman" w:hAnsi="Times New Roman" w:eastAsia="Times New Roman" w:cs="Times New Roman"/>
                <w:b/>
                <w:sz w:val="21"/>
              </w:rPr>
              <w:t>Modèle</w:t>
            </w:r>
          </w:p>
        </w:tc>
        <w:tc>
          <w:tcPr>
            <w:tcW w:type="dxa" w:w="1996"/>
          </w:tcPr>
          <w:p>
            <w:pPr>
              <w:pStyle w:val="Cellule"/>
            </w:pPr>
            <w:r>
              <w:rPr>
                <w:rFonts w:ascii="Times New Roman" w:hAnsi="Times New Roman" w:eastAsia="Times New Roman" w:cs="Times New Roman"/>
                <w:b/>
                <w:sz w:val="21"/>
              </w:rPr>
              <w:t>Exactitude</w:t>
            </w:r>
          </w:p>
        </w:tc>
        <w:tc>
          <w:tcPr>
            <w:tcW w:type="dxa" w:w="1996"/>
          </w:tcPr>
          <w:p>
            <w:pPr>
              <w:pStyle w:val="Cellule"/>
            </w:pPr>
            <w:r>
              <w:rPr>
                <w:rFonts w:ascii="Times New Roman" w:hAnsi="Times New Roman" w:eastAsia="Times New Roman" w:cs="Times New Roman"/>
                <w:b/>
                <w:sz w:val="21"/>
              </w:rPr>
              <w:t>F1 macro</w:t>
            </w:r>
          </w:p>
        </w:tc>
      </w:tr>
      <w:tr>
        <w:trPr>
          <w:cantSplit w:val="true"/>
        </w:trPr>
        <w:tc>
          <w:tcPr>
            <w:tcW w:type="dxa" w:w="5080"/>
          </w:tcPr>
          <w:p>
            <w:pPr>
              <w:pStyle w:val="Cellule"/>
            </w:pPr>
            <w:r>
              <w:rPr>
                <w:rFonts w:ascii="Times New Roman" w:hAnsi="Times New Roman" w:eastAsia="Times New Roman" w:cs="Times New Roman"/>
                <w:sz w:val="21"/>
              </w:rPr>
              <w:t>Baseline (Random Forest, couleur et HOG)</w:t>
            </w:r>
          </w:p>
        </w:tc>
        <w:tc>
          <w:tcPr>
            <w:tcW w:type="dxa" w:w="1996"/>
          </w:tcPr>
          <w:p>
            <w:pPr>
              <w:pStyle w:val="Cellule"/>
            </w:pPr>
            <w:r>
              <w:rPr>
                <w:rFonts w:ascii="Times New Roman" w:hAnsi="Times New Roman" w:eastAsia="Times New Roman" w:cs="Times New Roman"/>
                <w:sz w:val="21"/>
              </w:rPr>
              <w:t>80,95 %</w:t>
            </w:r>
          </w:p>
        </w:tc>
        <w:tc>
          <w:tcPr>
            <w:tcW w:type="dxa" w:w="1996"/>
          </w:tcPr>
          <w:p>
            <w:pPr>
              <w:pStyle w:val="Cellule"/>
            </w:pPr>
            <w:r>
              <w:rPr>
                <w:rFonts w:ascii="Times New Roman" w:hAnsi="Times New Roman" w:eastAsia="Times New Roman" w:cs="Times New Roman"/>
                <w:sz w:val="21"/>
              </w:rPr>
              <w:t>73,58 %</w:t>
            </w:r>
          </w:p>
        </w:tc>
      </w:tr>
      <w:tr>
        <w:trPr>
          <w:cantSplit w:val="true"/>
        </w:trPr>
        <w:tc>
          <w:tcPr>
            <w:tcW w:type="dxa" w:w="5080"/>
          </w:tcPr>
          <w:p>
            <w:pPr>
              <w:pStyle w:val="Cellule"/>
            </w:pPr>
            <w:r>
              <w:rPr>
                <w:rFonts w:ascii="Times New Roman" w:hAnsi="Times New Roman" w:eastAsia="Times New Roman" w:cs="Times New Roman"/>
                <w:sz w:val="21"/>
              </w:rPr>
              <w:t>Transfert d’apprentissage (MobileNetV2)</w:t>
            </w:r>
          </w:p>
        </w:tc>
        <w:tc>
          <w:tcPr>
            <w:tcW w:type="dxa" w:w="1996"/>
          </w:tcPr>
          <w:p>
            <w:pPr>
              <w:pStyle w:val="Cellule"/>
            </w:pPr>
            <w:r>
              <w:rPr>
                <w:rFonts w:ascii="Times New Roman" w:hAnsi="Times New Roman" w:eastAsia="Times New Roman" w:cs="Times New Roman"/>
                <w:sz w:val="21"/>
              </w:rPr>
              <w:t>96,47 %</w:t>
            </w:r>
          </w:p>
        </w:tc>
        <w:tc>
          <w:tcPr>
            <w:tcW w:type="dxa" w:w="1996"/>
          </w:tcPr>
          <w:p>
            <w:pPr>
              <w:pStyle w:val="Cellule"/>
            </w:pPr>
            <w:r>
              <w:rPr>
                <w:rFonts w:ascii="Times New Roman" w:hAnsi="Times New Roman" w:eastAsia="Times New Roman" w:cs="Times New Roman"/>
                <w:sz w:val="21"/>
              </w:rPr>
              <w:t>95,66 %</w:t>
            </w:r>
          </w:p>
        </w:tc>
      </w:tr>
      <w:tr>
        <w:trPr>
          <w:cantSplit w:val="true"/>
        </w:trPr>
        <w:tc>
          <w:tcPr>
            <w:tcW w:type="dxa" w:w="5080"/>
          </w:tcPr>
          <w:p>
            <w:pPr>
              <w:pStyle w:val="Cellule"/>
            </w:pPr>
            <w:r>
              <w:rPr>
                <w:rFonts w:ascii="Times New Roman" w:hAnsi="Times New Roman" w:eastAsia="Times New Roman" w:cs="Times New Roman"/>
                <w:sz w:val="21"/>
              </w:rPr>
              <w:t>Écart</w:t>
            </w:r>
          </w:p>
        </w:tc>
        <w:tc>
          <w:tcPr>
            <w:tcW w:type="dxa" w:w="1996"/>
          </w:tcPr>
          <w:p>
            <w:pPr>
              <w:pStyle w:val="Cellule"/>
            </w:pPr>
            <w:r>
              <w:rPr>
                <w:rFonts w:ascii="Times New Roman" w:hAnsi="Times New Roman" w:eastAsia="Times New Roman" w:cs="Times New Roman"/>
                <w:sz w:val="21"/>
              </w:rPr>
              <w:t>+15,5 points</w:t>
            </w:r>
          </w:p>
        </w:tc>
        <w:tc>
          <w:tcPr>
            <w:tcW w:type="dxa" w:w="1996"/>
          </w:tcPr>
          <w:p>
            <w:pPr>
              <w:pStyle w:val="Cellule"/>
            </w:pPr>
            <w:r>
              <w:rPr>
                <w:rFonts w:ascii="Times New Roman" w:hAnsi="Times New Roman" w:eastAsia="Times New Roman" w:cs="Times New Roman"/>
                <w:sz w:val="21"/>
              </w:rPr>
              <w:t>+22,1 points</w:t>
            </w:r>
          </w:p>
        </w:tc>
      </w:tr>
    </w:tbl>
    <w:p>
      <w:pPr>
        <w:spacing w:after="0" w:lineRule="exact" w:line="200"/>
      </w:pPr>
    </w:p>
    <w:p>
      <w:r>
        <w:rPr>
          <w:rFonts w:ascii="Times New Roman" w:hAnsi="Times New Roman" w:eastAsia="Times New Roman" w:cs="Times New Roman"/>
        </w:rPr>
        <w:t>Les valeurs de validation (96,48 % d’exactitude, 95,93 % de F1 macro) et de test (96,47 % et 95,66 %) diffèrent peu : 0,01 point pour l’exactitude et 0,27 point pour le F1 macro. La moyenne pondérée du F1 sur le jeu de test est de 0,96.</w:t>
      </w:r>
    </w:p>
    <w:p>
      <w:pPr>
        <w:keepNext/>
        <w:spacing w:after="40"/>
        <w:jc w:val="center"/>
      </w:pPr>
      <w:r>
        <w:drawing>
          <wp:inline xmlns:a="http://schemas.openxmlformats.org/drawingml/2006/main" xmlns:pic="http://schemas.openxmlformats.org/drawingml/2006/picture">
            <wp:extent cx="5220000" cy="2871000"/>
            <wp:docPr id="1" name="Picture 1"/>
            <wp:cNvGraphicFramePr>
              <a:graphicFrameLocks noChangeAspect="1"/>
            </wp:cNvGraphicFramePr>
            <a:graphic>
              <a:graphicData uri="http://schemas.openxmlformats.org/drawingml/2006/picture">
                <pic:pic>
                  <pic:nvPicPr>
                    <pic:cNvPr id="0" name="figure_apprentissage.png"/>
                    <pic:cNvPicPr/>
                  </pic:nvPicPr>
                  <pic:blipFill>
                    <a:blip r:embed="rId10"/>
                    <a:stretch>
                      <a:fillRect/>
                    </a:stretch>
                  </pic:blipFill>
                  <pic:spPr>
                    <a:xfrm>
                      <a:off x="0" y="0"/>
                      <a:ext cx="5220000" cy="2871000"/>
                    </a:xfrm>
                    <a:prstGeom prst="rect"/>
                  </pic:spPr>
                </pic:pic>
              </a:graphicData>
            </a:graphic>
          </wp:inline>
        </w:drawing>
      </w:r>
    </w:p>
    <w:p>
      <w:pPr>
        <w:pStyle w:val="Legende"/>
        <w:jc w:val="center"/>
      </w:pPr>
      <w:r>
        <w:rPr>
          <w:rFonts w:ascii="Times New Roman" w:hAnsi="Times New Roman" w:eastAsia="Times New Roman" w:cs="Times New Roman"/>
          <w:b/>
          <w:sz w:val="21"/>
        </w:rPr>
        <w:t>Figure 1.</w:t>
      </w:r>
      <w:r>
        <w:rPr>
          <w:rFonts w:ascii="Times New Roman" w:hAnsi="Times New Roman" w:eastAsia="Times New Roman" w:cs="Times New Roman"/>
          <w:sz w:val="21"/>
        </w:rPr>
        <w:t xml:space="preserve"> Évolution de l’exactitude et du F1 macro sur la validation, et de l’exactitude sur l’entraînement, au fil des 16 epochs (valeurs relevées dans la sortie du script d’entraînement).</w:t>
      </w:r>
    </w:p>
    <w:p>
      <w:r>
        <w:rPr>
          <w:rFonts w:ascii="Times New Roman" w:hAnsi="Times New Roman" w:eastAsia="Times New Roman" w:cs="Times New Roman"/>
        </w:rPr>
        <w:t>L’exactitude d’entraînement reste inférieure à celle de validation pendant l’essentiel de l’apprentissage : elle est calculée avec l’augmentation de données et le dropout actifs, que l’évaluation sur la validation n’applique pas. La baisse à l’epoch 9 coïncide avec le dégel des 30 couches et le changement de taux d’apprentissage.</w:t>
      </w:r>
    </w:p>
    <w:p>
      <w:pPr>
        <w:pStyle w:val="Heading2"/>
      </w:pPr>
      <w:r>
        <w:t>8.2 Critères d’acceptation et objectifs</w:t>
      </w:r>
    </w:p>
    <w:p>
      <w:pPr>
        <w:pStyle w:val="Legende"/>
        <w:keepNext/>
        <w:spacing w:before="120" w:after="80"/>
      </w:pPr>
      <w:r>
        <w:rPr>
          <w:rFonts w:ascii="Times New Roman" w:hAnsi="Times New Roman" w:eastAsia="Times New Roman" w:cs="Times New Roman"/>
          <w:b/>
          <w:sz w:val="21"/>
        </w:rPr>
        <w:t>Tableau 5.</w:t>
      </w:r>
      <w:r>
        <w:rPr>
          <w:rFonts w:ascii="Times New Roman" w:hAnsi="Times New Roman" w:eastAsia="Times New Roman" w:cs="Times New Roman"/>
          <w:sz w:val="21"/>
        </w:rPr>
        <w:t xml:space="preserve"> Critères d’acceptation (section 10 du cahier des charges) et objectifs de taille.</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3628"/>
          </w:tcPr>
          <w:p>
            <w:pPr>
              <w:pStyle w:val="Cellule"/>
            </w:pPr>
            <w:r>
              <w:rPr>
                <w:rFonts w:ascii="Times New Roman" w:hAnsi="Times New Roman" w:eastAsia="Times New Roman" w:cs="Times New Roman"/>
                <w:b/>
                <w:sz w:val="21"/>
              </w:rPr>
              <w:t>Critère ou objectif</w:t>
            </w:r>
          </w:p>
        </w:tc>
        <w:tc>
          <w:tcPr>
            <w:tcW w:type="dxa" w:w="3628"/>
          </w:tcPr>
          <w:p>
            <w:pPr>
              <w:pStyle w:val="Cellule"/>
            </w:pPr>
            <w:r>
              <w:rPr>
                <w:rFonts w:ascii="Times New Roman" w:hAnsi="Times New Roman" w:eastAsia="Times New Roman" w:cs="Times New Roman"/>
                <w:b/>
                <w:sz w:val="21"/>
              </w:rPr>
              <w:t>Valeur obtenue</w:t>
            </w:r>
          </w:p>
        </w:tc>
        <w:tc>
          <w:tcPr>
            <w:tcW w:type="dxa" w:w="1814"/>
          </w:tcPr>
          <w:p>
            <w:pPr>
              <w:pStyle w:val="Cellule"/>
            </w:pPr>
            <w:r>
              <w:rPr>
                <w:rFonts w:ascii="Times New Roman" w:hAnsi="Times New Roman" w:eastAsia="Times New Roman" w:cs="Times New Roman"/>
                <w:b/>
                <w:sz w:val="21"/>
              </w:rPr>
              <w:t>Statut</w:t>
            </w:r>
          </w:p>
        </w:tc>
      </w:tr>
      <w:tr>
        <w:trPr>
          <w:cantSplit w:val="true"/>
        </w:trPr>
        <w:tc>
          <w:tcPr>
            <w:tcW w:type="dxa" w:w="3628"/>
          </w:tcPr>
          <w:p>
            <w:pPr>
              <w:pStyle w:val="Cellule"/>
            </w:pPr>
            <w:r>
              <w:rPr>
                <w:rFonts w:ascii="Times New Roman" w:hAnsi="Times New Roman" w:eastAsia="Times New Roman" w:cs="Times New Roman"/>
                <w:sz w:val="21"/>
              </w:rPr>
              <w:t>Exactitude d’au moins 90 % sur le jeu de test</w:t>
            </w:r>
          </w:p>
        </w:tc>
        <w:tc>
          <w:tcPr>
            <w:tcW w:type="dxa" w:w="3628"/>
          </w:tcPr>
          <w:p>
            <w:pPr>
              <w:pStyle w:val="Cellule"/>
            </w:pPr>
            <w:r>
              <w:rPr>
                <w:rFonts w:ascii="Times New Roman" w:hAnsi="Times New Roman" w:eastAsia="Times New Roman" w:cs="Times New Roman"/>
                <w:sz w:val="21"/>
              </w:rPr>
              <w:t>96,47 %</w:t>
            </w:r>
          </w:p>
        </w:tc>
        <w:tc>
          <w:tcPr>
            <w:tcW w:type="dxa" w:w="1814"/>
          </w:tcPr>
          <w:p>
            <w:pPr>
              <w:pStyle w:val="Cellule"/>
            </w:pPr>
            <w:r>
              <w:rPr>
                <w:rFonts w:ascii="Times New Roman" w:hAnsi="Times New Roman" w:eastAsia="Times New Roman" w:cs="Times New Roman"/>
                <w:sz w:val="21"/>
              </w:rPr>
              <w:t>Atteint</w:t>
            </w:r>
          </w:p>
        </w:tc>
      </w:tr>
      <w:tr>
        <w:trPr>
          <w:cantSplit w:val="true"/>
        </w:trPr>
        <w:tc>
          <w:tcPr>
            <w:tcW w:type="dxa" w:w="3628"/>
          </w:tcPr>
          <w:p>
            <w:pPr>
              <w:pStyle w:val="Cellule"/>
            </w:pPr>
            <w:r>
              <w:rPr>
                <w:rFonts w:ascii="Times New Roman" w:hAnsi="Times New Roman" w:eastAsia="Times New Roman" w:cs="Times New Roman"/>
                <w:sz w:val="21"/>
              </w:rPr>
              <w:t>F1 macro d’au moins 85 %</w:t>
            </w:r>
          </w:p>
        </w:tc>
        <w:tc>
          <w:tcPr>
            <w:tcW w:type="dxa" w:w="3628"/>
          </w:tcPr>
          <w:p>
            <w:pPr>
              <w:pStyle w:val="Cellule"/>
            </w:pPr>
            <w:r>
              <w:rPr>
                <w:rFonts w:ascii="Times New Roman" w:hAnsi="Times New Roman" w:eastAsia="Times New Roman" w:cs="Times New Roman"/>
                <w:sz w:val="21"/>
              </w:rPr>
              <w:t>95,66 %</w:t>
            </w:r>
          </w:p>
        </w:tc>
        <w:tc>
          <w:tcPr>
            <w:tcW w:type="dxa" w:w="1814"/>
          </w:tcPr>
          <w:p>
            <w:pPr>
              <w:pStyle w:val="Cellule"/>
            </w:pPr>
            <w:r>
              <w:rPr>
                <w:rFonts w:ascii="Times New Roman" w:hAnsi="Times New Roman" w:eastAsia="Times New Roman" w:cs="Times New Roman"/>
                <w:sz w:val="21"/>
              </w:rPr>
              <w:t>Atteint</w:t>
            </w:r>
          </w:p>
        </w:tc>
      </w:tr>
      <w:tr>
        <w:trPr>
          <w:cantSplit w:val="true"/>
        </w:trPr>
        <w:tc>
          <w:tcPr>
            <w:tcW w:type="dxa" w:w="3628"/>
          </w:tcPr>
          <w:p>
            <w:pPr>
              <w:pStyle w:val="Cellule"/>
            </w:pPr>
            <w:r>
              <w:rPr>
                <w:rFonts w:ascii="Times New Roman" w:hAnsi="Times New Roman" w:eastAsia="Times New Roman" w:cs="Times New Roman"/>
                <w:sz w:val="21"/>
              </w:rPr>
              <w:t>Dépasser strictement la baseline sur les métriques suivies</w:t>
            </w:r>
          </w:p>
        </w:tc>
        <w:tc>
          <w:tcPr>
            <w:tcW w:type="dxa" w:w="3628"/>
          </w:tcPr>
          <w:p>
            <w:pPr>
              <w:pStyle w:val="Cellule"/>
            </w:pPr>
            <w:r>
              <w:rPr>
                <w:rFonts w:ascii="Times New Roman" w:hAnsi="Times New Roman" w:eastAsia="Times New Roman" w:cs="Times New Roman"/>
                <w:sz w:val="21"/>
              </w:rPr>
              <w:t>+15,5 points d’exactitude, +22,1 points de F1 macro</w:t>
            </w:r>
          </w:p>
        </w:tc>
        <w:tc>
          <w:tcPr>
            <w:tcW w:type="dxa" w:w="1814"/>
          </w:tcPr>
          <w:p>
            <w:pPr>
              <w:pStyle w:val="Cellule"/>
            </w:pPr>
            <w:r>
              <w:rPr>
                <w:rFonts w:ascii="Times New Roman" w:hAnsi="Times New Roman" w:eastAsia="Times New Roman" w:cs="Times New Roman"/>
                <w:sz w:val="21"/>
              </w:rPr>
              <w:t>Atteint</w:t>
            </w:r>
          </w:p>
        </w:tc>
      </w:tr>
      <w:tr>
        <w:trPr>
          <w:cantSplit w:val="true"/>
        </w:trPr>
        <w:tc>
          <w:tcPr>
            <w:tcW w:type="dxa" w:w="3628"/>
          </w:tcPr>
          <w:p>
            <w:pPr>
              <w:pStyle w:val="Cellule"/>
            </w:pPr>
            <w:r>
              <w:rPr>
                <w:rFonts w:ascii="Times New Roman" w:hAnsi="Times New Roman" w:eastAsia="Times New Roman" w:cs="Times New Roman"/>
                <w:sz w:val="21"/>
              </w:rPr>
              <w:t>Classification d’une image en moins de 3 s de bout en bout</w:t>
            </w:r>
          </w:p>
        </w:tc>
        <w:tc>
          <w:tcPr>
            <w:tcW w:type="dxa" w:w="3628"/>
          </w:tcPr>
          <w:p>
            <w:pPr>
              <w:pStyle w:val="Cellule"/>
            </w:pPr>
            <w:r>
              <w:rPr>
                <w:rFonts w:ascii="Times New Roman" w:hAnsi="Times New Roman" w:eastAsia="Times New Roman" w:cs="Times New Roman"/>
                <w:sz w:val="21"/>
              </w:rPr>
              <w:t>Temps d’inférence de l’API mesuré de 52 à 262 ms (poste local, conteneur, hébergement) ; temps de bout en bout non chronométré</w:t>
            </w:r>
          </w:p>
        </w:tc>
        <w:tc>
          <w:tcPr>
            <w:tcW w:type="dxa" w:w="1814"/>
          </w:tcPr>
          <w:p>
            <w:pPr>
              <w:pStyle w:val="Cellule"/>
            </w:pPr>
            <w:r>
              <w:rPr>
                <w:rFonts w:ascii="Times New Roman" w:hAnsi="Times New Roman" w:eastAsia="Times New Roman" w:cs="Times New Roman"/>
                <w:sz w:val="21"/>
              </w:rPr>
              <w:t>Non vérifié</w:t>
            </w:r>
          </w:p>
        </w:tc>
      </w:tr>
      <w:tr>
        <w:trPr>
          <w:cantSplit w:val="true"/>
        </w:trPr>
        <w:tc>
          <w:tcPr>
            <w:tcW w:type="dxa" w:w="3628"/>
          </w:tcPr>
          <w:p>
            <w:pPr>
              <w:pStyle w:val="Cellule"/>
            </w:pPr>
            <w:r>
              <w:rPr>
                <w:rFonts w:ascii="Times New Roman" w:hAnsi="Times New Roman" w:eastAsia="Times New Roman" w:cs="Times New Roman"/>
                <w:sz w:val="21"/>
              </w:rPr>
              <w:t>Interface conforme au design system sur tous les points de rupture</w:t>
            </w:r>
          </w:p>
        </w:tc>
        <w:tc>
          <w:tcPr>
            <w:tcW w:type="dxa" w:w="3628"/>
          </w:tcPr>
          <w:p>
            <w:pPr>
              <w:pStyle w:val="Cellule"/>
            </w:pPr>
            <w:r>
              <w:rPr>
                <w:rFonts w:ascii="Times New Roman" w:hAnsi="Times New Roman" w:eastAsia="Times New Roman" w:cs="Times New Roman"/>
                <w:sz w:val="21"/>
              </w:rPr>
              <w:t>Contrôle visuel à 375, 768 et 1 280 px de large ; pas d’audit au pixel près</w:t>
            </w:r>
          </w:p>
        </w:tc>
        <w:tc>
          <w:tcPr>
            <w:tcW w:type="dxa" w:w="1814"/>
          </w:tcPr>
          <w:p>
            <w:pPr>
              <w:pStyle w:val="Cellule"/>
            </w:pPr>
            <w:r>
              <w:rPr>
                <w:rFonts w:ascii="Times New Roman" w:hAnsi="Times New Roman" w:eastAsia="Times New Roman" w:cs="Times New Roman"/>
                <w:sz w:val="21"/>
              </w:rPr>
              <w:t>Vérifié en partie</w:t>
            </w:r>
          </w:p>
        </w:tc>
      </w:tr>
      <w:tr>
        <w:trPr>
          <w:cantSplit w:val="true"/>
        </w:trPr>
        <w:tc>
          <w:tcPr>
            <w:tcW w:type="dxa" w:w="3628"/>
          </w:tcPr>
          <w:p>
            <w:pPr>
              <w:pStyle w:val="Cellule"/>
            </w:pPr>
            <w:r>
              <w:rPr>
                <w:rFonts w:ascii="Times New Roman" w:hAnsi="Times New Roman" w:eastAsia="Times New Roman" w:cs="Times New Roman"/>
                <w:sz w:val="21"/>
              </w:rPr>
              <w:t>Chargement initial de l’interface inférieur à 1,5 s</w:t>
            </w:r>
          </w:p>
        </w:tc>
        <w:tc>
          <w:tcPr>
            <w:tcW w:type="dxa" w:w="3628"/>
          </w:tcPr>
          <w:p>
            <w:pPr>
              <w:pStyle w:val="Cellule"/>
            </w:pPr>
            <w:r>
              <w:rPr>
                <w:rFonts w:ascii="Times New Roman" w:hAnsi="Times New Roman" w:eastAsia="Times New Roman" w:cs="Times New Roman"/>
                <w:sz w:val="21"/>
              </w:rPr>
              <w:t>Non mesuré</w:t>
            </w:r>
          </w:p>
        </w:tc>
        <w:tc>
          <w:tcPr>
            <w:tcW w:type="dxa" w:w="1814"/>
          </w:tcPr>
          <w:p>
            <w:pPr>
              <w:pStyle w:val="Cellule"/>
            </w:pPr>
            <w:r>
              <w:rPr>
                <w:rFonts w:ascii="Times New Roman" w:hAnsi="Times New Roman" w:eastAsia="Times New Roman" w:cs="Times New Roman"/>
                <w:sz w:val="21"/>
              </w:rPr>
              <w:t>Non vérifié</w:t>
            </w:r>
          </w:p>
        </w:tc>
      </w:tr>
      <w:tr>
        <w:trPr>
          <w:cantSplit w:val="true"/>
        </w:trPr>
        <w:tc>
          <w:tcPr>
            <w:tcW w:type="dxa" w:w="3628"/>
          </w:tcPr>
          <w:p>
            <w:pPr>
              <w:pStyle w:val="Cellule"/>
            </w:pPr>
            <w:r>
              <w:rPr>
                <w:rFonts w:ascii="Times New Roman" w:hAnsi="Times New Roman" w:eastAsia="Times New Roman" w:cs="Times New Roman"/>
                <w:sz w:val="21"/>
              </w:rPr>
              <w:t>Documentation permettant à un tiers de réentraîner le modèle sans assistance</w:t>
            </w:r>
          </w:p>
        </w:tc>
        <w:tc>
          <w:tcPr>
            <w:tcW w:type="dxa" w:w="3628"/>
          </w:tcPr>
          <w:p>
            <w:pPr>
              <w:pStyle w:val="Cellule"/>
            </w:pPr>
            <w:r>
              <w:rPr>
                <w:rFonts w:ascii="Times New Roman" w:hAnsi="Times New Roman" w:eastAsia="Times New Roman" w:cs="Times New Roman"/>
                <w:sz w:val="21"/>
              </w:rPr>
              <w:t>Documentation technique fournie ; non éprouvée par un tiers</w:t>
            </w:r>
          </w:p>
        </w:tc>
        <w:tc>
          <w:tcPr>
            <w:tcW w:type="dxa" w:w="1814"/>
          </w:tcPr>
          <w:p>
            <w:pPr>
              <w:pStyle w:val="Cellule"/>
            </w:pPr>
            <w:r>
              <w:rPr>
                <w:rFonts w:ascii="Times New Roman" w:hAnsi="Times New Roman" w:eastAsia="Times New Roman" w:cs="Times New Roman"/>
                <w:sz w:val="21"/>
              </w:rPr>
              <w:t>Non vérifié</w:t>
            </w:r>
          </w:p>
        </w:tc>
      </w:tr>
      <w:tr>
        <w:trPr>
          <w:cantSplit w:val="true"/>
        </w:trPr>
        <w:tc>
          <w:tcPr>
            <w:tcW w:type="dxa" w:w="3628"/>
          </w:tcPr>
          <w:p>
            <w:pPr>
              <w:pStyle w:val="Cellule"/>
            </w:pPr>
            <w:r>
              <w:rPr>
                <w:rFonts w:ascii="Times New Roman" w:hAnsi="Times New Roman" w:eastAsia="Times New Roman" w:cs="Times New Roman"/>
                <w:sz w:val="21"/>
              </w:rPr>
              <w:t>Modèle de moins de 20 Mo après conversion (objectif indicatif)</w:t>
            </w:r>
          </w:p>
        </w:tc>
        <w:tc>
          <w:tcPr>
            <w:tcW w:type="dxa" w:w="3628"/>
          </w:tcPr>
          <w:p>
            <w:pPr>
              <w:pStyle w:val="Cellule"/>
            </w:pPr>
            <w:r>
              <w:rPr>
                <w:rFonts w:ascii="Times New Roman" w:hAnsi="Times New Roman" w:eastAsia="Times New Roman" w:cs="Times New Roman"/>
                <w:sz w:val="21"/>
              </w:rPr>
              <w:t>Fichier Keras de 21 Mo ; conversion TensorFlow Lite non réalisée</w:t>
            </w:r>
          </w:p>
        </w:tc>
        <w:tc>
          <w:tcPr>
            <w:tcW w:type="dxa" w:w="1814"/>
          </w:tcPr>
          <w:p>
            <w:pPr>
              <w:pStyle w:val="Cellule"/>
            </w:pPr>
            <w:r>
              <w:rPr>
                <w:rFonts w:ascii="Times New Roman" w:hAnsi="Times New Roman" w:eastAsia="Times New Roman" w:cs="Times New Roman"/>
                <w:sz w:val="21"/>
              </w:rPr>
              <w:t>Non vérifié</w:t>
            </w:r>
          </w:p>
        </w:tc>
      </w:tr>
    </w:tbl>
    <w:p>
      <w:pPr>
        <w:spacing w:after="0" w:lineRule="exact" w:line="200"/>
      </w:pPr>
    </w:p>
    <w:p>
      <w:pPr>
        <w:pStyle w:val="Heading2"/>
      </w:pPr>
      <w:r>
        <w:t>8.3 Analyse des erreurs</w:t>
      </w:r>
    </w:p>
    <w:p>
      <w:r>
        <w:rPr>
          <w:rFonts w:ascii="Times New Roman" w:hAnsi="Times New Roman" w:eastAsia="Times New Roman" w:cs="Times New Roman"/>
        </w:rPr>
        <w:t>La matrice de confusion (figure 2) présente une diagonale nette. Les erreurs se concentrent sur des maladies aux symptômes visuellement proches, surtout chez la tomate. Le tableau 6 donne les confusions les plus fréquentes.</w:t>
      </w:r>
    </w:p>
    <w:p>
      <w:pPr>
        <w:keepNext/>
        <w:spacing w:after="40"/>
        <w:jc w:val="center"/>
      </w:pPr>
      <w:r>
        <w:drawing>
          <wp:inline xmlns:a="http://schemas.openxmlformats.org/drawingml/2006/main" xmlns:pic="http://schemas.openxmlformats.org/drawingml/2006/picture">
            <wp:extent cx="4140000" cy="3833333"/>
            <wp:docPr id="2" name="Picture 2"/>
            <wp:cNvGraphicFramePr>
              <a:graphicFrameLocks noChangeAspect="1"/>
            </wp:cNvGraphicFramePr>
            <a:graphic>
              <a:graphicData uri="http://schemas.openxmlformats.org/drawingml/2006/picture">
                <pic:pic>
                  <pic:nvPicPr>
                    <pic:cNvPr id="0" name="figure_matrice_confusion.png"/>
                    <pic:cNvPicPr/>
                  </pic:nvPicPr>
                  <pic:blipFill>
                    <a:blip r:embed="rId11"/>
                    <a:stretch>
                      <a:fillRect/>
                    </a:stretch>
                  </pic:blipFill>
                  <pic:spPr>
                    <a:xfrm>
                      <a:off x="0" y="0"/>
                      <a:ext cx="4140000" cy="3833333"/>
                    </a:xfrm>
                    <a:prstGeom prst="rect"/>
                  </pic:spPr>
                </pic:pic>
              </a:graphicData>
            </a:graphic>
          </wp:inline>
        </w:drawing>
      </w:r>
    </w:p>
    <w:p>
      <w:pPr>
        <w:pStyle w:val="Legende"/>
        <w:jc w:val="center"/>
      </w:pPr>
      <w:r>
        <w:rPr>
          <w:rFonts w:ascii="Times New Roman" w:hAnsi="Times New Roman" w:eastAsia="Times New Roman" w:cs="Times New Roman"/>
          <w:b/>
          <w:sz w:val="21"/>
        </w:rPr>
        <w:t>Figure 2.</w:t>
      </w:r>
      <w:r>
        <w:rPr>
          <w:rFonts w:ascii="Times New Roman" w:hAnsi="Times New Roman" w:eastAsia="Times New Roman" w:cs="Times New Roman"/>
          <w:sz w:val="21"/>
        </w:rPr>
        <w:t xml:space="preserve"> Matrice de confusion du modèle de transfert sur le jeu de test (lignes : classe réelle ; colonnes : classe prédite ; échelle de gris en racine carrée du nombre d’images). La correspondance entre indices et classes figure en annexe A de la documentation technique.</w:t>
      </w:r>
    </w:p>
    <w:p>
      <w:pPr>
        <w:pStyle w:val="Legende"/>
        <w:keepNext/>
        <w:spacing w:before="120" w:after="80"/>
      </w:pPr>
      <w:r>
        <w:rPr>
          <w:rFonts w:ascii="Times New Roman" w:hAnsi="Times New Roman" w:eastAsia="Times New Roman" w:cs="Times New Roman"/>
          <w:b/>
          <w:sz w:val="21"/>
        </w:rPr>
        <w:t>Tableau 6.</w:t>
      </w:r>
      <w:r>
        <w:rPr>
          <w:rFonts w:ascii="Times New Roman" w:hAnsi="Times New Roman" w:eastAsia="Times New Roman" w:cs="Times New Roman"/>
          <w:sz w:val="21"/>
        </w:rPr>
        <w:t xml:space="preserve"> Huit confusions les plus fréquentes sur le jeu de test (extrait du rapport d’évaluation).</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3810"/>
          </w:tcPr>
          <w:p>
            <w:pPr>
              <w:pStyle w:val="Cellule"/>
            </w:pPr>
            <w:r>
              <w:rPr>
                <w:rFonts w:ascii="Times New Roman" w:hAnsi="Times New Roman" w:eastAsia="Times New Roman" w:cs="Times New Roman"/>
                <w:b/>
                <w:sz w:val="21"/>
              </w:rPr>
              <w:t>Classe réelle</w:t>
            </w:r>
          </w:p>
        </w:tc>
        <w:tc>
          <w:tcPr>
            <w:tcW w:type="dxa" w:w="3991"/>
          </w:tcPr>
          <w:p>
            <w:pPr>
              <w:pStyle w:val="Cellule"/>
            </w:pPr>
            <w:r>
              <w:rPr>
                <w:rFonts w:ascii="Times New Roman" w:hAnsi="Times New Roman" w:eastAsia="Times New Roman" w:cs="Times New Roman"/>
                <w:b/>
                <w:sz w:val="21"/>
              </w:rPr>
              <w:t>Prédite à tort comme</w:t>
            </w:r>
          </w:p>
        </w:tc>
        <w:tc>
          <w:tcPr>
            <w:tcW w:type="dxa" w:w="1270"/>
          </w:tcPr>
          <w:p>
            <w:pPr>
              <w:pStyle w:val="Cellule"/>
            </w:pPr>
            <w:r>
              <w:rPr>
                <w:rFonts w:ascii="Times New Roman" w:hAnsi="Times New Roman" w:eastAsia="Times New Roman" w:cs="Times New Roman"/>
                <w:b/>
                <w:sz w:val="21"/>
              </w:rPr>
              <w:t>Cas</w:t>
            </w:r>
          </w:p>
        </w:tc>
      </w:tr>
      <w:tr>
        <w:trPr>
          <w:cantSplit w:val="true"/>
        </w:trPr>
        <w:tc>
          <w:tcPr>
            <w:tcW w:type="dxa" w:w="3810"/>
          </w:tcPr>
          <w:p>
            <w:pPr>
              <w:pStyle w:val="Cellule"/>
            </w:pPr>
            <w:r>
              <w:rPr>
                <w:rFonts w:ascii="Courier New" w:hAnsi="Courier New" w:eastAsia="Courier New" w:cs="Courier New"/>
                <w:sz w:val="19"/>
              </w:rPr>
              <w:t>Tomato___Spider_mites Two-spotted_spider_mite</w:t>
            </w:r>
          </w:p>
        </w:tc>
        <w:tc>
          <w:tcPr>
            <w:tcW w:type="dxa" w:w="3991"/>
          </w:tcPr>
          <w:p>
            <w:pPr>
              <w:pStyle w:val="Cellule"/>
            </w:pPr>
            <w:r>
              <w:rPr>
                <w:rFonts w:ascii="Courier New" w:hAnsi="Courier New" w:eastAsia="Courier New" w:cs="Courier New"/>
                <w:sz w:val="19"/>
              </w:rPr>
              <w:t>Tomato___Target_Spot</w:t>
            </w:r>
          </w:p>
        </w:tc>
        <w:tc>
          <w:tcPr>
            <w:tcW w:type="dxa" w:w="1270"/>
          </w:tcPr>
          <w:p>
            <w:pPr>
              <w:pStyle w:val="Cellule"/>
            </w:pPr>
            <w:r>
              <w:rPr>
                <w:rFonts w:ascii="Times New Roman" w:hAnsi="Times New Roman" w:eastAsia="Times New Roman" w:cs="Times New Roman"/>
                <w:sz w:val="21"/>
              </w:rPr>
              <w:t>23</w:t>
            </w:r>
          </w:p>
        </w:tc>
      </w:tr>
      <w:tr>
        <w:trPr>
          <w:cantSplit w:val="true"/>
        </w:trPr>
        <w:tc>
          <w:tcPr>
            <w:tcW w:type="dxa" w:w="3810"/>
          </w:tcPr>
          <w:p>
            <w:pPr>
              <w:pStyle w:val="Cellule"/>
            </w:pPr>
            <w:r>
              <w:rPr>
                <w:rFonts w:ascii="Courier New" w:hAnsi="Courier New" w:eastAsia="Courier New" w:cs="Courier New"/>
                <w:sz w:val="19"/>
              </w:rPr>
              <w:t>Tomato___Spider_mites Two-spotted_spider_mite</w:t>
            </w:r>
          </w:p>
        </w:tc>
        <w:tc>
          <w:tcPr>
            <w:tcW w:type="dxa" w:w="3991"/>
          </w:tcPr>
          <w:p>
            <w:pPr>
              <w:pStyle w:val="Cellule"/>
            </w:pPr>
            <w:r>
              <w:rPr>
                <w:rFonts w:ascii="Courier New" w:hAnsi="Courier New" w:eastAsia="Courier New" w:cs="Courier New"/>
                <w:sz w:val="19"/>
              </w:rPr>
              <w:t>Tomato___healthy</w:t>
            </w:r>
          </w:p>
        </w:tc>
        <w:tc>
          <w:tcPr>
            <w:tcW w:type="dxa" w:w="1270"/>
          </w:tcPr>
          <w:p>
            <w:pPr>
              <w:pStyle w:val="Cellule"/>
            </w:pPr>
            <w:r>
              <w:rPr>
                <w:rFonts w:ascii="Times New Roman" w:hAnsi="Times New Roman" w:eastAsia="Times New Roman" w:cs="Times New Roman"/>
                <w:sz w:val="21"/>
              </w:rPr>
              <w:t>19</w:t>
            </w:r>
          </w:p>
        </w:tc>
      </w:tr>
      <w:tr>
        <w:trPr>
          <w:cantSplit w:val="true"/>
        </w:trPr>
        <w:tc>
          <w:tcPr>
            <w:tcW w:type="dxa" w:w="3810"/>
          </w:tcPr>
          <w:p>
            <w:pPr>
              <w:pStyle w:val="Cellule"/>
            </w:pPr>
            <w:r>
              <w:rPr>
                <w:rFonts w:ascii="Courier New" w:hAnsi="Courier New" w:eastAsia="Courier New" w:cs="Courier New"/>
                <w:sz w:val="19"/>
              </w:rPr>
              <w:t>Tomato___Early_blight</w:t>
            </w:r>
          </w:p>
        </w:tc>
        <w:tc>
          <w:tcPr>
            <w:tcW w:type="dxa" w:w="3991"/>
          </w:tcPr>
          <w:p>
            <w:pPr>
              <w:pStyle w:val="Cellule"/>
            </w:pPr>
            <w:r>
              <w:rPr>
                <w:rFonts w:ascii="Courier New" w:hAnsi="Courier New" w:eastAsia="Courier New" w:cs="Courier New"/>
                <w:sz w:val="19"/>
              </w:rPr>
              <w:t>Tomato___Target_Spot</w:t>
            </w:r>
          </w:p>
        </w:tc>
        <w:tc>
          <w:tcPr>
            <w:tcW w:type="dxa" w:w="1270"/>
          </w:tcPr>
          <w:p>
            <w:pPr>
              <w:pStyle w:val="Cellule"/>
            </w:pPr>
            <w:r>
              <w:rPr>
                <w:rFonts w:ascii="Times New Roman" w:hAnsi="Times New Roman" w:eastAsia="Times New Roman" w:cs="Times New Roman"/>
                <w:sz w:val="21"/>
              </w:rPr>
              <w:t>16</w:t>
            </w:r>
          </w:p>
        </w:tc>
      </w:tr>
      <w:tr>
        <w:trPr>
          <w:cantSplit w:val="true"/>
        </w:trPr>
        <w:tc>
          <w:tcPr>
            <w:tcW w:type="dxa" w:w="3810"/>
          </w:tcPr>
          <w:p>
            <w:pPr>
              <w:pStyle w:val="Cellule"/>
            </w:pPr>
            <w:r>
              <w:rPr>
                <w:rFonts w:ascii="Courier New" w:hAnsi="Courier New" w:eastAsia="Courier New" w:cs="Courier New"/>
                <w:sz w:val="19"/>
              </w:rPr>
              <w:t>Corn___Cercospora_leaf_spot Gray_leaf_spot</w:t>
            </w:r>
          </w:p>
        </w:tc>
        <w:tc>
          <w:tcPr>
            <w:tcW w:type="dxa" w:w="3991"/>
          </w:tcPr>
          <w:p>
            <w:pPr>
              <w:pStyle w:val="Cellule"/>
            </w:pPr>
            <w:r>
              <w:rPr>
                <w:rFonts w:ascii="Courier New" w:hAnsi="Courier New" w:eastAsia="Courier New" w:cs="Courier New"/>
                <w:sz w:val="19"/>
              </w:rPr>
              <w:t>Corn___Northern_Leaf_Blight</w:t>
            </w:r>
          </w:p>
        </w:tc>
        <w:tc>
          <w:tcPr>
            <w:tcW w:type="dxa" w:w="1270"/>
          </w:tcPr>
          <w:p>
            <w:pPr>
              <w:pStyle w:val="Cellule"/>
            </w:pPr>
            <w:r>
              <w:rPr>
                <w:rFonts w:ascii="Times New Roman" w:hAnsi="Times New Roman" w:eastAsia="Times New Roman" w:cs="Times New Roman"/>
                <w:sz w:val="21"/>
              </w:rPr>
              <w:t>13</w:t>
            </w:r>
          </w:p>
        </w:tc>
      </w:tr>
      <w:tr>
        <w:trPr>
          <w:cantSplit w:val="true"/>
        </w:trPr>
        <w:tc>
          <w:tcPr>
            <w:tcW w:type="dxa" w:w="3810"/>
          </w:tcPr>
          <w:p>
            <w:pPr>
              <w:pStyle w:val="Cellule"/>
            </w:pPr>
            <w:r>
              <w:rPr>
                <w:rFonts w:ascii="Courier New" w:hAnsi="Courier New" w:eastAsia="Courier New" w:cs="Courier New"/>
                <w:sz w:val="19"/>
              </w:rPr>
              <w:t>Tomato___Tomato_Yellow_Leaf_Curl_Virus</w:t>
            </w:r>
          </w:p>
        </w:tc>
        <w:tc>
          <w:tcPr>
            <w:tcW w:type="dxa" w:w="3991"/>
          </w:tcPr>
          <w:p>
            <w:pPr>
              <w:pStyle w:val="Cellule"/>
            </w:pPr>
            <w:r>
              <w:rPr>
                <w:rFonts w:ascii="Courier New" w:hAnsi="Courier New" w:eastAsia="Courier New" w:cs="Courier New"/>
                <w:sz w:val="19"/>
              </w:rPr>
              <w:t>Tomato___Bacterial_spot</w:t>
            </w:r>
          </w:p>
        </w:tc>
        <w:tc>
          <w:tcPr>
            <w:tcW w:type="dxa" w:w="1270"/>
          </w:tcPr>
          <w:p>
            <w:pPr>
              <w:pStyle w:val="Cellule"/>
            </w:pPr>
            <w:r>
              <w:rPr>
                <w:rFonts w:ascii="Times New Roman" w:hAnsi="Times New Roman" w:eastAsia="Times New Roman" w:cs="Times New Roman"/>
                <w:sz w:val="21"/>
              </w:rPr>
              <w:t>13</w:t>
            </w:r>
          </w:p>
        </w:tc>
      </w:tr>
      <w:tr>
        <w:trPr>
          <w:cantSplit w:val="true"/>
        </w:trPr>
        <w:tc>
          <w:tcPr>
            <w:tcW w:type="dxa" w:w="3810"/>
          </w:tcPr>
          <w:p>
            <w:pPr>
              <w:pStyle w:val="Cellule"/>
            </w:pPr>
            <w:r>
              <w:rPr>
                <w:rFonts w:ascii="Courier New" w:hAnsi="Courier New" w:eastAsia="Courier New" w:cs="Courier New"/>
                <w:sz w:val="19"/>
              </w:rPr>
              <w:t>Corn___Northern_Leaf_Blight</w:t>
            </w:r>
          </w:p>
        </w:tc>
        <w:tc>
          <w:tcPr>
            <w:tcW w:type="dxa" w:w="3991"/>
          </w:tcPr>
          <w:p>
            <w:pPr>
              <w:pStyle w:val="Cellule"/>
            </w:pPr>
            <w:r>
              <w:rPr>
                <w:rFonts w:ascii="Courier New" w:hAnsi="Courier New" w:eastAsia="Courier New" w:cs="Courier New"/>
                <w:sz w:val="19"/>
              </w:rPr>
              <w:t>Corn___Cercospora_leaf_spot Gray_leaf_spot</w:t>
            </w:r>
          </w:p>
        </w:tc>
        <w:tc>
          <w:tcPr>
            <w:tcW w:type="dxa" w:w="1270"/>
          </w:tcPr>
          <w:p>
            <w:pPr>
              <w:pStyle w:val="Cellule"/>
            </w:pPr>
            <w:r>
              <w:rPr>
                <w:rFonts w:ascii="Times New Roman" w:hAnsi="Times New Roman" w:eastAsia="Times New Roman" w:cs="Times New Roman"/>
                <w:sz w:val="21"/>
              </w:rPr>
              <w:t>10</w:t>
            </w:r>
          </w:p>
        </w:tc>
      </w:tr>
      <w:tr>
        <w:trPr>
          <w:cantSplit w:val="true"/>
        </w:trPr>
        <w:tc>
          <w:tcPr>
            <w:tcW w:type="dxa" w:w="3810"/>
          </w:tcPr>
          <w:p>
            <w:pPr>
              <w:pStyle w:val="Cellule"/>
            </w:pPr>
            <w:r>
              <w:rPr>
                <w:rFonts w:ascii="Courier New" w:hAnsi="Courier New" w:eastAsia="Courier New" w:cs="Courier New"/>
                <w:sz w:val="19"/>
              </w:rPr>
              <w:t>Tomato___Target_Spot</w:t>
            </w:r>
          </w:p>
        </w:tc>
        <w:tc>
          <w:tcPr>
            <w:tcW w:type="dxa" w:w="3991"/>
          </w:tcPr>
          <w:p>
            <w:pPr>
              <w:pStyle w:val="Cellule"/>
            </w:pPr>
            <w:r>
              <w:rPr>
                <w:rFonts w:ascii="Courier New" w:hAnsi="Courier New" w:eastAsia="Courier New" w:cs="Courier New"/>
                <w:sz w:val="19"/>
              </w:rPr>
              <w:t>Tomato___healthy</w:t>
            </w:r>
          </w:p>
        </w:tc>
        <w:tc>
          <w:tcPr>
            <w:tcW w:type="dxa" w:w="1270"/>
          </w:tcPr>
          <w:p>
            <w:pPr>
              <w:pStyle w:val="Cellule"/>
            </w:pPr>
            <w:r>
              <w:rPr>
                <w:rFonts w:ascii="Times New Roman" w:hAnsi="Times New Roman" w:eastAsia="Times New Roman" w:cs="Times New Roman"/>
                <w:sz w:val="21"/>
              </w:rPr>
              <w:t>8</w:t>
            </w:r>
          </w:p>
        </w:tc>
      </w:tr>
      <w:tr>
        <w:trPr>
          <w:cantSplit w:val="true"/>
        </w:trPr>
        <w:tc>
          <w:tcPr>
            <w:tcW w:type="dxa" w:w="3810"/>
          </w:tcPr>
          <w:p>
            <w:pPr>
              <w:pStyle w:val="Cellule"/>
            </w:pPr>
            <w:r>
              <w:rPr>
                <w:rFonts w:ascii="Courier New" w:hAnsi="Courier New" w:eastAsia="Courier New" w:cs="Courier New"/>
                <w:sz w:val="19"/>
              </w:rPr>
              <w:t>Tomato___Septoria_leaf_spot</w:t>
            </w:r>
          </w:p>
        </w:tc>
        <w:tc>
          <w:tcPr>
            <w:tcW w:type="dxa" w:w="3991"/>
          </w:tcPr>
          <w:p>
            <w:pPr>
              <w:pStyle w:val="Cellule"/>
            </w:pPr>
            <w:r>
              <w:rPr>
                <w:rFonts w:ascii="Courier New" w:hAnsi="Courier New" w:eastAsia="Courier New" w:cs="Courier New"/>
                <w:sz w:val="19"/>
              </w:rPr>
              <w:t>Tomato___Bacterial_spot</w:t>
            </w:r>
          </w:p>
        </w:tc>
        <w:tc>
          <w:tcPr>
            <w:tcW w:type="dxa" w:w="1270"/>
          </w:tcPr>
          <w:p>
            <w:pPr>
              <w:pStyle w:val="Cellule"/>
            </w:pPr>
            <w:r>
              <w:rPr>
                <w:rFonts w:ascii="Times New Roman" w:hAnsi="Times New Roman" w:eastAsia="Times New Roman" w:cs="Times New Roman"/>
                <w:sz w:val="21"/>
              </w:rPr>
              <w:t>7</w:t>
            </w:r>
          </w:p>
        </w:tc>
      </w:tr>
    </w:tbl>
    <w:p>
      <w:pPr>
        <w:spacing w:after="0" w:lineRule="exact" w:line="200"/>
      </w:pPr>
    </w:p>
    <w:p>
      <w:pPr>
        <w:pStyle w:val="Legende"/>
        <w:keepNext/>
        <w:spacing w:before="120" w:after="80"/>
      </w:pPr>
      <w:r>
        <w:rPr>
          <w:rFonts w:ascii="Times New Roman" w:hAnsi="Times New Roman" w:eastAsia="Times New Roman" w:cs="Times New Roman"/>
          <w:b/>
          <w:sz w:val="21"/>
        </w:rPr>
        <w:t>Tableau 7.</w:t>
      </w:r>
      <w:r>
        <w:rPr>
          <w:rFonts w:ascii="Times New Roman" w:hAnsi="Times New Roman" w:eastAsia="Times New Roman" w:cs="Times New Roman"/>
          <w:sz w:val="21"/>
        </w:rPr>
        <w:t xml:space="preserve"> Classes aux plus faibles précision ou rappel.</w:t>
      </w:r>
    </w:p>
    <w:tbl>
      <w:tblPr>
        <w:tblStyle w:val="TableGrid"/>
        <w:tblW w:type="auto" w:w="0"/>
        <w:jc w:val="left"/>
        <w:tblLayout w:type="fixed"/>
        <w:tblLook w:firstColumn="1" w:firstRow="1" w:lastColumn="0" w:lastRow="0" w:noHBand="0" w:noVBand="1" w:val="04A0"/>
      </w:tblPr>
      <w:tblGrid>
        <w:gridCol w:w="2268"/>
        <w:gridCol w:w="2268"/>
        <w:gridCol w:w="2268"/>
        <w:gridCol w:w="2268"/>
      </w:tblGrid>
      <w:tr>
        <w:trPr>
          <w:tblHeader w:val="true"/>
        </w:trPr>
        <w:tc>
          <w:tcPr>
            <w:tcW w:type="dxa" w:w="4989"/>
          </w:tcPr>
          <w:p>
            <w:pPr>
              <w:pStyle w:val="Cellule"/>
            </w:pPr>
            <w:r>
              <w:rPr>
                <w:rFonts w:ascii="Times New Roman" w:hAnsi="Times New Roman" w:eastAsia="Times New Roman" w:cs="Times New Roman"/>
                <w:b/>
                <w:sz w:val="21"/>
              </w:rPr>
              <w:t>Classe</w:t>
            </w:r>
          </w:p>
        </w:tc>
        <w:tc>
          <w:tcPr>
            <w:tcW w:type="dxa" w:w="1361"/>
          </w:tcPr>
          <w:p>
            <w:pPr>
              <w:pStyle w:val="Cellule"/>
            </w:pPr>
            <w:r>
              <w:rPr>
                <w:rFonts w:ascii="Times New Roman" w:hAnsi="Times New Roman" w:eastAsia="Times New Roman" w:cs="Times New Roman"/>
                <w:b/>
                <w:sz w:val="21"/>
              </w:rPr>
              <w:t>Précision</w:t>
            </w:r>
          </w:p>
        </w:tc>
        <w:tc>
          <w:tcPr>
            <w:tcW w:type="dxa" w:w="1361"/>
          </w:tcPr>
          <w:p>
            <w:pPr>
              <w:pStyle w:val="Cellule"/>
            </w:pPr>
            <w:r>
              <w:rPr>
                <w:rFonts w:ascii="Times New Roman" w:hAnsi="Times New Roman" w:eastAsia="Times New Roman" w:cs="Times New Roman"/>
                <w:b/>
                <w:sz w:val="21"/>
              </w:rPr>
              <w:t>Rappel</w:t>
            </w:r>
          </w:p>
        </w:tc>
        <w:tc>
          <w:tcPr>
            <w:tcW w:type="dxa" w:w="1361"/>
          </w:tcPr>
          <w:p>
            <w:pPr>
              <w:pStyle w:val="Cellule"/>
            </w:pPr>
            <w:r>
              <w:rPr>
                <w:rFonts w:ascii="Times New Roman" w:hAnsi="Times New Roman" w:eastAsia="Times New Roman" w:cs="Times New Roman"/>
                <w:b/>
                <w:sz w:val="21"/>
              </w:rPr>
              <w:t>Images de test</w:t>
            </w:r>
          </w:p>
        </w:tc>
      </w:tr>
      <w:tr>
        <w:trPr>
          <w:cantSplit w:val="true"/>
        </w:trPr>
        <w:tc>
          <w:tcPr>
            <w:tcW w:type="dxa" w:w="4989"/>
          </w:tcPr>
          <w:p>
            <w:pPr>
              <w:pStyle w:val="Cellule"/>
            </w:pPr>
            <w:r>
              <w:rPr>
                <w:rFonts w:ascii="Courier New" w:hAnsi="Courier New" w:eastAsia="Courier New" w:cs="Courier New"/>
                <w:sz w:val="19"/>
              </w:rPr>
              <w:t>Tomato___Target_Spot</w:t>
            </w:r>
          </w:p>
        </w:tc>
        <w:tc>
          <w:tcPr>
            <w:tcW w:type="dxa" w:w="1361"/>
          </w:tcPr>
          <w:p>
            <w:pPr>
              <w:pStyle w:val="Cellule"/>
            </w:pPr>
            <w:r>
              <w:rPr>
                <w:rFonts w:ascii="Times New Roman" w:hAnsi="Times New Roman" w:eastAsia="Times New Roman" w:cs="Times New Roman"/>
                <w:sz w:val="21"/>
              </w:rPr>
              <w:t>0,76</w:t>
            </w:r>
          </w:p>
        </w:tc>
        <w:tc>
          <w:tcPr>
            <w:tcW w:type="dxa" w:w="1361"/>
          </w:tcPr>
          <w:p>
            <w:pPr>
              <w:pStyle w:val="Cellule"/>
            </w:pPr>
            <w:r>
              <w:rPr>
                <w:rFonts w:ascii="Times New Roman" w:hAnsi="Times New Roman" w:eastAsia="Times New Roman" w:cs="Times New Roman"/>
                <w:sz w:val="21"/>
              </w:rPr>
              <w:t>0,90</w:t>
            </w:r>
          </w:p>
        </w:tc>
        <w:tc>
          <w:tcPr>
            <w:tcW w:type="dxa" w:w="1361"/>
          </w:tcPr>
          <w:p>
            <w:pPr>
              <w:pStyle w:val="Cellule"/>
            </w:pPr>
            <w:r>
              <w:rPr>
                <w:rFonts w:ascii="Times New Roman" w:hAnsi="Times New Roman" w:eastAsia="Times New Roman" w:cs="Times New Roman"/>
                <w:sz w:val="21"/>
              </w:rPr>
              <w:t>212</w:t>
            </w:r>
          </w:p>
        </w:tc>
      </w:tr>
      <w:tr>
        <w:trPr>
          <w:cantSplit w:val="true"/>
        </w:trPr>
        <w:tc>
          <w:tcPr>
            <w:tcW w:type="dxa" w:w="4989"/>
          </w:tcPr>
          <w:p>
            <w:pPr>
              <w:pStyle w:val="Cellule"/>
            </w:pPr>
            <w:r>
              <w:rPr>
                <w:rFonts w:ascii="Courier New" w:hAnsi="Courier New" w:eastAsia="Courier New" w:cs="Courier New"/>
                <w:sz w:val="19"/>
              </w:rPr>
              <w:t>Potato___healthy</w:t>
            </w:r>
          </w:p>
        </w:tc>
        <w:tc>
          <w:tcPr>
            <w:tcW w:type="dxa" w:w="1361"/>
          </w:tcPr>
          <w:p>
            <w:pPr>
              <w:pStyle w:val="Cellule"/>
            </w:pPr>
            <w:r>
              <w:rPr>
                <w:rFonts w:ascii="Times New Roman" w:hAnsi="Times New Roman" w:eastAsia="Times New Roman" w:cs="Times New Roman"/>
                <w:sz w:val="21"/>
              </w:rPr>
              <w:t>0,81</w:t>
            </w:r>
          </w:p>
        </w:tc>
        <w:tc>
          <w:tcPr>
            <w:tcW w:type="dxa" w:w="1361"/>
          </w:tcPr>
          <w:p>
            <w:pPr>
              <w:pStyle w:val="Cellule"/>
            </w:pPr>
            <w:r>
              <w:rPr>
                <w:rFonts w:ascii="Times New Roman" w:hAnsi="Times New Roman" w:eastAsia="Times New Roman" w:cs="Times New Roman"/>
                <w:sz w:val="21"/>
              </w:rPr>
              <w:t>0,92</w:t>
            </w:r>
          </w:p>
        </w:tc>
        <w:tc>
          <w:tcPr>
            <w:tcW w:type="dxa" w:w="1361"/>
          </w:tcPr>
          <w:p>
            <w:pPr>
              <w:pStyle w:val="Cellule"/>
            </w:pPr>
            <w:r>
              <w:rPr>
                <w:rFonts w:ascii="Times New Roman" w:hAnsi="Times New Roman" w:eastAsia="Times New Roman" w:cs="Times New Roman"/>
                <w:sz w:val="21"/>
              </w:rPr>
              <w:t>24</w:t>
            </w:r>
          </w:p>
        </w:tc>
      </w:tr>
      <w:tr>
        <w:trPr>
          <w:cantSplit w:val="true"/>
        </w:trPr>
        <w:tc>
          <w:tcPr>
            <w:tcW w:type="dxa" w:w="4989"/>
          </w:tcPr>
          <w:p>
            <w:pPr>
              <w:pStyle w:val="Cellule"/>
            </w:pPr>
            <w:r>
              <w:rPr>
                <w:rFonts w:ascii="Courier New" w:hAnsi="Courier New" w:eastAsia="Courier New" w:cs="Courier New"/>
                <w:sz w:val="19"/>
              </w:rPr>
              <w:t>Corn___Cercospora_leaf_spot Gray_leaf_spot</w:t>
            </w:r>
          </w:p>
        </w:tc>
        <w:tc>
          <w:tcPr>
            <w:tcW w:type="dxa" w:w="1361"/>
          </w:tcPr>
          <w:p>
            <w:pPr>
              <w:pStyle w:val="Cellule"/>
            </w:pPr>
            <w:r>
              <w:rPr>
                <w:rFonts w:ascii="Times New Roman" w:hAnsi="Times New Roman" w:eastAsia="Times New Roman" w:cs="Times New Roman"/>
                <w:sz w:val="21"/>
              </w:rPr>
              <w:t>0,82</w:t>
            </w:r>
          </w:p>
        </w:tc>
        <w:tc>
          <w:tcPr>
            <w:tcW w:type="dxa" w:w="1361"/>
          </w:tcPr>
          <w:p>
            <w:pPr>
              <w:pStyle w:val="Cellule"/>
            </w:pPr>
            <w:r>
              <w:rPr>
                <w:rFonts w:ascii="Times New Roman" w:hAnsi="Times New Roman" w:eastAsia="Times New Roman" w:cs="Times New Roman"/>
                <w:sz w:val="21"/>
              </w:rPr>
              <w:t>0,83</w:t>
            </w:r>
          </w:p>
        </w:tc>
        <w:tc>
          <w:tcPr>
            <w:tcW w:type="dxa" w:w="1361"/>
          </w:tcPr>
          <w:p>
            <w:pPr>
              <w:pStyle w:val="Cellule"/>
            </w:pPr>
            <w:r>
              <w:rPr>
                <w:rFonts w:ascii="Times New Roman" w:hAnsi="Times New Roman" w:eastAsia="Times New Roman" w:cs="Times New Roman"/>
                <w:sz w:val="21"/>
              </w:rPr>
              <w:t>78</w:t>
            </w:r>
          </w:p>
        </w:tc>
      </w:tr>
      <w:tr>
        <w:trPr>
          <w:cantSplit w:val="true"/>
        </w:trPr>
        <w:tc>
          <w:tcPr>
            <w:tcW w:type="dxa" w:w="4989"/>
          </w:tcPr>
          <w:p>
            <w:pPr>
              <w:pStyle w:val="Cellule"/>
            </w:pPr>
            <w:r>
              <w:rPr>
                <w:rFonts w:ascii="Courier New" w:hAnsi="Courier New" w:eastAsia="Courier New" w:cs="Courier New"/>
                <w:sz w:val="19"/>
              </w:rPr>
              <w:t>Tomato___healthy</w:t>
            </w:r>
          </w:p>
        </w:tc>
        <w:tc>
          <w:tcPr>
            <w:tcW w:type="dxa" w:w="1361"/>
          </w:tcPr>
          <w:p>
            <w:pPr>
              <w:pStyle w:val="Cellule"/>
            </w:pPr>
            <w:r>
              <w:rPr>
                <w:rFonts w:ascii="Times New Roman" w:hAnsi="Times New Roman" w:eastAsia="Times New Roman" w:cs="Times New Roman"/>
                <w:sz w:val="21"/>
              </w:rPr>
              <w:t>0,87</w:t>
            </w:r>
          </w:p>
        </w:tc>
        <w:tc>
          <w:tcPr>
            <w:tcW w:type="dxa" w:w="1361"/>
          </w:tcPr>
          <w:p>
            <w:pPr>
              <w:pStyle w:val="Cellule"/>
            </w:pPr>
            <w:r>
              <w:rPr>
                <w:rFonts w:ascii="Times New Roman" w:hAnsi="Times New Roman" w:eastAsia="Times New Roman" w:cs="Times New Roman"/>
                <w:sz w:val="21"/>
              </w:rPr>
              <w:t>0,99</w:t>
            </w:r>
          </w:p>
        </w:tc>
        <w:tc>
          <w:tcPr>
            <w:tcW w:type="dxa" w:w="1361"/>
          </w:tcPr>
          <w:p>
            <w:pPr>
              <w:pStyle w:val="Cellule"/>
            </w:pPr>
            <w:r>
              <w:rPr>
                <w:rFonts w:ascii="Times New Roman" w:hAnsi="Times New Roman" w:eastAsia="Times New Roman" w:cs="Times New Roman"/>
                <w:sz w:val="21"/>
              </w:rPr>
              <w:t>240</w:t>
            </w:r>
          </w:p>
        </w:tc>
      </w:tr>
      <w:tr>
        <w:trPr>
          <w:cantSplit w:val="true"/>
        </w:trPr>
        <w:tc>
          <w:tcPr>
            <w:tcW w:type="dxa" w:w="4989"/>
          </w:tcPr>
          <w:p>
            <w:pPr>
              <w:pStyle w:val="Cellule"/>
            </w:pPr>
            <w:r>
              <w:rPr>
                <w:rFonts w:ascii="Courier New" w:hAnsi="Courier New" w:eastAsia="Courier New" w:cs="Courier New"/>
                <w:sz w:val="19"/>
              </w:rPr>
              <w:t>Tomato___Spider_mites Two-spotted_spider_mite</w:t>
            </w:r>
          </w:p>
        </w:tc>
        <w:tc>
          <w:tcPr>
            <w:tcW w:type="dxa" w:w="1361"/>
          </w:tcPr>
          <w:p>
            <w:pPr>
              <w:pStyle w:val="Cellule"/>
            </w:pPr>
            <w:r>
              <w:rPr>
                <w:rFonts w:ascii="Times New Roman" w:hAnsi="Times New Roman" w:eastAsia="Times New Roman" w:cs="Times New Roman"/>
                <w:sz w:val="21"/>
              </w:rPr>
              <w:t>0,92</w:t>
            </w:r>
          </w:p>
        </w:tc>
        <w:tc>
          <w:tcPr>
            <w:tcW w:type="dxa" w:w="1361"/>
          </w:tcPr>
          <w:p>
            <w:pPr>
              <w:pStyle w:val="Cellule"/>
            </w:pPr>
            <w:r>
              <w:rPr>
                <w:rFonts w:ascii="Times New Roman" w:hAnsi="Times New Roman" w:eastAsia="Times New Roman" w:cs="Times New Roman"/>
                <w:sz w:val="21"/>
              </w:rPr>
              <w:t>0,81</w:t>
            </w:r>
          </w:p>
        </w:tc>
        <w:tc>
          <w:tcPr>
            <w:tcW w:type="dxa" w:w="1361"/>
          </w:tcPr>
          <w:p>
            <w:pPr>
              <w:pStyle w:val="Cellule"/>
            </w:pPr>
            <w:r>
              <w:rPr>
                <w:rFonts w:ascii="Times New Roman" w:hAnsi="Times New Roman" w:eastAsia="Times New Roman" w:cs="Times New Roman"/>
                <w:sz w:val="21"/>
              </w:rPr>
              <w:t>252</w:t>
            </w:r>
          </w:p>
        </w:tc>
      </w:tr>
      <w:tr>
        <w:trPr>
          <w:cantSplit w:val="true"/>
        </w:trPr>
        <w:tc>
          <w:tcPr>
            <w:tcW w:type="dxa" w:w="4989"/>
          </w:tcPr>
          <w:p>
            <w:pPr>
              <w:pStyle w:val="Cellule"/>
            </w:pPr>
            <w:r>
              <w:rPr>
                <w:rFonts w:ascii="Courier New" w:hAnsi="Courier New" w:eastAsia="Courier New" w:cs="Courier New"/>
                <w:sz w:val="19"/>
              </w:rPr>
              <w:t>Tomato___Early_blight</w:t>
            </w:r>
          </w:p>
        </w:tc>
        <w:tc>
          <w:tcPr>
            <w:tcW w:type="dxa" w:w="1361"/>
          </w:tcPr>
          <w:p>
            <w:pPr>
              <w:pStyle w:val="Cellule"/>
            </w:pPr>
            <w:r>
              <w:rPr>
                <w:rFonts w:ascii="Times New Roman" w:hAnsi="Times New Roman" w:eastAsia="Times New Roman" w:cs="Times New Roman"/>
                <w:sz w:val="21"/>
              </w:rPr>
              <w:t>0,92</w:t>
            </w:r>
          </w:p>
        </w:tc>
        <w:tc>
          <w:tcPr>
            <w:tcW w:type="dxa" w:w="1361"/>
          </w:tcPr>
          <w:p>
            <w:pPr>
              <w:pStyle w:val="Cellule"/>
            </w:pPr>
            <w:r>
              <w:rPr>
                <w:rFonts w:ascii="Times New Roman" w:hAnsi="Times New Roman" w:eastAsia="Times New Roman" w:cs="Times New Roman"/>
                <w:sz w:val="21"/>
              </w:rPr>
              <w:t>0,73</w:t>
            </w:r>
          </w:p>
        </w:tc>
        <w:tc>
          <w:tcPr>
            <w:tcW w:type="dxa" w:w="1361"/>
          </w:tcPr>
          <w:p>
            <w:pPr>
              <w:pStyle w:val="Cellule"/>
            </w:pPr>
            <w:r>
              <w:rPr>
                <w:rFonts w:ascii="Times New Roman" w:hAnsi="Times New Roman" w:eastAsia="Times New Roman" w:cs="Times New Roman"/>
                <w:sz w:val="21"/>
              </w:rPr>
              <w:t>150</w:t>
            </w:r>
          </w:p>
        </w:tc>
      </w:tr>
    </w:tbl>
    <w:p>
      <w:pPr>
        <w:spacing w:after="0" w:lineRule="exact" w:line="200"/>
      </w:pPr>
    </w:p>
    <w:p>
      <w:r>
        <w:rPr>
          <w:rFonts w:ascii="Times New Roman" w:hAnsi="Times New Roman" w:eastAsia="Times New Roman" w:cs="Times New Roman"/>
        </w:rPr>
        <w:t xml:space="preserve">La précision la plus basse (0,76) concerne </w:t>
      </w:r>
      <w:r>
        <w:rPr>
          <w:rFonts w:ascii="Courier New" w:hAnsi="Courier New" w:eastAsia="Courier New" w:cs="Courier New"/>
          <w:sz w:val="21"/>
        </w:rPr>
        <w:t>Tomato___Target_Spot</w:t>
      </w:r>
      <w:r>
        <w:rPr>
          <w:rFonts w:ascii="Times New Roman" w:hAnsi="Times New Roman" w:eastAsia="Times New Roman" w:cs="Times New Roman"/>
        </w:rPr>
        <w:t xml:space="preserve"> ; le rappel le plus bas (0,73) concerne </w:t>
      </w:r>
      <w:r>
        <w:rPr>
          <w:rFonts w:ascii="Courier New" w:hAnsi="Courier New" w:eastAsia="Courier New" w:cs="Courier New"/>
          <w:sz w:val="21"/>
        </w:rPr>
        <w:t>Tomato___Early_blight</w:t>
      </w:r>
      <w:r>
        <w:rPr>
          <w:rFonts w:ascii="Times New Roman" w:hAnsi="Times New Roman" w:eastAsia="Times New Roman" w:cs="Times New Roman"/>
        </w:rPr>
        <w:t xml:space="preserve">. Les deux classes rares que la baseline manquait entièrement sur le jeu de validation sont reconnues : </w:t>
      </w:r>
      <w:r>
        <w:rPr>
          <w:rFonts w:ascii="Courier New" w:hAnsi="Courier New" w:eastAsia="Courier New" w:cs="Courier New"/>
          <w:sz w:val="21"/>
        </w:rPr>
        <w:t>Apple___Cedar_apple_rust</w:t>
      </w:r>
      <w:r>
        <w:rPr>
          <w:rFonts w:ascii="Times New Roman" w:hAnsi="Times New Roman" w:eastAsia="Times New Roman" w:cs="Times New Roman"/>
        </w:rPr>
        <w:t xml:space="preserve"> (précision 1,00, rappel 0,98) et </w:t>
      </w:r>
      <w:r>
        <w:rPr>
          <w:rFonts w:ascii="Courier New" w:hAnsi="Courier New" w:eastAsia="Courier New" w:cs="Courier New"/>
          <w:sz w:val="21"/>
        </w:rPr>
        <w:t>Potato___healthy</w:t>
      </w:r>
      <w:r>
        <w:rPr>
          <w:rFonts w:ascii="Times New Roman" w:hAnsi="Times New Roman" w:eastAsia="Times New Roman" w:cs="Times New Roman"/>
        </w:rPr>
        <w:t xml:space="preserve"> (précision 0,81, rappel 0,92). Cette dernière ne compte que 24 images de test, ce qui rend ses chiffres peu stables.</w:t>
      </w:r>
    </w:p>
    <w:p>
      <w:r>
        <w:rPr>
          <w:rFonts w:ascii="Times New Roman" w:hAnsi="Times New Roman" w:eastAsia="Times New Roman" w:cs="Times New Roman"/>
        </w:rPr>
        <w:t>Ces valeurs alimentent l’indication de fiabilité affichée par l’interface : « excellente » à partir de 0,97 de précision, « bonne » à partir de 0,90, « moyenne » en dessous.</w:t>
      </w:r>
    </w:p>
    <w:p>
      <w:pPr>
        <w:pStyle w:val="Heading2"/>
      </w:pPr>
      <w:r>
        <w:t>8.4 État au 9 octobre 2026</w:t>
      </w:r>
    </w:p>
    <w:p>
      <w:pPr>
        <w:pStyle w:val="ListBullet"/>
      </w:pPr>
      <w:r>
        <w:rPr>
          <w:rFonts w:ascii="Times New Roman" w:hAnsi="Times New Roman" w:eastAsia="Times New Roman" w:cs="Times New Roman"/>
        </w:rPr>
        <w:t xml:space="preserve">API de production : </w:t>
      </w:r>
      <w:r>
        <w:rPr>
          <w:rFonts w:ascii="Courier New" w:hAnsi="Courier New" w:eastAsia="Courier New" w:cs="Courier New"/>
          <w:sz w:val="21"/>
        </w:rPr>
        <w:t>GET /api/health</w:t>
      </w:r>
      <w:r>
        <w:rPr>
          <w:rFonts w:ascii="Times New Roman" w:hAnsi="Times New Roman" w:eastAsia="Times New Roman" w:cs="Times New Roman"/>
        </w:rPr>
        <w:t xml:space="preserve"> renvoie un statut </w:t>
      </w:r>
      <w:r>
        <w:rPr>
          <w:rFonts w:ascii="Courier New" w:hAnsi="Courier New" w:eastAsia="Courier New" w:cs="Courier New"/>
          <w:sz w:val="21"/>
        </w:rPr>
        <w:t>ok</w:t>
      </w:r>
      <w:r>
        <w:rPr>
          <w:rFonts w:ascii="Times New Roman" w:hAnsi="Times New Roman" w:eastAsia="Times New Roman" w:cs="Times New Roman"/>
        </w:rPr>
        <w:t xml:space="preserve">, </w:t>
      </w:r>
      <w:r>
        <w:rPr>
          <w:rFonts w:ascii="Courier New" w:hAnsi="Courier New" w:eastAsia="Courier New" w:cs="Courier New"/>
          <w:sz w:val="21"/>
        </w:rPr>
        <w:t>model_loaded</w:t>
      </w:r>
      <w:r>
        <w:rPr>
          <w:rFonts w:ascii="Times New Roman" w:hAnsi="Times New Roman" w:eastAsia="Times New Roman" w:cs="Times New Roman"/>
        </w:rPr>
        <w:t xml:space="preserve"> à vrai, </w:t>
      </w:r>
      <w:r>
        <w:rPr>
          <w:rFonts w:ascii="Courier New" w:hAnsi="Courier New" w:eastAsia="Courier New" w:cs="Courier New"/>
          <w:sz w:val="21"/>
        </w:rPr>
        <w:t>is_placeholder</w:t>
      </w:r>
      <w:r>
        <w:rPr>
          <w:rFonts w:ascii="Times New Roman" w:hAnsi="Times New Roman" w:eastAsia="Times New Roman" w:cs="Times New Roman"/>
        </w:rPr>
        <w:t xml:space="preserve"> à faux et 38 classes.</w:t>
      </w:r>
    </w:p>
    <w:p>
      <w:pPr>
        <w:pStyle w:val="ListBullet"/>
      </w:pPr>
      <w:r>
        <w:rPr>
          <w:rFonts w:ascii="Times New Roman" w:hAnsi="Times New Roman" w:eastAsia="Times New Roman" w:cs="Times New Roman"/>
        </w:rPr>
        <w:t>Site de production : réponse HTTP 200. Un parcours complet (image d’exemple, appel à l’API, page de résultat) a été exécuté sans erreur le 3 août 2026.</w:t>
      </w:r>
    </w:p>
    <w:p>
      <w:pPr>
        <w:pStyle w:val="ListBullet"/>
      </w:pPr>
      <w:r>
        <w:rPr>
          <w:rFonts w:ascii="Times New Roman" w:hAnsi="Times New Roman" w:eastAsia="Times New Roman" w:cs="Times New Roman"/>
        </w:rPr>
        <w:t>Tests automatisés du backend : 5 réussis sur 5 (exécution du 9 octobre 2026).</w:t>
      </w:r>
    </w:p>
    <w:p>
      <w:pPr>
        <w:pStyle w:val="ListBullet"/>
      </w:pPr>
      <w:r>
        <w:rPr>
          <w:rFonts w:ascii="Times New Roman" w:hAnsi="Times New Roman" w:eastAsia="Times New Roman" w:cs="Times New Roman"/>
        </w:rPr>
        <w:t>Interface : ESLint et vérification des types TypeScript sans erreur (exécution du 9 octobre 2026).</w:t>
      </w:r>
    </w:p>
    <w:p>
      <w:pPr>
        <w:pStyle w:val="Heading1"/>
      </w:pPr>
      <w:r>
        <w:t>9. Difficultés rencontrées et solutions</w:t>
      </w:r>
    </w:p>
    <w:p>
      <w:pPr>
        <w:pStyle w:val="Legende"/>
        <w:keepNext/>
        <w:spacing w:before="120" w:after="80"/>
      </w:pPr>
      <w:r>
        <w:rPr>
          <w:rFonts w:ascii="Times New Roman" w:hAnsi="Times New Roman" w:eastAsia="Times New Roman" w:cs="Times New Roman"/>
          <w:b/>
          <w:sz w:val="21"/>
        </w:rPr>
        <w:t>Tableau 8.</w:t>
      </w:r>
      <w:r>
        <w:rPr>
          <w:rFonts w:ascii="Times New Roman" w:hAnsi="Times New Roman" w:eastAsia="Times New Roman" w:cs="Times New Roman"/>
          <w:sz w:val="21"/>
        </w:rPr>
        <w:t xml:space="preserve"> Difficultés rencontrées, causes et solutions.</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2449"/>
          </w:tcPr>
          <w:p>
            <w:pPr>
              <w:pStyle w:val="Cellule"/>
            </w:pPr>
            <w:r>
              <w:rPr>
                <w:rFonts w:ascii="Times New Roman" w:hAnsi="Times New Roman" w:eastAsia="Times New Roman" w:cs="Times New Roman"/>
                <w:b/>
                <w:sz w:val="21"/>
              </w:rPr>
              <w:t>Difficulté</w:t>
            </w:r>
          </w:p>
        </w:tc>
        <w:tc>
          <w:tcPr>
            <w:tcW w:type="dxa" w:w="3900"/>
          </w:tcPr>
          <w:p>
            <w:pPr>
              <w:pStyle w:val="Cellule"/>
            </w:pPr>
            <w:r>
              <w:rPr>
                <w:rFonts w:ascii="Times New Roman" w:hAnsi="Times New Roman" w:eastAsia="Times New Roman" w:cs="Times New Roman"/>
                <w:b/>
                <w:sz w:val="21"/>
              </w:rPr>
              <w:t>Cause identifiée</w:t>
            </w:r>
          </w:p>
        </w:tc>
        <w:tc>
          <w:tcPr>
            <w:tcW w:type="dxa" w:w="2721"/>
          </w:tcPr>
          <w:p>
            <w:pPr>
              <w:pStyle w:val="Cellule"/>
            </w:pPr>
            <w:r>
              <w:rPr>
                <w:rFonts w:ascii="Times New Roman" w:hAnsi="Times New Roman" w:eastAsia="Times New Roman" w:cs="Times New Roman"/>
                <w:b/>
                <w:sz w:val="21"/>
              </w:rPr>
              <w:t>Solution</w:t>
            </w:r>
          </w:p>
        </w:tc>
      </w:tr>
      <w:tr>
        <w:trPr>
          <w:cantSplit w:val="true"/>
        </w:trPr>
        <w:tc>
          <w:tcPr>
            <w:tcW w:type="dxa" w:w="2449"/>
          </w:tcPr>
          <w:p>
            <w:pPr>
              <w:pStyle w:val="Cellule"/>
            </w:pPr>
            <w:r>
              <w:rPr>
                <w:rFonts w:ascii="Times New Roman" w:hAnsi="Times New Roman" w:eastAsia="Times New Roman" w:cs="Times New Roman"/>
                <w:sz w:val="21"/>
              </w:rPr>
              <w:t>Échec du téléchargement des données</w:t>
            </w:r>
          </w:p>
        </w:tc>
        <w:tc>
          <w:tcPr>
            <w:tcW w:type="dxa" w:w="3900"/>
          </w:tcPr>
          <w:p>
            <w:pPr>
              <w:pStyle w:val="Cellule"/>
            </w:pPr>
            <w:r>
              <w:rPr>
                <w:rFonts w:ascii="Times New Roman" w:hAnsi="Times New Roman" w:eastAsia="Times New Roman" w:cs="Times New Roman"/>
                <w:sz w:val="21"/>
              </w:rPr>
              <w:t xml:space="preserve">Conflit entre la dernière version de </w:t>
            </w:r>
            <w:r>
              <w:rPr>
                <w:rFonts w:ascii="Courier New" w:hAnsi="Courier New" w:eastAsia="Courier New" w:cs="Courier New"/>
                <w:sz w:val="19"/>
              </w:rPr>
              <w:t>tensorflow-metadata</w:t>
            </w:r>
            <w:r>
              <w:rPr>
                <w:rFonts w:ascii="Times New Roman" w:hAnsi="Times New Roman" w:eastAsia="Times New Roman" w:cs="Times New Roman"/>
                <w:sz w:val="21"/>
              </w:rPr>
              <w:t xml:space="preserve"> (fichiers protobuf générés avec une version 6) et la contrainte </w:t>
            </w:r>
            <w:r>
              <w:rPr>
                <w:rFonts w:ascii="Courier New" w:hAnsi="Courier New" w:eastAsia="Courier New" w:cs="Courier New"/>
                <w:sz w:val="19"/>
              </w:rPr>
              <w:t>protobuf</w:t>
            </w:r>
            <w:r>
              <w:rPr>
                <w:rFonts w:ascii="Times New Roman" w:hAnsi="Times New Roman" w:eastAsia="Times New Roman" w:cs="Times New Roman"/>
                <w:sz w:val="21"/>
              </w:rPr>
              <w:t xml:space="preserve"> inférieure à 6 de TensorFlow ; paquet </w:t>
            </w:r>
            <w:r>
              <w:rPr>
                <w:rFonts w:ascii="Courier New" w:hAnsi="Courier New" w:eastAsia="Courier New" w:cs="Courier New"/>
                <w:sz w:val="19"/>
              </w:rPr>
              <w:t>importlib_resources</w:t>
            </w:r>
            <w:r>
              <w:rPr>
                <w:rFonts w:ascii="Times New Roman" w:hAnsi="Times New Roman" w:eastAsia="Times New Roman" w:cs="Times New Roman"/>
                <w:sz w:val="21"/>
              </w:rPr>
              <w:t xml:space="preserve"> absent ; script ne trouvant pas le package </w:t>
            </w:r>
            <w:r>
              <w:rPr>
                <w:rFonts w:ascii="Courier New" w:hAnsi="Courier New" w:eastAsia="Courier New" w:cs="Courier New"/>
                <w:sz w:val="19"/>
              </w:rPr>
              <w:t>app</w:t>
            </w:r>
            <w:r>
              <w:rPr>
                <w:rFonts w:ascii="Times New Roman" w:hAnsi="Times New Roman" w:eastAsia="Times New Roman" w:cs="Times New Roman"/>
                <w:sz w:val="21"/>
              </w:rPr>
              <w:t>.</w:t>
            </w:r>
          </w:p>
        </w:tc>
        <w:tc>
          <w:tcPr>
            <w:tcW w:type="dxa" w:w="2721"/>
          </w:tcPr>
          <w:p>
            <w:pPr>
              <w:pStyle w:val="Cellule"/>
            </w:pPr>
            <w:r>
              <w:rPr>
                <w:rFonts w:ascii="Courier New" w:hAnsi="Courier New" w:eastAsia="Courier New" w:cs="Courier New"/>
                <w:sz w:val="19"/>
              </w:rPr>
              <w:t>tensorflow-metadata</w:t>
            </w:r>
            <w:r>
              <w:rPr>
                <w:rFonts w:ascii="Times New Roman" w:hAnsi="Times New Roman" w:eastAsia="Times New Roman" w:cs="Times New Roman"/>
                <w:sz w:val="21"/>
              </w:rPr>
              <w:t xml:space="preserve"> épinglé à 1.16.1, paquet installé, dossier backend ajouté au chemin d’import.</w:t>
            </w:r>
          </w:p>
        </w:tc>
      </w:tr>
      <w:tr>
        <w:trPr>
          <w:cantSplit w:val="true"/>
        </w:trPr>
        <w:tc>
          <w:tcPr>
            <w:tcW w:type="dxa" w:w="2449"/>
          </w:tcPr>
          <w:p>
            <w:pPr>
              <w:pStyle w:val="Cellule"/>
            </w:pPr>
            <w:r>
              <w:rPr>
                <w:rFonts w:ascii="Times New Roman" w:hAnsi="Times New Roman" w:eastAsia="Times New Roman" w:cs="Times New Roman"/>
                <w:sz w:val="21"/>
              </w:rPr>
              <w:t>Classes mal nommées</w:t>
            </w:r>
          </w:p>
        </w:tc>
        <w:tc>
          <w:tcPr>
            <w:tcW w:type="dxa" w:w="3900"/>
          </w:tcPr>
          <w:p>
            <w:pPr>
              <w:pStyle w:val="Cellule"/>
            </w:pPr>
            <w:r>
              <w:rPr>
                <w:rFonts w:ascii="Times New Roman" w:hAnsi="Times New Roman" w:eastAsia="Times New Roman" w:cs="Times New Roman"/>
                <w:sz w:val="21"/>
              </w:rPr>
              <w:t xml:space="preserve">Noms de </w:t>
            </w:r>
            <w:r>
              <w:rPr>
                <w:rFonts w:ascii="Courier New" w:hAnsi="Courier New" w:eastAsia="Courier New" w:cs="Courier New"/>
                <w:sz w:val="19"/>
              </w:rPr>
              <w:t>Cherry</w:t>
            </w:r>
            <w:r>
              <w:rPr>
                <w:rFonts w:ascii="Times New Roman" w:hAnsi="Times New Roman" w:eastAsia="Times New Roman" w:cs="Times New Roman"/>
                <w:sz w:val="21"/>
              </w:rPr>
              <w:t xml:space="preserve"> et </w:t>
            </w:r>
            <w:r>
              <w:rPr>
                <w:rFonts w:ascii="Courier New" w:hAnsi="Courier New" w:eastAsia="Courier New" w:cs="Courier New"/>
                <w:sz w:val="19"/>
              </w:rPr>
              <w:t>Corn</w:t>
            </w:r>
            <w:r>
              <w:rPr>
                <w:rFonts w:ascii="Times New Roman" w:hAnsi="Times New Roman" w:eastAsia="Times New Roman" w:cs="Times New Roman"/>
                <w:sz w:val="21"/>
              </w:rPr>
              <w:t xml:space="preserve"> différents entre la liste du code et TensorFlow Datasets.</w:t>
            </w:r>
          </w:p>
        </w:tc>
        <w:tc>
          <w:tcPr>
            <w:tcW w:type="dxa" w:w="2721"/>
          </w:tcPr>
          <w:p>
            <w:pPr>
              <w:pStyle w:val="Cellule"/>
            </w:pPr>
            <w:r>
              <w:rPr>
                <w:rFonts w:ascii="Times New Roman" w:hAnsi="Times New Roman" w:eastAsia="Times New Roman" w:cs="Times New Roman"/>
                <w:sz w:val="21"/>
              </w:rPr>
              <w:t xml:space="preserve">Correction de </w:t>
            </w:r>
            <w:r>
              <w:rPr>
                <w:rFonts w:ascii="Courier New" w:hAnsi="Courier New" w:eastAsia="Courier New" w:cs="Courier New"/>
                <w:sz w:val="19"/>
              </w:rPr>
              <w:t>labels.py</w:t>
            </w:r>
            <w:r>
              <w:rPr>
                <w:rFonts w:ascii="Times New Roman" w:hAnsi="Times New Roman" w:eastAsia="Times New Roman" w:cs="Times New Roman"/>
                <w:sz w:val="21"/>
              </w:rPr>
              <w:t xml:space="preserve"> ; contrôle d’égalité avec les dossiers, repris dans le script d’entraînement.</w:t>
            </w:r>
          </w:p>
        </w:tc>
      </w:tr>
      <w:tr>
        <w:trPr>
          <w:cantSplit w:val="true"/>
        </w:trPr>
        <w:tc>
          <w:tcPr>
            <w:tcW w:type="dxa" w:w="2449"/>
          </w:tcPr>
          <w:p>
            <w:pPr>
              <w:pStyle w:val="Cellule"/>
            </w:pPr>
            <w:r>
              <w:rPr>
                <w:rFonts w:ascii="Times New Roman" w:hAnsi="Times New Roman" w:eastAsia="Times New Roman" w:cs="Times New Roman"/>
                <w:sz w:val="21"/>
              </w:rPr>
              <w:t>Tests en échec, puis fragiles</w:t>
            </w:r>
          </w:p>
        </w:tc>
        <w:tc>
          <w:tcPr>
            <w:tcW w:type="dxa" w:w="3900"/>
          </w:tcPr>
          <w:p>
            <w:pPr>
              <w:pStyle w:val="Cellule"/>
            </w:pPr>
            <w:r>
              <w:rPr>
                <w:rFonts w:ascii="Times New Roman" w:hAnsi="Times New Roman" w:eastAsia="Times New Roman" w:cs="Times New Roman"/>
                <w:sz w:val="21"/>
              </w:rPr>
              <w:t>Le chargement du modèle n’était pas déclenché sans gestionnaire de contexte ; ensuite, assertions supposant l’absence de modèle entraîné.</w:t>
            </w:r>
          </w:p>
        </w:tc>
        <w:tc>
          <w:tcPr>
            <w:tcW w:type="dxa" w:w="2721"/>
          </w:tcPr>
          <w:p>
            <w:pPr>
              <w:pStyle w:val="Cellule"/>
            </w:pPr>
            <w:r>
              <w:rPr>
                <w:rFonts w:ascii="Times New Roman" w:hAnsi="Times New Roman" w:eastAsia="Times New Roman" w:cs="Times New Roman"/>
                <w:sz w:val="21"/>
              </w:rPr>
              <w:t xml:space="preserve">Fixture </w:t>
            </w:r>
            <w:r>
              <w:rPr>
                <w:rFonts w:ascii="Courier New" w:hAnsi="Courier New" w:eastAsia="Courier New" w:cs="Courier New"/>
                <w:sz w:val="19"/>
              </w:rPr>
              <w:t>with TestClient(app)</w:t>
            </w:r>
            <w:r>
              <w:rPr>
                <w:rFonts w:ascii="Times New Roman" w:hAnsi="Times New Roman" w:eastAsia="Times New Roman" w:cs="Times New Roman"/>
                <w:sz w:val="21"/>
              </w:rPr>
              <w:t xml:space="preserve"> ; assertions sur des invariants (</w:t>
            </w:r>
            <w:r>
              <w:rPr>
                <w:rFonts w:ascii="Courier New" w:hAnsi="Courier New" w:eastAsia="Courier New" w:cs="Courier New"/>
                <w:sz w:val="19"/>
              </w:rPr>
              <w:t>model_loaded</w:t>
            </w:r>
            <w:r>
              <w:rPr>
                <w:rFonts w:ascii="Times New Roman" w:hAnsi="Times New Roman" w:eastAsia="Times New Roman" w:cs="Times New Roman"/>
                <w:sz w:val="21"/>
              </w:rPr>
              <w:t xml:space="preserve"> est l’inverse de </w:t>
            </w:r>
            <w:r>
              <w:rPr>
                <w:rFonts w:ascii="Courier New" w:hAnsi="Courier New" w:eastAsia="Courier New" w:cs="Courier New"/>
                <w:sz w:val="19"/>
              </w:rPr>
              <w:t>is_placeholder</w:t>
            </w:r>
            <w:r>
              <w:rPr>
                <w:rFonts w:ascii="Times New Roman" w:hAnsi="Times New Roman" w:eastAsia="Times New Roman" w:cs="Times New Roman"/>
                <w:sz w:val="21"/>
              </w:rPr>
              <w:t>).</w:t>
            </w:r>
          </w:p>
        </w:tc>
      </w:tr>
      <w:tr>
        <w:trPr>
          <w:cantSplit w:val="true"/>
        </w:trPr>
        <w:tc>
          <w:tcPr>
            <w:tcW w:type="dxa" w:w="2449"/>
          </w:tcPr>
          <w:p>
            <w:pPr>
              <w:pStyle w:val="Cellule"/>
            </w:pPr>
            <w:r>
              <w:rPr>
                <w:rFonts w:ascii="Times New Roman" w:hAnsi="Times New Roman" w:eastAsia="Times New Roman" w:cs="Times New Roman"/>
                <w:sz w:val="21"/>
              </w:rPr>
              <w:t>Prédictions fausses et très confiantes via l’API (feuille de tomate saine classée « maïs sain » à 99,88 %)</w:t>
            </w:r>
          </w:p>
        </w:tc>
        <w:tc>
          <w:tcPr>
            <w:tcW w:type="dxa" w:w="3900"/>
          </w:tcPr>
          <w:p>
            <w:pPr>
              <w:pStyle w:val="Cellule"/>
            </w:pPr>
            <w:r>
              <w:rPr>
                <w:rFonts w:ascii="Times New Roman" w:hAnsi="Times New Roman" w:eastAsia="Times New Roman" w:cs="Times New Roman"/>
                <w:sz w:val="21"/>
              </w:rPr>
              <w:t xml:space="preserve">Double normalisation : le prétraitement de l’API normalisait les pixels, puis la couche </w:t>
            </w:r>
            <w:r>
              <w:rPr>
                <w:rFonts w:ascii="Courier New" w:hAnsi="Courier New" w:eastAsia="Courier New" w:cs="Courier New"/>
                <w:sz w:val="19"/>
              </w:rPr>
              <w:t>Rescaling</w:t>
            </w:r>
            <w:r>
              <w:rPr>
                <w:rFonts w:ascii="Times New Roman" w:hAnsi="Times New Roman" w:eastAsia="Times New Roman" w:cs="Times New Roman"/>
                <w:sz w:val="21"/>
              </w:rPr>
              <w:t xml:space="preserve"> du modèle recommençait.</w:t>
            </w:r>
          </w:p>
        </w:tc>
        <w:tc>
          <w:tcPr>
            <w:tcW w:type="dxa" w:w="2721"/>
          </w:tcPr>
          <w:p>
            <w:pPr>
              <w:pStyle w:val="Cellule"/>
            </w:pPr>
            <w:r>
              <w:rPr>
                <w:rFonts w:ascii="Times New Roman" w:hAnsi="Times New Roman" w:eastAsia="Times New Roman" w:cs="Times New Roman"/>
                <w:sz w:val="21"/>
              </w:rPr>
              <w:t>Normalisation retirée du prétraitement ; contrôle sur quatre appels, dont deux sur des classes rares.</w:t>
            </w:r>
          </w:p>
        </w:tc>
      </w:tr>
      <w:tr>
        <w:trPr>
          <w:cantSplit w:val="true"/>
        </w:trPr>
        <w:tc>
          <w:tcPr>
            <w:tcW w:type="dxa" w:w="2449"/>
          </w:tcPr>
          <w:p>
            <w:pPr>
              <w:pStyle w:val="Cellule"/>
            </w:pPr>
            <w:r>
              <w:rPr>
                <w:rFonts w:ascii="Times New Roman" w:hAnsi="Times New Roman" w:eastAsia="Times New Roman" w:cs="Times New Roman"/>
                <w:sz w:val="21"/>
              </w:rPr>
              <w:t>Premier appel lent (plus de 2 s)</w:t>
            </w:r>
          </w:p>
        </w:tc>
        <w:tc>
          <w:tcPr>
            <w:tcW w:type="dxa" w:w="3900"/>
          </w:tcPr>
          <w:p>
            <w:pPr>
              <w:pStyle w:val="Cellule"/>
            </w:pPr>
            <w:r>
              <w:rPr>
                <w:rFonts w:ascii="Times New Roman" w:hAnsi="Times New Roman" w:eastAsia="Times New Roman" w:cs="Times New Roman"/>
                <w:sz w:val="21"/>
              </w:rPr>
              <w:t>Compilation du graphe TensorFlow au premier appel.</w:t>
            </w:r>
          </w:p>
        </w:tc>
        <w:tc>
          <w:tcPr>
            <w:tcW w:type="dxa" w:w="2721"/>
          </w:tcPr>
          <w:p>
            <w:pPr>
              <w:pStyle w:val="Cellule"/>
            </w:pPr>
            <w:r>
              <w:rPr>
                <w:rFonts w:ascii="Times New Roman" w:hAnsi="Times New Roman" w:eastAsia="Times New Roman" w:cs="Times New Roman"/>
                <w:sz w:val="21"/>
              </w:rPr>
              <w:t>Appel à vide au démarrage ; premier appel ensuite mesuré à 262 ms.</w:t>
            </w:r>
          </w:p>
        </w:tc>
      </w:tr>
      <w:tr>
        <w:trPr>
          <w:cantSplit w:val="true"/>
        </w:trPr>
        <w:tc>
          <w:tcPr>
            <w:tcW w:type="dxa" w:w="2449"/>
          </w:tcPr>
          <w:p>
            <w:pPr>
              <w:pStyle w:val="Cellule"/>
            </w:pPr>
            <w:r>
              <w:rPr>
                <w:rFonts w:ascii="Times New Roman" w:hAnsi="Times New Roman" w:eastAsia="Times New Roman" w:cs="Times New Roman"/>
                <w:sz w:val="21"/>
              </w:rPr>
              <w:t>Espace disque limité (12 à 18 Go libres)</w:t>
            </w:r>
          </w:p>
        </w:tc>
        <w:tc>
          <w:tcPr>
            <w:tcW w:type="dxa" w:w="3900"/>
          </w:tcPr>
          <w:p>
            <w:pPr>
              <w:pStyle w:val="Cellule"/>
            </w:pPr>
            <w:r>
              <w:rPr>
                <w:rFonts w:ascii="Times New Roman" w:hAnsi="Times New Roman" w:eastAsia="Times New Roman" w:cs="Times New Roman"/>
                <w:sz w:val="21"/>
              </w:rPr>
              <w:t>Données brutes, copies du découpage, modèle Random Forest sérialisé.</w:t>
            </w:r>
          </w:p>
        </w:tc>
        <w:tc>
          <w:tcPr>
            <w:tcW w:type="dxa" w:w="2721"/>
          </w:tcPr>
          <w:p>
            <w:pPr>
              <w:pStyle w:val="Cellule"/>
            </w:pPr>
            <w:r>
              <w:rPr>
                <w:rFonts w:ascii="Times New Roman" w:hAnsi="Times New Roman" w:eastAsia="Times New Roman" w:cs="Times New Roman"/>
                <w:sz w:val="21"/>
              </w:rPr>
              <w:t xml:space="preserve">Suppression de </w:t>
            </w:r>
            <w:r>
              <w:rPr>
                <w:rFonts w:ascii="Courier New" w:hAnsi="Courier New" w:eastAsia="Courier New" w:cs="Courier New"/>
                <w:sz w:val="19"/>
              </w:rPr>
              <w:t>data/raw</w:t>
            </w:r>
            <w:r>
              <w:rPr>
                <w:rFonts w:ascii="Times New Roman" w:hAnsi="Times New Roman" w:eastAsia="Times New Roman" w:cs="Times New Roman"/>
                <w:sz w:val="21"/>
              </w:rPr>
              <w:t xml:space="preserve"> (1,6 Go), des points de contrôle (31 Mo) et du Random Forest sérialisé (1,2 Go), tous régénérables.</w:t>
            </w:r>
          </w:p>
        </w:tc>
      </w:tr>
      <w:tr>
        <w:trPr>
          <w:cantSplit w:val="true"/>
        </w:trPr>
        <w:tc>
          <w:tcPr>
            <w:tcW w:type="dxa" w:w="2449"/>
          </w:tcPr>
          <w:p>
            <w:pPr>
              <w:pStyle w:val="Cellule"/>
            </w:pPr>
            <w:r>
              <w:rPr>
                <w:rFonts w:ascii="Times New Roman" w:hAnsi="Times New Roman" w:eastAsia="Times New Roman" w:cs="Times New Roman"/>
                <w:sz w:val="21"/>
              </w:rPr>
              <w:t>Hébergement sur Render impossible</w:t>
            </w:r>
          </w:p>
        </w:tc>
        <w:tc>
          <w:tcPr>
            <w:tcW w:type="dxa" w:w="3900"/>
          </w:tcPr>
          <w:p>
            <w:pPr>
              <w:pStyle w:val="Cellule"/>
            </w:pPr>
            <w:r>
              <w:rPr>
                <w:rFonts w:ascii="Times New Roman" w:hAnsi="Times New Roman" w:eastAsia="Times New Roman" w:cs="Times New Roman"/>
                <w:sz w:val="21"/>
              </w:rPr>
              <w:t>Quota gratuit atteint.</w:t>
            </w:r>
          </w:p>
        </w:tc>
        <w:tc>
          <w:tcPr>
            <w:tcW w:type="dxa" w:w="2721"/>
          </w:tcPr>
          <w:p>
            <w:pPr>
              <w:pStyle w:val="Cellule"/>
            </w:pPr>
            <w:r>
              <w:rPr>
                <w:rFonts w:ascii="Times New Roman" w:hAnsi="Times New Roman" w:eastAsia="Times New Roman" w:cs="Times New Roman"/>
                <w:sz w:val="21"/>
              </w:rPr>
              <w:t>Passage à Fly.io, qui exige une carte bancaire enregistrée.</w:t>
            </w:r>
          </w:p>
        </w:tc>
      </w:tr>
      <w:tr>
        <w:trPr>
          <w:cantSplit w:val="true"/>
        </w:trPr>
        <w:tc>
          <w:tcPr>
            <w:tcW w:type="dxa" w:w="2449"/>
          </w:tcPr>
          <w:p>
            <w:pPr>
              <w:pStyle w:val="Cellule"/>
            </w:pPr>
            <w:r>
              <w:rPr>
                <w:rFonts w:ascii="Times New Roman" w:hAnsi="Times New Roman" w:eastAsia="Times New Roman" w:cs="Times New Roman"/>
                <w:sz w:val="21"/>
              </w:rPr>
              <w:t>Arrêt de l’API au démarrage en production</w:t>
            </w:r>
          </w:p>
        </w:tc>
        <w:tc>
          <w:tcPr>
            <w:tcW w:type="dxa" w:w="3900"/>
          </w:tcPr>
          <w:p>
            <w:pPr>
              <w:pStyle w:val="Cellule"/>
            </w:pPr>
            <w:r>
              <w:rPr>
                <w:rFonts w:ascii="Courier New" w:hAnsi="Courier New" w:eastAsia="Courier New" w:cs="Courier New"/>
                <w:sz w:val="19"/>
              </w:rPr>
              <w:t>pydantic-settings</w:t>
            </w:r>
            <w:r>
              <w:rPr>
                <w:rFonts w:ascii="Times New Roman" w:hAnsi="Times New Roman" w:eastAsia="Times New Roman" w:cs="Times New Roman"/>
                <w:sz w:val="21"/>
              </w:rPr>
              <w:t xml:space="preserve"> décode en JSON les variables d’environnement destinées à un champ de type </w:t>
            </w:r>
            <w:r>
              <w:rPr>
                <w:rFonts w:ascii="Courier New" w:hAnsi="Courier New" w:eastAsia="Courier New" w:cs="Courier New"/>
                <w:sz w:val="19"/>
              </w:rPr>
              <w:t>tuple</w:t>
            </w:r>
            <w:r>
              <w:rPr>
                <w:rFonts w:ascii="Times New Roman" w:hAnsi="Times New Roman" w:eastAsia="Times New Roman" w:cs="Times New Roman"/>
                <w:sz w:val="21"/>
              </w:rPr>
              <w:t xml:space="preserve">, avant tout validateur : une liste séparée par des virgules provoquait une </w:t>
            </w:r>
            <w:r>
              <w:rPr>
                <w:rFonts w:ascii="Courier New" w:hAnsi="Courier New" w:eastAsia="Courier New" w:cs="Courier New"/>
                <w:sz w:val="19"/>
              </w:rPr>
              <w:t>SettingsError</w:t>
            </w:r>
            <w:r>
              <w:rPr>
                <w:rFonts w:ascii="Times New Roman" w:hAnsi="Times New Roman" w:eastAsia="Times New Roman" w:cs="Times New Roman"/>
                <w:sz w:val="21"/>
              </w:rPr>
              <w:t>. Le défaut n’apparaissait pas en local, où la valeur par défaut était utilisée.</w:t>
            </w:r>
          </w:p>
        </w:tc>
        <w:tc>
          <w:tcPr>
            <w:tcW w:type="dxa" w:w="2721"/>
          </w:tcPr>
          <w:p>
            <w:pPr>
              <w:pStyle w:val="Cellule"/>
            </w:pPr>
            <w:r>
              <w:rPr>
                <w:rFonts w:ascii="Times New Roman" w:hAnsi="Times New Roman" w:eastAsia="Times New Roman" w:cs="Times New Roman"/>
                <w:sz w:val="21"/>
              </w:rPr>
              <w:t xml:space="preserve">Champ typé </w:t>
            </w:r>
            <w:r>
              <w:rPr>
                <w:rFonts w:ascii="Courier New" w:hAnsi="Courier New" w:eastAsia="Courier New" w:cs="Courier New"/>
                <w:sz w:val="19"/>
              </w:rPr>
              <w:t>str</w:t>
            </w:r>
            <w:r>
              <w:rPr>
                <w:rFonts w:ascii="Times New Roman" w:hAnsi="Times New Roman" w:eastAsia="Times New Roman" w:cs="Times New Roman"/>
                <w:sz w:val="21"/>
              </w:rPr>
              <w:t>, découpage dans une propriété. Vérifié en local, en conteneur puis en production ; la machine avait atteint sa limite de 10 redémarrages avant la correction.</w:t>
            </w:r>
          </w:p>
        </w:tc>
      </w:tr>
      <w:tr>
        <w:trPr>
          <w:cantSplit w:val="true"/>
        </w:trPr>
        <w:tc>
          <w:tcPr>
            <w:tcW w:type="dxa" w:w="2449"/>
          </w:tcPr>
          <w:p>
            <w:pPr>
              <w:pStyle w:val="Cellule"/>
            </w:pPr>
            <w:r>
              <w:rPr>
                <w:rFonts w:ascii="Times New Roman" w:hAnsi="Times New Roman" w:eastAsia="Times New Roman" w:cs="Times New Roman"/>
                <w:sz w:val="21"/>
              </w:rPr>
              <w:t>Coût doublé sur Fly.io</w:t>
            </w:r>
          </w:p>
        </w:tc>
        <w:tc>
          <w:tcPr>
            <w:tcW w:type="dxa" w:w="3900"/>
          </w:tcPr>
          <w:p>
            <w:pPr>
              <w:pStyle w:val="Cellule"/>
            </w:pPr>
            <w:r>
              <w:rPr>
                <w:rFonts w:ascii="Times New Roman" w:hAnsi="Times New Roman" w:eastAsia="Times New Roman" w:cs="Times New Roman"/>
                <w:sz w:val="21"/>
              </w:rPr>
              <w:t>Deux machines créées par défaut.</w:t>
            </w:r>
          </w:p>
        </w:tc>
        <w:tc>
          <w:tcPr>
            <w:tcW w:type="dxa" w:w="2721"/>
          </w:tcPr>
          <w:p>
            <w:pPr>
              <w:pStyle w:val="Cellule"/>
            </w:pPr>
            <w:r>
              <w:rPr>
                <w:rFonts w:ascii="Times New Roman" w:hAnsi="Times New Roman" w:eastAsia="Times New Roman" w:cs="Times New Roman"/>
                <w:sz w:val="21"/>
              </w:rPr>
              <w:t>Réduction à une machine (</w:t>
            </w:r>
            <w:r>
              <w:rPr>
                <w:rFonts w:ascii="Courier New" w:hAnsi="Courier New" w:eastAsia="Courier New" w:cs="Courier New"/>
                <w:sz w:val="19"/>
              </w:rPr>
              <w:t>fly scale count 1</w:t>
            </w:r>
            <w:r>
              <w:rPr>
                <w:rFonts w:ascii="Times New Roman" w:hAnsi="Times New Roman" w:eastAsia="Times New Roman" w:cs="Times New Roman"/>
                <w:sz w:val="21"/>
              </w:rPr>
              <w:t>).</w:t>
            </w:r>
          </w:p>
        </w:tc>
      </w:tr>
      <w:tr>
        <w:trPr>
          <w:cantSplit w:val="true"/>
        </w:trPr>
        <w:tc>
          <w:tcPr>
            <w:tcW w:type="dxa" w:w="2449"/>
          </w:tcPr>
          <w:p>
            <w:pPr>
              <w:pStyle w:val="Cellule"/>
            </w:pPr>
            <w:r>
              <w:rPr>
                <w:rFonts w:ascii="Times New Roman" w:hAnsi="Times New Roman" w:eastAsia="Times New Roman" w:cs="Times New Roman"/>
                <w:sz w:val="21"/>
              </w:rPr>
              <w:t>Débordements en affichage mobile</w:t>
            </w:r>
          </w:p>
        </w:tc>
        <w:tc>
          <w:tcPr>
            <w:tcW w:type="dxa" w:w="3900"/>
          </w:tcPr>
          <w:p>
            <w:pPr>
              <w:pStyle w:val="Cellule"/>
            </w:pPr>
            <w:r>
              <w:rPr>
                <w:rFonts w:ascii="Times New Roman" w:hAnsi="Times New Roman" w:eastAsia="Times New Roman" w:cs="Times New Roman"/>
                <w:sz w:val="21"/>
              </w:rPr>
              <w:t>Photos de l’accueil disposées pour un grand écran ; fil d’étapes trop large sous 480 px.</w:t>
            </w:r>
          </w:p>
        </w:tc>
        <w:tc>
          <w:tcPr>
            <w:tcW w:type="dxa" w:w="2721"/>
          </w:tcPr>
          <w:p>
            <w:pPr>
              <w:pStyle w:val="Cellule"/>
            </w:pPr>
            <w:r>
              <w:rPr>
                <w:rFonts w:ascii="Times New Roman" w:hAnsi="Times New Roman" w:eastAsia="Times New Roman" w:cs="Times New Roman"/>
                <w:sz w:val="21"/>
              </w:rPr>
              <w:t>Rangée défilante sous 640 px ; fil réduit à des points sous 480 px.</w:t>
            </w:r>
          </w:p>
        </w:tc>
      </w:tr>
      <w:tr>
        <w:trPr>
          <w:cantSplit w:val="true"/>
        </w:trPr>
        <w:tc>
          <w:tcPr>
            <w:tcW w:type="dxa" w:w="2449"/>
          </w:tcPr>
          <w:p>
            <w:pPr>
              <w:pStyle w:val="Cellule"/>
            </w:pPr>
            <w:r>
              <w:rPr>
                <w:rFonts w:ascii="Times New Roman" w:hAnsi="Times New Roman" w:eastAsia="Times New Roman" w:cs="Times New Roman"/>
                <w:sz w:val="21"/>
              </w:rPr>
              <w:t xml:space="preserve">Erreurs ESLint (règle React </w:t>
            </w:r>
            <w:r>
              <w:rPr>
                <w:rFonts w:ascii="Courier New" w:hAnsi="Courier New" w:eastAsia="Courier New" w:cs="Courier New"/>
                <w:sz w:val="19"/>
              </w:rPr>
              <w:t>set-state-in-effect</w:t>
            </w:r>
            <w:r>
              <w:rPr>
                <w:rFonts w:ascii="Times New Roman" w:hAnsi="Times New Roman" w:eastAsia="Times New Roman" w:cs="Times New Roman"/>
                <w:sz w:val="21"/>
              </w:rPr>
              <w:t>)</w:t>
            </w:r>
          </w:p>
        </w:tc>
        <w:tc>
          <w:tcPr>
            <w:tcW w:type="dxa" w:w="3900"/>
          </w:tcPr>
          <w:p>
            <w:pPr>
              <w:pStyle w:val="Cellule"/>
            </w:pPr>
            <w:r>
              <w:rPr>
                <w:rFonts w:ascii="Times New Roman" w:hAnsi="Times New Roman" w:eastAsia="Times New Roman" w:cs="Times New Roman"/>
                <w:sz w:val="21"/>
              </w:rPr>
              <w:t>État initialisé dans des effets.</w:t>
            </w:r>
          </w:p>
        </w:tc>
        <w:tc>
          <w:tcPr>
            <w:tcW w:type="dxa" w:w="2721"/>
          </w:tcPr>
          <w:p>
            <w:pPr>
              <w:pStyle w:val="Cellule"/>
            </w:pPr>
            <w:r>
              <w:rPr>
                <w:rFonts w:ascii="Times New Roman" w:hAnsi="Times New Roman" w:eastAsia="Times New Roman" w:cs="Times New Roman"/>
                <w:sz w:val="21"/>
              </w:rPr>
              <w:t xml:space="preserve">Lecture de </w:t>
            </w:r>
            <w:r>
              <w:rPr>
                <w:rFonts w:ascii="Courier New" w:hAnsi="Courier New" w:eastAsia="Courier New" w:cs="Courier New"/>
                <w:sz w:val="19"/>
              </w:rPr>
              <w:t>prefers-reduced-motion</w:t>
            </w:r>
            <w:r>
              <w:rPr>
                <w:rFonts w:ascii="Times New Roman" w:hAnsi="Times New Roman" w:eastAsia="Times New Roman" w:cs="Times New Roman"/>
                <w:sz w:val="21"/>
              </w:rPr>
              <w:t xml:space="preserve"> et de </w:t>
            </w:r>
            <w:r>
              <w:rPr>
                <w:rFonts w:ascii="Courier New" w:hAnsi="Courier New" w:eastAsia="Courier New" w:cs="Courier New"/>
                <w:sz w:val="19"/>
              </w:rPr>
              <w:t>sessionStorage</w:t>
            </w:r>
            <w:r>
              <w:rPr>
                <w:rFonts w:ascii="Times New Roman" w:hAnsi="Times New Roman" w:eastAsia="Times New Roman" w:cs="Times New Roman"/>
                <w:sz w:val="21"/>
              </w:rPr>
              <w:t xml:space="preserve"> par </w:t>
            </w:r>
            <w:r>
              <w:rPr>
                <w:rFonts w:ascii="Courier New" w:hAnsi="Courier New" w:eastAsia="Courier New" w:cs="Courier New"/>
                <w:sz w:val="19"/>
              </w:rPr>
              <w:t>useSyncExternalStore</w:t>
            </w:r>
            <w:r>
              <w:rPr>
                <w:rFonts w:ascii="Times New Roman" w:hAnsi="Times New Roman" w:eastAsia="Times New Roman" w:cs="Times New Roman"/>
                <w:sz w:val="21"/>
              </w:rPr>
              <w:t>.</w:t>
            </w:r>
          </w:p>
        </w:tc>
      </w:tr>
    </w:tbl>
    <w:p>
      <w:pPr>
        <w:spacing w:after="0" w:lineRule="exact" w:line="200"/>
      </w:pPr>
    </w:p>
    <w:p>
      <w:pPr>
        <w:pStyle w:val="Heading1"/>
      </w:pPr>
      <w:r>
        <w:t>10. Limites du travail</w:t>
      </w:r>
    </w:p>
    <w:p>
      <w:pPr>
        <w:pStyle w:val="ListBullet"/>
      </w:pPr>
      <w:r>
        <w:rPr>
          <w:rFonts w:ascii="Times New Roman" w:hAnsi="Times New Roman" w:eastAsia="Times New Roman" w:cs="Times New Roman"/>
          <w:b/>
        </w:rPr>
        <w:t>Conditions de laboratoire.</w:t>
      </w:r>
      <w:r>
        <w:rPr>
          <w:rFonts w:ascii="Times New Roman" w:hAnsi="Times New Roman" w:eastAsia="Times New Roman" w:cs="Times New Roman"/>
        </w:rPr>
        <w:t xml:space="preserve"> PlantVillage montre des feuilles isolées sur fond neutre. Aucun essai sur des photos de terrain n’a été fait, alors que le cahier des charges le recommande : les 96,47 % ne s’appliquent pas à ce cas.</w:t>
      </w:r>
    </w:p>
    <w:p>
      <w:pPr>
        <w:pStyle w:val="ListBullet"/>
      </w:pPr>
      <w:r>
        <w:rPr>
          <w:rFonts w:ascii="Times New Roman" w:hAnsi="Times New Roman" w:eastAsia="Times New Roman" w:cs="Times New Roman"/>
          <w:b/>
        </w:rPr>
        <w:t>Entrées hors sujet.</w:t>
      </w:r>
      <w:r>
        <w:rPr>
          <w:rFonts w:ascii="Times New Roman" w:hAnsi="Times New Roman" w:eastAsia="Times New Roman" w:cs="Times New Roman"/>
        </w:rPr>
        <w:t xml:space="preserve"> Le modèle répartit toujours sa probabilité entre les 38 classes. Une photo qui n’est pas une feuille reçoit donc quand même une classe ; le seuil de 70 % limite le risque sans le supprimer. Ce comportement découle de la conception du modèle ; il n’a pas été testé avec des images hors sujet.</w:t>
      </w:r>
    </w:p>
    <w:p>
      <w:pPr>
        <w:pStyle w:val="ListBullet"/>
      </w:pPr>
      <w:r>
        <w:rPr>
          <w:rFonts w:ascii="Times New Roman" w:hAnsi="Times New Roman" w:eastAsia="Times New Roman" w:cs="Times New Roman"/>
          <w:b/>
        </w:rPr>
        <w:t>Classes ambiguës.</w:t>
      </w:r>
      <w:r>
        <w:rPr>
          <w:rFonts w:ascii="Times New Roman" w:hAnsi="Times New Roman" w:eastAsia="Times New Roman" w:cs="Times New Roman"/>
        </w:rPr>
        <w:t xml:space="preserve"> Les maladies voisines, surtout chez la tomate, sont confondues dans une proportion non négligeable ; la précision descend à 0,76 pour une classe.</w:t>
      </w:r>
    </w:p>
    <w:p>
      <w:pPr>
        <w:pStyle w:val="ListBullet"/>
      </w:pPr>
      <w:r>
        <w:rPr>
          <w:rFonts w:ascii="Times New Roman" w:hAnsi="Times New Roman" w:eastAsia="Times New Roman" w:cs="Times New Roman"/>
          <w:b/>
        </w:rPr>
        <w:t>Une seule évaluation.</w:t>
      </w:r>
      <w:r>
        <w:rPr>
          <w:rFonts w:ascii="Times New Roman" w:hAnsi="Times New Roman" w:eastAsia="Times New Roman" w:cs="Times New Roman"/>
        </w:rPr>
        <w:t xml:space="preserve"> Un seul découpage et une seule graine : pas de validation croisée, pas d’intervalle de confiance.</w:t>
      </w:r>
    </w:p>
    <w:p>
      <w:pPr>
        <w:pStyle w:val="ListBullet"/>
      </w:pPr>
      <w:r>
        <w:rPr>
          <w:rFonts w:ascii="Times New Roman" w:hAnsi="Times New Roman" w:eastAsia="Times New Roman" w:cs="Times New Roman"/>
          <w:b/>
        </w:rPr>
        <w:t>Pas de traitement proposé.</w:t>
      </w:r>
      <w:r>
        <w:rPr>
          <w:rFonts w:ascii="Times New Roman" w:hAnsi="Times New Roman" w:eastAsia="Times New Roman" w:cs="Times New Roman"/>
        </w:rPr>
        <w:t xml:space="preserve"> C’est volontaire (section 2.3), mais le diagnostic s’arrête à la description de la maladie.</w:t>
      </w:r>
    </w:p>
    <w:p>
      <w:pPr>
        <w:pStyle w:val="ListBullet"/>
      </w:pPr>
      <w:r>
        <w:rPr>
          <w:rFonts w:ascii="Times New Roman" w:hAnsi="Times New Roman" w:eastAsia="Times New Roman" w:cs="Times New Roman"/>
          <w:b/>
        </w:rPr>
        <w:t>Usage mobile non traité.</w:t>
      </w:r>
      <w:r>
        <w:rPr>
          <w:rFonts w:ascii="Times New Roman" w:hAnsi="Times New Roman" w:eastAsia="Times New Roman" w:cs="Times New Roman"/>
        </w:rPr>
        <w:t xml:space="preserve"> Pas de conversion TensorFlow Lite ; la taille cible n’est pas vérifiée.</w:t>
      </w:r>
    </w:p>
    <w:p>
      <w:pPr>
        <w:pStyle w:val="ListBullet"/>
      </w:pPr>
      <w:r>
        <w:rPr>
          <w:rFonts w:ascii="Times New Roman" w:hAnsi="Times New Roman" w:eastAsia="Times New Roman" w:cs="Times New Roman"/>
          <w:b/>
        </w:rPr>
        <w:t>Exploitation.</w:t>
      </w:r>
      <w:r>
        <w:rPr>
          <w:rFonts w:ascii="Times New Roman" w:hAnsi="Times New Roman" w:eastAsia="Times New Roman" w:cs="Times New Roman"/>
        </w:rPr>
        <w:t xml:space="preserve"> Inférence synchrone, pas de test de charge, une seule machine sans redondance.</w:t>
      </w:r>
    </w:p>
    <w:p>
      <w:pPr>
        <w:pStyle w:val="ListBullet"/>
      </w:pPr>
      <w:r>
        <w:rPr>
          <w:rFonts w:ascii="Times New Roman" w:hAnsi="Times New Roman" w:eastAsia="Times New Roman" w:cs="Times New Roman"/>
          <w:b/>
        </w:rPr>
        <w:t>Interface.</w:t>
      </w:r>
      <w:r>
        <w:rPr>
          <w:rFonts w:ascii="Times New Roman" w:hAnsi="Times New Roman" w:eastAsia="Times New Roman" w:cs="Times New Roman"/>
        </w:rPr>
        <w:t xml:space="preserve"> Aucun test automatisé, temps de chargement non mesuré. La commande </w:t>
      </w:r>
      <w:r>
        <w:rPr>
          <w:rFonts w:ascii="Courier New" w:hAnsi="Courier New" w:eastAsia="Courier New" w:cs="Courier New"/>
          <w:sz w:val="21"/>
        </w:rPr>
        <w:t>npm audit</w:t>
      </w:r>
      <w:r>
        <w:rPr>
          <w:rFonts w:ascii="Times New Roman" w:hAnsi="Times New Roman" w:eastAsia="Times New Roman" w:cs="Times New Roman"/>
        </w:rPr>
        <w:t xml:space="preserve"> signale trois vulnérabilités de niveau « high » dans des dépendances internes de Next.js (postcss, sharp) ; elles n’ont pas été traitées, la correction automatique proposée imposant une rétrogradation vers une version majeure très ancienne de Next.js.</w:t>
      </w:r>
    </w:p>
    <w:p>
      <w:pPr>
        <w:pStyle w:val="ListBullet"/>
      </w:pPr>
      <w:r>
        <w:rPr>
          <w:rFonts w:ascii="Times New Roman" w:hAnsi="Times New Roman" w:eastAsia="Times New Roman" w:cs="Times New Roman"/>
          <w:b/>
        </w:rPr>
        <w:t>Données de référence écrites dans le code.</w:t>
      </w:r>
      <w:r>
        <w:rPr>
          <w:rFonts w:ascii="Times New Roman" w:hAnsi="Times New Roman" w:eastAsia="Times New Roman" w:cs="Times New Roman"/>
        </w:rPr>
        <w:t xml:space="preserve"> Les fiches maladies, les traductions et les valeurs de fiabilité sont codées en dur dans l’interface et à mettre à jour à la main si le modèle est ré-entraîné.</w:t>
      </w:r>
    </w:p>
    <w:p>
      <w:pPr>
        <w:pStyle w:val="ListBullet"/>
      </w:pPr>
      <w:r>
        <w:rPr>
          <w:rFonts w:ascii="Times New Roman" w:hAnsi="Times New Roman" w:eastAsia="Times New Roman" w:cs="Times New Roman"/>
          <w:b/>
        </w:rPr>
        <w:t>Redimensionnement.</w:t>
      </w:r>
      <w:r>
        <w:rPr>
          <w:rFonts w:ascii="Times New Roman" w:hAnsi="Times New Roman" w:eastAsia="Times New Roman" w:cs="Times New Roman"/>
        </w:rPr>
        <w:t xml:space="preserve"> Les redimensionnements bilinéaires de l’entraînement (TensorFlow) et de l’inférence (Pillow) ne sont pas strictement identiques ; l’écart n’a pas été quantifié.</w:t>
      </w:r>
    </w:p>
    <w:p>
      <w:pPr>
        <w:pStyle w:val="ListBullet"/>
      </w:pPr>
      <w:r>
        <w:rPr>
          <w:rFonts w:ascii="Times New Roman" w:hAnsi="Times New Roman" w:eastAsia="Times New Roman" w:cs="Times New Roman"/>
          <w:b/>
        </w:rPr>
        <w:t>Licence des images.</w:t>
      </w:r>
      <w:r>
        <w:rPr>
          <w:rFonts w:ascii="Times New Roman" w:hAnsi="Times New Roman" w:eastAsia="Times New Roman" w:cs="Times New Roman"/>
        </w:rPr>
        <w:t xml:space="preserve"> Le cahier des charges indique un usage académique et de recherche pour PlantVillage ; les conditions précises d’affichage de ses images sur un site public n’ont pas été vérifiées.</w:t>
      </w:r>
    </w:p>
    <w:p>
      <w:pPr>
        <w:pStyle w:val="Heading1"/>
      </w:pPr>
      <w:r>
        <w:t>11. Perspectives d’amélioration</w:t>
      </w:r>
    </w:p>
    <w:p>
      <w:pPr>
        <w:pStyle w:val="ListBullet"/>
      </w:pPr>
      <w:r>
        <w:rPr>
          <w:rFonts w:ascii="Times New Roman" w:hAnsi="Times New Roman" w:eastAsia="Times New Roman" w:cs="Times New Roman"/>
        </w:rPr>
        <w:t>Tester le modèle sur un petit échantillon de photos de terrain et documenter l’écart, comme le prévoit le cahier des charges.</w:t>
      </w:r>
    </w:p>
    <w:p>
      <w:pPr>
        <w:pStyle w:val="ListBullet"/>
      </w:pPr>
      <w:r>
        <w:rPr>
          <w:rFonts w:ascii="Times New Roman" w:hAnsi="Times New Roman" w:eastAsia="Times New Roman" w:cs="Times New Roman"/>
        </w:rPr>
        <w:t>Chronométrer le parcours de bout en bout et le chargement initial, puis convertir le modèle en TensorFlow Lite pour vérifier sa taille.</w:t>
      </w:r>
    </w:p>
    <w:p>
      <w:pPr>
        <w:pStyle w:val="ListBullet"/>
      </w:pPr>
      <w:r>
        <w:rPr>
          <w:rFonts w:ascii="Times New Roman" w:hAnsi="Times New Roman" w:eastAsia="Times New Roman" w:cs="Times New Roman"/>
        </w:rPr>
        <w:t>Comparer avec EfficientNetB0, ce qui suppose d’adapter la normalisation à l’entraînement et à l’inférence.</w:t>
      </w:r>
    </w:p>
    <w:p>
      <w:pPr>
        <w:pStyle w:val="ListBullet"/>
      </w:pPr>
      <w:r>
        <w:rPr>
          <w:rFonts w:ascii="Times New Roman" w:hAnsi="Times New Roman" w:eastAsia="Times New Roman" w:cs="Times New Roman"/>
        </w:rPr>
        <w:t>Ajouter une détection des entrées hors sujet, ou un refus de répondre sous un seuil de confiance.</w:t>
      </w:r>
    </w:p>
    <w:p>
      <w:pPr>
        <w:pStyle w:val="ListBullet"/>
      </w:pPr>
      <w:r>
        <w:rPr>
          <w:rFonts w:ascii="Times New Roman" w:hAnsi="Times New Roman" w:eastAsia="Times New Roman" w:cs="Times New Roman"/>
        </w:rPr>
        <w:t>Traiter les classes à faible rappel (</w:t>
      </w:r>
      <w:r>
        <w:rPr>
          <w:rFonts w:ascii="Courier New" w:hAnsi="Courier New" w:eastAsia="Courier New" w:cs="Courier New"/>
          <w:sz w:val="21"/>
        </w:rPr>
        <w:t>Tomato___Early_blight</w:t>
      </w:r>
      <w:r>
        <w:rPr>
          <w:rFonts w:ascii="Times New Roman" w:hAnsi="Times New Roman" w:eastAsia="Times New Roman" w:cs="Times New Roman"/>
        </w:rPr>
        <w:t>) par une augmentation ciblée ou un échantillonnage rééquilibré.</w:t>
      </w:r>
    </w:p>
    <w:p>
      <w:pPr>
        <w:pStyle w:val="ListBullet"/>
      </w:pPr>
      <w:r>
        <w:rPr>
          <w:rFonts w:ascii="Times New Roman" w:hAnsi="Times New Roman" w:eastAsia="Times New Roman" w:cs="Times New Roman"/>
        </w:rPr>
        <w:t>Reprendre les évolutions listées en section 12 du cahier des charges : localisation de la zone atteinte, extension à d’autres espèces, module de conseil construit avec un expert agronome.</w:t>
      </w:r>
    </w:p>
    <w:p>
      <w:pPr>
        <w:pStyle w:val="ListBullet"/>
      </w:pPr>
      <w:r>
        <w:rPr>
          <w:rFonts w:ascii="Times New Roman" w:hAnsi="Times New Roman" w:eastAsia="Times New Roman" w:cs="Times New Roman"/>
        </w:rPr>
        <w:t>Ajouter des tests automatisés à l’interface, mesurer ses performances et mettre en place une intégration continue.</w:t>
      </w:r>
    </w:p>
    <w:p>
      <w:pPr>
        <w:pStyle w:val="Heading1"/>
      </w:pPr>
      <w:r>
        <w:t>12. Conclusion</w:t>
      </w:r>
    </w:p>
    <w:p>
      <w:r>
        <w:rPr>
          <w:rFonts w:ascii="Times New Roman" w:hAnsi="Times New Roman" w:eastAsia="Times New Roman" w:cs="Times New Roman"/>
        </w:rPr>
        <w:t>Le projet livre une chaîne complète, de la donnée brute au service en ligne : un modèle de transfert d’apprentissage dont l’exactitude (96,47 %) et le F1 macro (95,66 %) sur jeu de test dépassent les seuils du cahier des charges et la baseline de plus de 15 points, une API déployée, et une interface qui accompagne le diagnostic d’explications. Parmi les huit critères et objectifs du tableau 5, trois sont atteints, un est vérifié en partie et quatre ne sont pas vérifiés (temps de bout en bout, chargement initial, reprise par un tiers, taille après conversion).</w:t>
      </w:r>
    </w:p>
    <w:p>
      <w:r>
        <w:rPr>
          <w:rFonts w:ascii="Times New Roman" w:hAnsi="Times New Roman" w:eastAsia="Times New Roman" w:cs="Times New Roman"/>
        </w:rPr>
        <w:t>Sur le plan méthodologique, les deux défauts les plus coûteux, la normalisation appliquée deux fois et la lecture de la configuration en production, ne produisaient aucune erreur visible pendant le développement. Ils n’ont été trouvés qu’en interrogeant l’API avec le vrai modèle, puis en déployant. Les performances annoncées restent mesurées sur des images de laboratoire ; leur transposition à des photos prises au champ n’est pas démontrée.</w:t>
      </w:r>
    </w:p>
    <w:sectPr w:rsidR="00FC693F" w:rsidRPr="0006063C" w:rsidSect="00034616">
      <w:footerReference w:type="default" r:id="rId9"/>
      <w:pgSz w:w="11906" w:h="16838"/>
      <w:pgMar w:top="1417" w:right="1417" w:bottom="1417" w:left="1417" w:header="720"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jc w:val="left"/>
    </w:pPr>
    <w:rPr>
      <w:rFonts w:ascii="Times New Roman" w:hAnsi="Times New Roman" w:eastAsia="Times New Roman" w:cs="Times New Roman"/>
      <w:color w:val="000000"/>
      <w:sz w:val="24"/>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e">
    <w:name w:val="Commande"/>
    <w:basedOn w:val="Normal"/>
    <w:pPr>
      <w:spacing w:after="0" w:line="240" w:lineRule="auto"/>
      <w:ind w:left="340"/>
    </w:pPr>
    <w:rPr>
      <w:rFonts w:ascii="Courier New" w:hAnsi="Courier New" w:eastAsia="Courier New" w:cs="Courier New"/>
      <w:color w:val="000000"/>
      <w:sz w:val="19"/>
    </w:rPr>
  </w:style>
  <w:style w:type="paragraph" w:customStyle="1" w:styleId="Cellule">
    <w:name w:val="Cellule"/>
    <w:basedOn w:val="Normal"/>
    <w:pPr>
      <w:spacing w:after="0" w:line="264" w:lineRule="auto"/>
    </w:pPr>
    <w:rPr>
      <w:rFonts w:ascii="Times New Roman" w:hAnsi="Times New Roman" w:eastAsia="Times New Roman" w:cs="Times New Roman"/>
      <w:color w:val="000000"/>
      <w:sz w:val="21"/>
    </w:rPr>
  </w:style>
  <w:style w:type="paragraph" w:customStyle="1" w:styleId="Legende">
    <w:name w:val="Legende"/>
    <w:basedOn w:val="Normal"/>
    <w:pPr>
      <w:spacing w:before="80" w:after="160" w:line="276" w:lineRule="auto"/>
    </w:pPr>
    <w:rPr>
      <w:rFonts w:ascii="Times New Roman" w:hAnsi="Times New Roman" w:eastAsia="Times New Roman" w:cs="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100Plante — Dossier final du projet</dc:title>
  <dc:subject/>
  <dc:creator>POUKONE</dc:creator>
  <cp:keywords/>
  <dc:description/>
  <cp:lastModifiedBy>POUKONE</cp:lastModifiedBy>
  <cp:revision>1</cp:revision>
  <dcterms:created xsi:type="dcterms:W3CDTF">2013-12-23T23:15:00Z</dcterms:created>
  <dcterms:modified xsi:type="dcterms:W3CDTF">2013-12-23T23:15:00Z</dcterms:modified>
  <cp:category/>
  <dc:language>fr-FR</dc:language>
</cp:coreProperties>
</file>