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Comprehensive Governance, Economic, and Technical Audit of the Cataclysm Studios DAO Ecosystem</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transition of Cataclysm Studios from a traditional S-corp into a decentralized autonomous organization (DAO) represents a complex convergence of legal innovation, economic redesign, and technical infrastructure hardening. This report provides an exhaustive deep dive into the current organizational state of the project, an accuracy review of its foundational analysis documents, and strategic recommendations for achieving long-term sustainability and regulatory compliance. The shift toward a resident-owned, AI-powered cooperative model requires not only the deployment of smart contracts but also the creation of a robust "legal wrapper" and a highly organized information governance framework to manage institutional partnerships and community trust [, S_W45, S_W23].</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Information Governance and Workspace Organization Audit</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digital workspace of Cataclysm Studios, currently hosted on Google Drive, serves as the primary repository for intellectual property, strategic planning, and legal documentation. A systematic review of this environment reveals a high concentration of visionary material but identifies significant risks regarding document fragmentation, versioning inconsistency, and the existence of duplicate files that could impede a formal legal or technical audit].</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Current State and Redundancy Analysis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 audit of the existing file structure indicates that critical components of the "DAO Readiness" are often nested within larger, multi-purpose documents rather than standing as independent, easily accessible records. For instance, search results for "Constitution" and "Proposal" initially failed because these frameworks are embedded within pitch decks such as the Fordham Hill Board Decks. Furthermore, the repository contains duplicate versions of primary strategic assets, which creates a "source of truth" conflict for stakeholders.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Document Title</w:t>
            </w:r>
          </w:p>
        </w:tc>
        <w:tc>
          <w:tcPr>
            <w:shd w:fill="auto" w:val="clear"/>
            <w:tcMar>
              <w:top w:w="0.0" w:type="dxa"/>
              <w:left w:w="0.0" w:type="dxa"/>
              <w:bottom w:w="0.0" w:type="dxa"/>
              <w:right w:w="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Identified Versions</w:t>
            </w:r>
          </w:p>
        </w:tc>
        <w:tc>
          <w:tcPr>
            <w:shd w:fill="auto" w:val="clear"/>
            <w:tcMar>
              <w:top w:w="0.0" w:type="dxa"/>
              <w:left w:w="0.0" w:type="dxa"/>
              <w:bottom w:w="0.0" w:type="dxa"/>
              <w:right w:w="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Status/Risk</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Fordham_Hill_Board_Deck</w:t>
            </w:r>
          </w:p>
        </w:tc>
        <w:tc>
          <w:tcPr>
            <w:shd w:fill="auto" w:val="clear"/>
            <w:tcMar>
              <w:top w:w="0.0" w:type="dxa"/>
              <w:left w:w="0.0" w:type="dxa"/>
              <w:bottom w:w="0.0" w:type="dxa"/>
              <w:right w:w="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v0.2 (2 copies), v0.5</w:t>
            </w:r>
          </w:p>
        </w:tc>
        <w:tc>
          <w:tcPr>
            <w:shd w:fill="auto" w:val="clear"/>
            <w:tcMar>
              <w:top w:w="0.0" w:type="dxa"/>
              <w:left w:w="0.0" w:type="dxa"/>
              <w:bottom w:w="0.0" w:type="dxa"/>
              <w:right w:w="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Redundancy risk; v0.5 should be the master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PMOVES DAO</w:t>
            </w:r>
          </w:p>
        </w:tc>
        <w:tc>
          <w:tcPr>
            <w:shd w:fill="auto" w:val="clear"/>
            <w:tcMar>
              <w:top w:w="0.0" w:type="dxa"/>
              <w:left w:w="0.0" w:type="dxa"/>
              <w:bottom w:w="0.0" w:type="dxa"/>
              <w:right w:w="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Created 2026-01-07</w:t>
            </w:r>
          </w:p>
        </w:tc>
        <w:tc>
          <w:tcPr>
            <w:shd w:fill="auto" w:val="clear"/>
            <w:tcMar>
              <w:top w:w="0.0" w:type="dxa"/>
              <w:left w:w="0.0" w:type="dxa"/>
              <w:bottom w:w="0.0" w:type="dxa"/>
              <w:right w:w="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Placeholder file; needs content population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Tokenomics &amp; Cooperative Model</w:t>
            </w:r>
          </w:p>
        </w:tc>
        <w:tc>
          <w:tcPr>
            <w:shd w:fill="auto" w:val="clear"/>
            <w:tcMar>
              <w:top w:w="0.0" w:type="dxa"/>
              <w:left w:w="0.0" w:type="dxa"/>
              <w:bottom w:w="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Created 2026-01-29</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Grant Application Master</w:t>
            </w:r>
          </w:p>
        </w:tc>
        <w:tc>
          <w:tcPr>
            <w:shd w:fill="auto" w:val="clear"/>
            <w:tcMar>
              <w:top w:w="0.0" w:type="dxa"/>
              <w:left w:w="0.0" w:type="dxa"/>
              <w:bottom w:w="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Master Suite</w:t>
            </w:r>
          </w:p>
        </w:tc>
        <w:tc>
          <w:tcPr>
            <w:shd w:fill="auto" w:val="clear"/>
            <w:tcMar>
              <w:top w:w="0.0" w:type="dxa"/>
              <w:left w:w="0.0" w:type="dxa"/>
              <w:bottom w:w="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Fragmented across chat logs and markdown files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Identity &amp; Access Strategy</w:t>
            </w:r>
          </w:p>
        </w:tc>
        <w:tc>
          <w:tcPr>
            <w:shd w:fill="auto" w:val="clear"/>
            <w:tcMar>
              <w:top w:w="0.0" w:type="dxa"/>
              <w:left w:w="0.0" w:type="dxa"/>
              <w:bottom w:w="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2026 Version</w:t>
            </w:r>
          </w:p>
        </w:tc>
        <w:tc>
          <w:tcPr>
            <w:shd w:fill="auto" w:val="clear"/>
            <w:tcMar>
              <w:top w:w="0.0" w:type="dxa"/>
              <w:left w:w="0.0" w:type="dxa"/>
              <w:bottom w:w="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Technical baseline; needs alignment with DAO LLC OpAgreement</w:t>
            </w:r>
          </w:p>
        </w:tc>
      </w:tr>
    </w:tbl>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presence of identical copies of version 0.2 of the Board Deck, alongside a newer version 0.5, suggests that the current organizational culture has yet to adopt a centralized version control system. For a DAO, where the "governance-by-code" philosophy extends to documentation, this lack of clarity can lead to "governance debt," where members vote on outdated information or legal counsel reviews the wrong iteration of a constitution].</w:t>
      </w:r>
    </w:p>
    <w:p w:rsidR="00000000" w:rsidDel="00000000" w:rsidP="00000000" w:rsidRDefault="00000000" w:rsidRPr="00000000" w14:paraId="0000001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Proposed Optimized Organization Framework</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mitigate these risks, the organization must move toward a thematic, permission-tiered structure. This is not merely a matter of convenience; it is a prerequisite for the SOC 2 Type II audits and legal reviews planned for 2026. The proposed structure below categorizes assets by their functional role in the DAO’s lifecycle, ensuring that legal personhood, economic logic, and technical code are clearly demarcated.</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Proposed Folder</w:t>
            </w:r>
          </w:p>
        </w:tc>
        <w:tc>
          <w:tcPr>
            <w:shd w:fill="auto" w:val="clear"/>
            <w:tcMar>
              <w:top w:w="0.0" w:type="dxa"/>
              <w:left w:w="0.0" w:type="dxa"/>
              <w:bottom w:w="0.0" w:type="dxa"/>
              <w:right w:w="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Core Contents</w:t>
            </w:r>
          </w:p>
        </w:tc>
        <w:tc>
          <w:tcPr>
            <w:shd w:fill="auto" w:val="clear"/>
            <w:tcMar>
              <w:top w:w="0.0" w:type="dxa"/>
              <w:left w:w="0.0" w:type="dxa"/>
              <w:bottom w:w="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Strategic Rationale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01 Governance &amp; Constitution</w:t>
            </w:r>
          </w:p>
        </w:tc>
        <w:tc>
          <w:tcPr>
            <w:shd w:fill="auto" w:val="clear"/>
            <w:tcMar>
              <w:top w:w="0.0" w:type="dxa"/>
              <w:left w:w="0.0" w:type="dxa"/>
              <w:bottom w:w="0.0" w:type="dxa"/>
              <w:right w:w="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Ratified Constitution, Guild Charters, Voting Records</w:t>
            </w:r>
          </w:p>
        </w:tc>
        <w:tc>
          <w:tcPr>
            <w:shd w:fill="auto" w:val="clear"/>
            <w:tcMar>
              <w:top w:w="0.0" w:type="dxa"/>
              <w:left w:w="0.0" w:type="dxa"/>
              <w:bottom w:w="0.0" w:type="dxa"/>
              <w:right w:w="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Establishes the "Rule of Law" for the community [, S_W4]</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02 Legal &amp; Compliance</w:t>
            </w:r>
          </w:p>
        </w:tc>
        <w:tc>
          <w:tcPr>
            <w:shd w:fill="auto" w:val="clear"/>
            <w:tcMar>
              <w:top w:w="0.0" w:type="dxa"/>
              <w:left w:w="0.0" w:type="dxa"/>
              <w:bottom w:w="0.0" w:type="dxa"/>
              <w:right w:w="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Wyoming DAO LLC Filings, Benefit LLC Paperwork, IP Assignments</w:t>
            </w:r>
          </w:p>
        </w:tc>
        <w:tc>
          <w:tcPr>
            <w:shd w:fill="auto" w:val="clear"/>
            <w:tcMar>
              <w:top w:w="0.0" w:type="dxa"/>
              <w:left w:w="0.0" w:type="dxa"/>
              <w:bottom w:w="0.0" w:type="dxa"/>
              <w:right w:w="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Protects individual members from personal liability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03 Tokenomics &amp; Economics</w:t>
            </w:r>
          </w:p>
        </w:tc>
        <w:tc>
          <w:tcPr>
            <w:shd w:fill="auto" w:val="clear"/>
            <w:tcMar>
              <w:top w:w="0.0" w:type="dxa"/>
              <w:left w:w="0.0" w:type="dxa"/>
              <w:bottom w:w="0.0" w:type="dxa"/>
              <w:right w:w="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$CAT/$WORK/$CRED models, Shape Attribution protocols</w:t>
            </w:r>
          </w:p>
        </w:tc>
        <w:tc>
          <w:tcPr>
            <w:shd w:fill="auto" w:val="clear"/>
            <w:tcMar>
              <w:top w:w="0.0" w:type="dxa"/>
              <w:left w:w="0.0" w:type="dxa"/>
              <w:bottom w:w="0.0" w:type="dxa"/>
              <w:right w:w="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Documents the value-flow and incentive alignment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04 Technical Infrastructure</w:t>
            </w:r>
          </w:p>
        </w:tc>
        <w:tc>
          <w:tcPr>
            <w:shd w:fill="auto" w:val="clear"/>
            <w:tcMar>
              <w:top w:w="0.0" w:type="dxa"/>
              <w:left w:w="0.0" w:type="dxa"/>
              <w:bottom w:w="0.0" w:type="dxa"/>
              <w:right w:w="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Zero-retention blueprints, IAM strategy, Repository links</w:t>
            </w:r>
          </w:p>
        </w:tc>
        <w:tc>
          <w:tcPr>
            <w:shd w:fill="auto" w:val="clear"/>
            <w:tcMar>
              <w:top w:w="0.0" w:type="dxa"/>
              <w:left w:w="0.0" w:type="dxa"/>
              <w:bottom w:w="0.0" w:type="dxa"/>
              <w:right w:w="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Proves the technical guarantees of privacy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05 Strategy &amp; Proposals</w:t>
            </w:r>
          </w:p>
        </w:tc>
        <w:tc>
          <w:tcPr>
            <w:shd w:fill="auto" w:val="clear"/>
            <w:tcMar>
              <w:top w:w="0.0" w:type="dxa"/>
              <w:left w:w="0.0" w:type="dxa"/>
              <w:bottom w:w="0.0" w:type="dxa"/>
              <w:right w:w="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Grant Application Master, Pilot Roadmap, Vision Decks</w:t>
            </w:r>
          </w:p>
        </w:tc>
        <w:tc>
          <w:tcPr>
            <w:shd w:fill="auto" w:val="clear"/>
            <w:tcMar>
              <w:top w:w="0.0" w:type="dxa"/>
              <w:left w:w="0.0" w:type="dxa"/>
              <w:bottom w:w="0.0" w:type="dxa"/>
              <w:right w:w="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Guides external fundraising and community expansion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06 Community Outreach</w:t>
            </w:r>
          </w:p>
        </w:tc>
        <w:tc>
          <w:tcPr>
            <w:shd w:fill="auto" w:val="clear"/>
            <w:tcMar>
              <w:top w:w="0.0" w:type="dxa"/>
              <w:left w:w="0.0" w:type="dxa"/>
              <w:bottom w:w="0.0" w:type="dxa"/>
              <w:right w:w="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Residents Decks, Training Toolkits, Local Vendor MOUs</w:t>
            </w:r>
          </w:p>
        </w:tc>
        <w:tc>
          <w:tcPr>
            <w:shd w:fill="auto" w:val="clear"/>
            <w:tcMar>
              <w:top w:w="0.0" w:type="dxa"/>
              <w:left w:w="0.0" w:type="dxa"/>
              <w:bottom w:w="0.0" w:type="dxa"/>
              <w:right w:w="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Bridges the gap between technology and adoption</w:t>
            </w:r>
          </w:p>
        </w:tc>
      </w:tr>
    </w:tbl>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Adopting this structure will facilitate the "Grant Sprint" planned for early 2026 by providing a single point of entry for grant-makers (such as the NSF or UN) to review technical and social impact claims. Moreover, it supports the "Offline Pack" logic identified in the workspace, ensuring that even in low-connectivity disaster zones (like the St. Maarten use case), the community has access to its foundational governance laws [, S_W77].</w:t>
      </w:r>
    </w:p>
    <w:p w:rsidR="00000000" w:rsidDel="00000000" w:rsidP="00000000" w:rsidRDefault="00000000" w:rsidRPr="00000000" w14:paraId="0000003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Accuracy Audit of the DAO Governance &amp; Readiness Analysis</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"DAO Governance &amp; Readiness Analysis for Cataclysm Studios" serves as the primary diagnostic tool for the project’s transition. A deep-dive review of this document against the broader workspace snippets reveals that while the document is highly accurate in its structural assessment, it contains omissions regarding recent technical developments and specific financial metrics found in more recent files.</w:t>
      </w:r>
    </w:p>
    <w:p w:rsidR="00000000" w:rsidDel="00000000" w:rsidP="00000000" w:rsidRDefault="00000000" w:rsidRPr="00000000" w14:paraId="0000003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Verification of Governance and Institutional Findings</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accurately identifies the bicameral voting system and the role of the $CAT and $WORK tokens as a mechanism to balance capital and labor [, S_W2, S_W53]. It correctly highlights that the project is in a state of transition from an S-corp to a Wyoming DAO LLC and a Benefit LLC [, S_W45]. However, the document notes that the "other guild charters" (Creator and Wealth &amp; Learning) are "to be added".</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In reality, the workspace already contains detailed mandates for these guilds that extend beyond the summary in ``. For example, the Wealth &amp; Learning guild is already defined as a "micro-business incubator" with specific KPIs related to AI upskilling and vendor onboarding. The Creator guild's charter is already linked to the cultural identity of "DARKXSIDE" and the management of "Creator Pods". The readiness document should be updated to reflect that these charters are in v0.1 draft form rather than simply missing.</w:t>
      </w:r>
    </w:p>
    <w:p w:rsidR="00000000" w:rsidDel="00000000" w:rsidP="00000000" w:rsidRDefault="00000000" w:rsidRPr="00000000" w14:paraId="0000003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Financial and Filing Accuracy</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One critical area where requires more granularity is in the legal filing costs and the specific mechanism of the asset transfer. mentions that legal entity setup is incomplete. More recent data in the "PMOVES restructure chat" provides exact figures and timelines that should be integrated into the readiness analysis to provide a more "audit-ready" view.</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Data Point</w:t>
            </w:r>
          </w:p>
        </w:tc>
        <w:tc>
          <w:tcPr>
            <w:shd w:fill="auto" w:val="clear"/>
            <w:tcMar>
              <w:top w:w="0.0" w:type="dxa"/>
              <w:left w:w="0.0" w:type="dxa"/>
              <w:bottom w:w="0.0" w:type="dxa"/>
              <w:right w:w="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Description in</w:t>
            </w:r>
          </w:p>
        </w:tc>
        <w:tc>
          <w:tcPr>
            <w:shd w:fill="auto" w:val="clear"/>
            <w:tcMar>
              <w:top w:w="0.0" w:type="dxa"/>
              <w:left w:w="0.0" w:type="dxa"/>
              <w:bottom w:w="0.0" w:type="dxa"/>
              <w:right w:w="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Verified Reality in Snippets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Wyoming DAO LLC Cost</w:t>
            </w:r>
          </w:p>
        </w:tc>
        <w:tc>
          <w:tcPr>
            <w:shd w:fill="auto" w:val="clear"/>
            <w:tcMar>
              <w:top w:w="0.0" w:type="dxa"/>
              <w:left w:w="0.0" w:type="dxa"/>
              <w:bottom w:w="0.0" w:type="dxa"/>
              <w:right w:w="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 Specified</w:t>
            </w:r>
          </w:p>
        </w:tc>
        <w:tc>
          <w:tcPr>
            <w:shd w:fill="auto" w:val="clear"/>
            <w:tcMar>
              <w:top w:w="0.0" w:type="dxa"/>
              <w:left w:w="0.0" w:type="dxa"/>
              <w:bottom w:w="0.0" w:type="dxa"/>
              <w:right w:w="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$100 filing fee; $60 annual fee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Benefit LLC Location</w:t>
            </w:r>
          </w:p>
        </w:tc>
        <w:tc>
          <w:tcPr>
            <w:shd w:fill="auto" w:val="clear"/>
            <w:tcMar>
              <w:top w:w="0.0" w:type="dxa"/>
              <w:left w:w="0.0" w:type="dxa"/>
              <w:bottom w:w="0.0" w:type="dxa"/>
              <w:right w:w="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 Specified</w:t>
            </w:r>
          </w:p>
        </w:tc>
        <w:tc>
          <w:tcPr>
            <w:shd w:fill="auto" w:val="clear"/>
            <w:tcMar>
              <w:top w:w="0.0" w:type="dxa"/>
              <w:left w:w="0.0" w:type="dxa"/>
              <w:bottom w:w="0.0" w:type="dxa"/>
              <w:right w:w="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NY or Delaware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Benefit LLC Filing Fee</w:t>
            </w:r>
          </w:p>
        </w:tc>
        <w:tc>
          <w:tcPr>
            <w:shd w:fill="auto" w:val="clear"/>
            <w:tcMar>
              <w:top w:w="0.0" w:type="dxa"/>
              <w:left w:w="0.0" w:type="dxa"/>
              <w:bottom w:w="0.0" w:type="dxa"/>
              <w:right w:w="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 Specified</w:t>
            </w:r>
          </w:p>
        </w:tc>
        <w:tc>
          <w:tcPr>
            <w:shd w:fill="auto" w:val="clear"/>
            <w:tcMar>
              <w:top w:w="0.0" w:type="dxa"/>
              <w:left w:w="0.0" w:type="dxa"/>
              <w:bottom w:w="0.0" w:type="dxa"/>
              <w:right w:w="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$200 – $500</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Asset Transfer Method</w:t>
            </w:r>
          </w:p>
        </w:tc>
        <w:tc>
          <w:tcPr>
            <w:shd w:fill="auto" w:val="clear"/>
            <w:tcMar>
              <w:top w:w="0.0" w:type="dxa"/>
              <w:left w:w="0.0" w:type="dxa"/>
              <w:bottom w:w="0.0" w:type="dxa"/>
              <w:right w:w="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Legal review needed</w:t>
            </w:r>
          </w:p>
        </w:tc>
        <w:tc>
          <w:tcPr>
            <w:shd w:fill="auto" w:val="clear"/>
            <w:tcMar>
              <w:top w:w="0.0" w:type="dxa"/>
              <w:left w:w="0.0" w:type="dxa"/>
              <w:bottom w:w="0.0" w:type="dxa"/>
              <w:right w:w="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F-reorganization planned to avoid capital gains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$CAT Distribution</w:t>
            </w:r>
          </w:p>
        </w:tc>
        <w:tc>
          <w:tcPr>
            <w:shd w:fill="auto" w:val="clear"/>
            <w:tcMar>
              <w:top w:w="0.0" w:type="dxa"/>
              <w:left w:w="0.0" w:type="dxa"/>
              <w:bottom w:w="0.0" w:type="dxa"/>
              <w:right w:w="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Described in general</w:t>
            </w:r>
          </w:p>
        </w:tc>
        <w:tc>
          <w:tcPr>
            <w:shd w:fill="auto" w:val="clear"/>
            <w:tcMar>
              <w:top w:w="0.0" w:type="dxa"/>
              <w:left w:w="0.0" w:type="dxa"/>
              <w:bottom w:w="0.0" w:type="dxa"/>
              <w:right w:w="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Specific 40/25/20/10/5 split is confirmed</w:t>
            </w:r>
          </w:p>
        </w:tc>
      </w:tr>
    </w:tbl>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omission of these specific costs and the "F-reorganization" strategy in `` is a significant oversight for a document intended for "Readiness Analysis." These details are vital for the 90-day execution plan, particularly in Phase 1 (Weeks 1-2) where the legal foundation is laid.</w:t>
      </w:r>
    </w:p>
    <w:p w:rsidR="00000000" w:rsidDel="00000000" w:rsidP="00000000" w:rsidRDefault="00000000" w:rsidRPr="00000000" w14:paraId="0000004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Technical and Security Accuracy</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correctly aligns with the "PMOVES.AI Identity &amp; Access Strategy 2026" regarding the use of WorkOS and the zero-retention architecture [, S_W34, S_W62]. It accurately reflects the 3-of-5 Gnosis Safe multisig requirement and the "Emergency Brake" circuit breaker mechanism [, S_W28, S_W30]. One point of clarification for the readiness doc is the status of the "SOC 2 Type II audit." While mentions audits generally, the project specifically targets Months 5-8 for this certification, which is a major milestone for humanitarian sector compliance.</w:t>
      </w:r>
    </w:p>
    <w:p w:rsidR="00000000" w:rsidDel="00000000" w:rsidP="00000000" w:rsidRDefault="00000000" w:rsidRPr="00000000" w14:paraId="0000004E">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Bicameral Governance Model: A Sociological and Economic Analysis</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governance model proposed by Cataclysm Studios is a sophisticated response to the "Whale Problem" that plagues many decentralized systems. By separating voting power into a Token House and a Citizen House, the project creates a "Proof of Effort" check on the "Proof of Stake". This design ensures that those who contribute physical labor and local infrastructure (node operators) have a meaningful veto over the high-level capital-driven decisions.</w:t>
      </w:r>
    </w:p>
    <w:p w:rsidR="00000000" w:rsidDel="00000000" w:rsidP="00000000" w:rsidRDefault="00000000" w:rsidRPr="00000000" w14:paraId="0000005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Token House ($CAT): Strategic Sovereignty</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Token House, utilizing the $CAT governance token, acts as the DAO's "Senate." It is composed of stakeholders who have a long-term financial interest in the success of the ecosystem. The 100 million $CAT tokens are distributed to ensure that no single entity can unilaterally control the project while providing enough liquidity to incentivize strategic partners.</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rights of $CAT holders are strictly defined around strategic and financial oversight:</w:t>
      </w:r>
    </w:p>
    <w:p w:rsidR="00000000" w:rsidDel="00000000" w:rsidP="00000000" w:rsidRDefault="00000000" w:rsidRPr="00000000" w14:paraId="0000005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Budgetary Approval:</w:t>
      </w:r>
      <w:r w:rsidDel="00000000" w:rsidR="00000000" w:rsidRPr="00000000">
        <w:rPr>
          <w:rtl w:val="0"/>
        </w:rPr>
        <w:t xml:space="preserve"> All allocations exceeding $25,000 must pass a Type B or A vote in the Token House [, S_W22, S_W23].</w:t>
      </w:r>
    </w:p>
    <w:p w:rsidR="00000000" w:rsidDel="00000000" w:rsidP="00000000" w:rsidRDefault="00000000" w:rsidRPr="00000000" w14:paraId="0000005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Treasury Management:</w:t>
      </w:r>
      <w:r w:rsidDel="00000000" w:rsidR="00000000" w:rsidRPr="00000000">
        <w:rPr>
          <w:rtl w:val="0"/>
        </w:rPr>
        <w:t xml:space="preserve"> The multi-sig treasury (Safe) is accountable to $CAT holders for major asset movements and emergency actions.</w:t>
      </w:r>
    </w:p>
    <w:p w:rsidR="00000000" w:rsidDel="00000000" w:rsidP="00000000" w:rsidRDefault="00000000" w:rsidRPr="00000000" w14:paraId="0000005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Partnership Ratification:</w:t>
      </w:r>
      <w:r w:rsidDel="00000000" w:rsidR="00000000" w:rsidRPr="00000000">
        <w:rPr>
          <w:rtl w:val="0"/>
        </w:rPr>
        <w:t xml:space="preserve"> Decisions to bring on global partners like the UN or OID Inc. require the endorsement of capital stakeholders to ensure alignment with the DAO's long-term sustainability.</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By using quadratic voting and vote-escrow mechanics, the $CAT system discourages short-term speculation. This is particularly relevant for the project's aim of raising $500,000 to $1M in its first year through a mix of grants and strategic pre-sales.</w:t>
      </w:r>
    </w:p>
    <w:p w:rsidR="00000000" w:rsidDel="00000000" w:rsidP="00000000" w:rsidRDefault="00000000" w:rsidRPr="00000000" w14:paraId="0000005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Citizen House ($WORK): Operational Meritocracy</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Citizen House is governed by the $WORK token, which is non-transferable and soulbound to the contributor's identity. This chamber acts as the "House of Representatives," representing the residents and operators who keep the mesh network running on the ground at sites like Fordham Hill.</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earning mechanics for $WORK are designed to reflect the "Entropy Reduction" theory mentioned in the strategic audit—where value is defined by actions that bring order and clarity to the community.</w:t>
      </w:r>
    </w:p>
    <w:p w:rsidR="00000000" w:rsidDel="00000000" w:rsidP="00000000" w:rsidRDefault="00000000" w:rsidRPr="00000000" w14:paraId="0000005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Proof of Service:</w:t>
      </w:r>
      <w:r w:rsidDel="00000000" w:rsidR="00000000" w:rsidRPr="00000000">
        <w:rPr>
          <w:rtl w:val="0"/>
        </w:rPr>
        <w:t xml:space="preserve"> Running a node for 30 days earns 100 $WORK, creating a direct link between infrastructure uptime and governance influence.</w:t>
      </w:r>
    </w:p>
    <w:p w:rsidR="00000000" w:rsidDel="00000000" w:rsidP="00000000" w:rsidRDefault="00000000" w:rsidRPr="00000000" w14:paraId="0000005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High-Stakes Deployment:</w:t>
      </w:r>
      <w:r w:rsidDel="00000000" w:rsidR="00000000" w:rsidRPr="00000000">
        <w:rPr>
          <w:rtl w:val="0"/>
        </w:rPr>
        <w:t xml:space="preserve"> Deploying an OpenMANET node in a disaster zone (such as the St. Maarten recovery project) grants 500 $WORK, reflecting the higher risk and value of that labor.</w:t>
      </w:r>
    </w:p>
    <w:p w:rsidR="00000000" w:rsidDel="00000000" w:rsidP="00000000" w:rsidRDefault="00000000" w:rsidRPr="00000000" w14:paraId="0000005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Operational Roles:</w:t>
      </w:r>
      <w:r w:rsidDel="00000000" w:rsidR="00000000" w:rsidRPr="00000000">
        <w:rPr>
          <w:rtl w:val="0"/>
        </w:rPr>
        <w:t xml:space="preserve"> Reaching 2,000 $WORK is the required threshold to run for a Steward position, ensuring that only experienced contributors lead the guilds.</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This bicameral split addresses the "Free Rider" problem. In traditional corporations, labor is a cost to be minimized. In the Cataclysm DAO, labor is the mechanism through which governance power is earned, making the community "owners" of the infrastructure they operate.</w:t>
      </w:r>
    </w:p>
    <w:p w:rsidR="00000000" w:rsidDel="00000000" w:rsidP="00000000" w:rsidRDefault="00000000" w:rsidRPr="00000000" w14:paraId="0000005E">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Advanced Tokenomics: The Tri-Token Suite and the Shape Attribution Protocol</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project's economic model is built on the "Iceberg Model," which distinguishes between the visible technical assets (the 10G lab, the global KVM backbone) and the invisible value generated by community interactions and AI-driven "entropy reduction". The tri-token suite ($CAT, $WORK, $CRED) is the engine that captures this value and prevents it from being extracted by external shareholders.</w:t>
      </w:r>
    </w:p>
    <w:p w:rsidR="00000000" w:rsidDel="00000000" w:rsidP="00000000" w:rsidRDefault="00000000" w:rsidRPr="00000000" w14:paraId="0000006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Shape Attribution Protocol</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most innovative aspect of the Cataclysm economy is the "Shape Attribution Protocol." This system moves away from "labor-centric" economics toward a mathematical model of value based on entropy.</w:t>
      </w:r>
    </w:p>
    <w:p w:rsidR="00000000" w:rsidDel="00000000" w:rsidP="00000000" w:rsidRDefault="00000000" w:rsidRPr="00000000" w14:paraId="0000006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Mechanism:</w:t>
      </w:r>
      <w:r w:rsidDel="00000000" w:rsidR="00000000" w:rsidRPr="00000000">
        <w:rPr>
          <w:rtl w:val="0"/>
        </w:rPr>
        <w:t xml:space="preserve"> Contributions are evaluated based on how much they "reduce entropy" (i.e., solve problems, provide clarity, or increase the order of the system).</w:t>
      </w:r>
    </w:p>
    <w:p w:rsidR="00000000" w:rsidDel="00000000" w:rsidP="00000000" w:rsidRDefault="00000000" w:rsidRPr="00000000" w14:paraId="0000006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Implementation:</w:t>
      </w:r>
      <w:r w:rsidDel="00000000" w:rsidR="00000000" w:rsidRPr="00000000">
        <w:rPr>
          <w:rtl w:val="0"/>
        </w:rPr>
        <w:t xml:space="preserve"> A resident processing local business data through a node is reducing entropy for that business. The system mathematically assigns credit for this order-creation, which is then paid out in $CRED or $WORK.</w:t>
      </w:r>
    </w:p>
    <w:p w:rsidR="00000000" w:rsidDel="00000000" w:rsidP="00000000" w:rsidRDefault="00000000" w:rsidRPr="00000000" w14:paraId="0000006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Implication:</w:t>
      </w:r>
      <w:r w:rsidDel="00000000" w:rsidR="00000000" w:rsidRPr="00000000">
        <w:rPr>
          <w:rtl w:val="0"/>
        </w:rPr>
        <w:t xml:space="preserve"> This prevents the "speculative bubble" effect often seen in crypto. If a token's value is tied to the actual reduction of entropy (useful work) rather than mere hype, the economy remains grounded in reality.</w:t>
      </w:r>
    </w:p>
    <w:p w:rsidR="00000000" w:rsidDel="00000000" w:rsidP="00000000" w:rsidRDefault="00000000" w:rsidRPr="00000000" w14:paraId="00000065">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$CRED: The Local Economic Engine</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$CRED is designed as a stable, spend-limited local currency. It is not intended to trade on open exchanges but to circulate within micro-economies like Fordham Hill to increase local purchasing power.</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Feature</w:t>
            </w:r>
          </w:p>
        </w:tc>
        <w:tc>
          <w:tcPr>
            <w:shd w:fill="auto" w:val="clear"/>
            <w:tcMar>
              <w:top w:w="0.0" w:type="dxa"/>
              <w:left w:w="0.0" w:type="dxa"/>
              <w:bottom w:w="0.0" w:type="dxa"/>
              <w:right w:w="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$CRED Functionality</w:t>
            </w:r>
          </w:p>
        </w:tc>
        <w:tc>
          <w:tcPr>
            <w:shd w:fill="auto" w:val="clear"/>
            <w:tcMar>
              <w:top w:w="0.0" w:type="dxa"/>
              <w:left w:w="0.0" w:type="dxa"/>
              <w:bottom w:w="0.0" w:type="dxa"/>
              <w:right w:w="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Strategic Purpose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Peg</w:t>
            </w:r>
          </w:p>
        </w:tc>
        <w:tc>
          <w:tcPr>
            <w:shd w:fill="auto" w:val="clear"/>
            <w:tcMar>
              <w:top w:w="0.0" w:type="dxa"/>
              <w:left w:w="0.0" w:type="dxa"/>
              <w:bottom w:w="0.0" w:type="dxa"/>
              <w:right w:w="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1:1 with USD (backed by USDC)</w:t>
            </w:r>
          </w:p>
        </w:tc>
        <w:tc>
          <w:tcPr>
            <w:shd w:fill="auto" w:val="clear"/>
            <w:tcMar>
              <w:top w:w="0.0" w:type="dxa"/>
              <w:left w:w="0.0" w:type="dxa"/>
              <w:bottom w:w="0.0" w:type="dxa"/>
              <w:right w:w="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Ensures price stability for residents]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Backing</w:t>
            </w:r>
          </w:p>
        </w:tc>
        <w:tc>
          <w:tcPr>
            <w:shd w:fill="auto" w:val="clear"/>
            <w:tcMar>
              <w:top w:w="0.0" w:type="dxa"/>
              <w:left w:w="0.0" w:type="dxa"/>
              <w:bottom w:w="0.0" w:type="dxa"/>
              <w:right w:w="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Fully collateralized in DAO Treasury</w:t>
            </w:r>
          </w:p>
        </w:tc>
        <w:tc>
          <w:tcPr>
            <w:shd w:fill="auto" w:val="clear"/>
            <w:tcMar>
              <w:top w:w="0.0" w:type="dxa"/>
              <w:left w:w="0.0" w:type="dxa"/>
              <w:bottom w:w="0.0" w:type="dxa"/>
              <w:right w:w="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Mitigates the risk of currency collapse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Spend-Limits</w:t>
            </w:r>
          </w:p>
        </w:tc>
        <w:tc>
          <w:tcPr>
            <w:shd w:fill="auto" w:val="clear"/>
            <w:tcMar>
              <w:top w:w="0.0" w:type="dxa"/>
              <w:left w:w="0.0" w:type="dxa"/>
              <w:bottom w:w="0.0" w:type="dxa"/>
              <w:right w:w="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Only redeemable at approved vendors</w:t>
            </w:r>
          </w:p>
        </w:tc>
        <w:tc>
          <w:tcPr>
            <w:shd w:fill="auto" w:val="clear"/>
            <w:tcMar>
              <w:top w:w="0.0" w:type="dxa"/>
              <w:left w:w="0.0" w:type="dxa"/>
              <w:bottom w:w="0.0" w:type="dxa"/>
              <w:right w:w="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Forces value to circulate locally (3.32x multiplier)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Earnings</w:t>
            </w:r>
          </w:p>
        </w:tc>
        <w:tc>
          <w:tcPr>
            <w:shd w:fill="auto" w:val="clear"/>
            <w:tcMar>
              <w:top w:w="0.0" w:type="dxa"/>
              <w:left w:w="0.0" w:type="dxa"/>
              <w:bottom w:w="0.0" w:type="dxa"/>
              <w:right w:w="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100 $CRED/month for node operation</w:t>
            </w:r>
          </w:p>
        </w:tc>
        <w:tc>
          <w:tcPr>
            <w:shd w:fill="auto" w:val="clear"/>
            <w:tcMar>
              <w:top w:w="0.0" w:type="dxa"/>
              <w:left w:w="0.0" w:type="dxa"/>
              <w:bottom w:w="0.0" w:type="dxa"/>
              <w:right w:w="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Provides a predictable "UBI-like" reward for labor</w:t>
            </w:r>
          </w:p>
        </w:tc>
      </w:tr>
    </w:tbl>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five-year projection for Fordham Hill illustrates the power of this model. By using $CRED and a "Bulk-Purchase-Delivery Container," the project aims to save residents 25% on groceries while generating $43.2 million in local economic impact. This is a 4.4x increase in profit retention compared to traditional management models where maintenance fees and vendor profits leak out of the community.</w:t>
      </w:r>
    </w:p>
    <w:p w:rsidR="00000000" w:rsidDel="00000000" w:rsidP="00000000" w:rsidRDefault="00000000" w:rsidRPr="00000000" w14:paraId="00000077">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Legal Restructuring: Navigating the "Dual-Entity" Paradigm</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transition from Cataclysm Studios Inc. (an S-corp) to a Wyoming DAO LLC and a Benefit LLC is a proactive strategy to balance decentralized governance with the "real-world" requirements of liability protection and institutional contracting.</w:t>
      </w:r>
    </w:p>
    <w:p w:rsidR="00000000" w:rsidDel="00000000" w:rsidP="00000000" w:rsidRDefault="00000000" w:rsidRPr="00000000" w14:paraId="0000007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Wyoming DAO LLC: The Sovereign Core</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choice of Wyoming for the DAO LLC is strategically sound due to the state's pioneering legal recognition of DAOs as a specific type of LLC.</w:t>
      </w:r>
    </w:p>
    <w:p w:rsidR="00000000" w:rsidDel="00000000" w:rsidP="00000000" w:rsidRDefault="00000000" w:rsidRPr="00000000" w14:paraId="0000007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IP and Brand Sovereignty:</w:t>
      </w:r>
      <w:r w:rsidDel="00000000" w:rsidR="00000000" w:rsidRPr="00000000">
        <w:rPr>
          <w:rtl w:val="0"/>
        </w:rPr>
        <w:t xml:space="preserve"> The Wyoming DAO LLC will be the ultimate owner of the PMOVES.AI codebase, the CHIT patents, and the Cataclysm brand. This ensures that the "Technical Soul" of the project is owned by the community, not a group of founders.</w:t>
      </w:r>
    </w:p>
    <w:p w:rsidR="00000000" w:rsidDel="00000000" w:rsidP="00000000" w:rsidRDefault="00000000" w:rsidRPr="00000000" w14:paraId="0000007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Liability Shield:</w:t>
      </w:r>
      <w:r w:rsidDel="00000000" w:rsidR="00000000" w:rsidRPr="00000000">
        <w:rPr>
          <w:rtl w:val="0"/>
        </w:rPr>
        <w:t xml:space="preserve"> Without a legal entity, DAO members could be viewed as a "general partnership," exposing them to personal liability for the DAO's actions. The LLC structure provides the "corporate veil" necessary for residents to safely host nodes in their homes].</w:t>
      </w:r>
    </w:p>
    <w:p w:rsidR="00000000" w:rsidDel="00000000" w:rsidP="00000000" w:rsidRDefault="00000000" w:rsidRPr="00000000" w14:paraId="0000007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Operating Agreement as Code:</w:t>
      </w:r>
      <w:r w:rsidDel="00000000" w:rsidR="00000000" w:rsidRPr="00000000">
        <w:rPr>
          <w:rtl w:val="0"/>
        </w:rPr>
        <w:t xml:space="preserve"> The 2024 update to Wyoming's law allows for the DAO's smart contracts and Snapshot voting rules to be directly referenced in its legal Operating Agreement].</w:t>
      </w:r>
    </w:p>
    <w:p w:rsidR="00000000" w:rsidDel="00000000" w:rsidP="00000000" w:rsidRDefault="00000000" w:rsidRPr="00000000" w14:paraId="0000007E">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PMOVES Operations Benefit LLC: The Institutional Interface</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Benefit LLC acts as the "operational arm" that is 100% owned by the DAO. This separation is crucial for high-stakes partnerships with the UN or the World Bank.</w:t>
      </w:r>
    </w:p>
    <w:p w:rsidR="00000000" w:rsidDel="00000000" w:rsidP="00000000" w:rsidRDefault="00000000" w:rsidRPr="00000000" w14:paraId="0000008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Grants and Contracts:</w:t>
      </w:r>
      <w:r w:rsidDel="00000000" w:rsidR="00000000" w:rsidRPr="00000000">
        <w:rPr>
          <w:rtl w:val="0"/>
        </w:rPr>
        <w:t xml:space="preserve"> Institutional grant-makers often require a "Social Enterprise" or "Benefit Corporation" status to satisfy their own compliance mandates. The Benefit LLC serves this purpose while funneling 100% of profits back to the DAO treasury.</w:t>
      </w:r>
    </w:p>
    <w:p w:rsidR="00000000" w:rsidDel="00000000" w:rsidP="00000000" w:rsidRDefault="00000000" w:rsidRPr="00000000" w14:paraId="0000008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Employment and Physical Ops:</w:t>
      </w:r>
      <w:r w:rsidDel="00000000" w:rsidR="00000000" w:rsidRPr="00000000">
        <w:rPr>
          <w:rtl w:val="0"/>
        </w:rPr>
        <w:t xml:space="preserve"> The Benefit LLC handles the "messy" reality of hiring staff, signing leases for lab space, and paying taxes in jurisdictions like New York.</w:t>
      </w:r>
    </w:p>
    <w:p w:rsidR="00000000" w:rsidDel="00000000" w:rsidP="00000000" w:rsidRDefault="00000000" w:rsidRPr="00000000" w14:paraId="0000008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F-Reorganization:</w:t>
      </w:r>
      <w:r w:rsidDel="00000000" w:rsidR="00000000" w:rsidRPr="00000000">
        <w:rPr>
          <w:rtl w:val="0"/>
        </w:rPr>
        <w:t xml:space="preserve"> This tax strategy is planned to facilitate the transition from the old S-corp. If successful, it allows for a tax-free transfer of assets to the new entities, preserving capital for the 2026 pilot deployments.</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One significant legal "Red Flag" identified in the analysis is the status of the $CAT token as a potential security. The project has correctly budgeted for a specialized token lawyer in Month 2 of the 2026 plan to address this. Given the utility-heavy nature of $CAT (governance and access control) and the absence of dividend rights, the project is positioning the token as a utility instrument, which a formal legal opinion will need to solidify [, S_W3, S_W13].</w:t>
      </w:r>
    </w:p>
    <w:p w:rsidR="00000000" w:rsidDel="00000000" w:rsidP="00000000" w:rsidRDefault="00000000" w:rsidRPr="00000000" w14:paraId="00000084">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Technical Architecture and the Zero-Retention Framework</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PMOVES.AI engine is the "Technical Soul" of the Cataclysm ecosystem. Its primary technical differentiator is "Provably Private Compute" (PPC), which replaces the "trust-us" promises of centralized AI with a technical guarantee of data destruction.</w:t>
      </w:r>
    </w:p>
    <w:p w:rsidR="00000000" w:rsidDel="00000000" w:rsidP="00000000" w:rsidRDefault="00000000" w:rsidRPr="00000000" w14:paraId="0000008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Zero-Retention Stack</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project utilizes a multi-layered stack to ensure that sensitive user data is never stored on disk. This is a critical requirement for the UN and medical mission use cases where data breaches could have life-or-death consequences.</w:t>
      </w:r>
    </w:p>
    <w:p w:rsidR="00000000" w:rsidDel="00000000" w:rsidP="00000000" w:rsidRDefault="00000000" w:rsidRPr="00000000" w14:paraId="00000088">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Firecracker MicroVMs:</w:t>
      </w:r>
      <w:r w:rsidDel="00000000" w:rsidR="00000000" w:rsidRPr="00000000">
        <w:rPr>
          <w:rtl w:val="0"/>
        </w:rPr>
        <w:t xml:space="preserve"> Each user request is processed in an ephemeral, hardware-isolated sandbox. These are "Firecracker" VMs that are created and destroyed for every single transaction.</w:t>
      </w:r>
    </w:p>
    <w:p w:rsidR="00000000" w:rsidDel="00000000" w:rsidP="00000000" w:rsidRDefault="00000000" w:rsidRPr="00000000" w14:paraId="00000089">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Venice.ai Integration:</w:t>
      </w:r>
      <w:r w:rsidDel="00000000" w:rsidR="00000000" w:rsidRPr="00000000">
        <w:rPr>
          <w:rtl w:val="0"/>
        </w:rPr>
        <w:t xml:space="preserve"> For high-performance inference that exceeds local edge node capacity, the system offloads to Venice.ai, which provides private, uncensored access to large models.</w:t>
      </w:r>
    </w:p>
    <w:p w:rsidR="00000000" w:rsidDel="00000000" w:rsidP="00000000" w:rsidRDefault="00000000" w:rsidRPr="00000000" w14:paraId="0000008A">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E2B Sandboxing:</w:t>
      </w:r>
      <w:r w:rsidDel="00000000" w:rsidR="00000000" w:rsidRPr="00000000">
        <w:rPr>
          <w:rtl w:val="0"/>
        </w:rPr>
        <w:t xml:space="preserve"> Tool execution by AI agents (such as code interpretation or data processing) occurs within isolated E2B sandboxes. This prevents "hallucinations" or malicious code from affecting the host node.</w:t>
      </w:r>
    </w:p>
    <w:p w:rsidR="00000000" w:rsidDel="00000000" w:rsidP="00000000" w:rsidRDefault="00000000" w:rsidRPr="00000000" w14:paraId="0000008B">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NATS Messaging Bus:</w:t>
      </w:r>
      <w:r w:rsidDel="00000000" w:rsidR="00000000" w:rsidRPr="00000000">
        <w:rPr>
          <w:rtl w:val="0"/>
        </w:rPr>
        <w:t xml:space="preserve"> The entire system is orchestrated through a NATS "JetStream" backbone, which allows for horizontal scaling and fault isolation between different microservices like Agent Zero and Archon.</w:t>
      </w:r>
    </w:p>
    <w:p w:rsidR="00000000" w:rsidDel="00000000" w:rsidP="00000000" w:rsidRDefault="00000000" w:rsidRPr="00000000" w14:paraId="0000008C">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Identity and Access Management (IAM) 2026</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IAM strategy for 2026 emphasizes a "Buy" approach using WorkOS to manage the dual identities of B2C and B2B users.</w:t>
      </w:r>
    </w:p>
    <w:p w:rsidR="00000000" w:rsidDel="00000000" w:rsidP="00000000" w:rsidRDefault="00000000" w:rsidRPr="00000000" w14:paraId="0000008E">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Zero-Trust Networking:</w:t>
      </w:r>
      <w:r w:rsidDel="00000000" w:rsidR="00000000" w:rsidRPr="00000000">
        <w:rPr>
          <w:rtl w:val="0"/>
        </w:rPr>
        <w:t xml:space="preserve"> The system uses a self-hosted Headscale control plane and WireGuard tunnels. This eliminates the risk of third-party vendors (like Tailscale or Cloudflare) having access to the encryption keys.</w:t>
      </w:r>
    </w:p>
    <w:p w:rsidR="00000000" w:rsidDel="00000000" w:rsidP="00000000" w:rsidRDefault="00000000" w:rsidRPr="00000000" w14:paraId="0000008F">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Progressive Disclosure:</w:t>
      </w:r>
      <w:r w:rsidDel="00000000" w:rsidR="00000000" w:rsidRPr="00000000">
        <w:rPr>
          <w:rtl w:val="0"/>
        </w:rPr>
        <w:t xml:space="preserve"> To prevent "Context Pollution" for AI agents, the system uses a "Progressive Disclosure" model. Agents only retrieve specific "pivot files" (SKILL.md) when needed, ensuring data is not unnecessarily exposed across the entire mesh.</w:t>
      </w:r>
    </w:p>
    <w:p w:rsidR="00000000" w:rsidDel="00000000" w:rsidP="00000000" w:rsidRDefault="00000000" w:rsidRPr="00000000" w14:paraId="00000090">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Hierarchical Agent Roles:</w:t>
      </w:r>
      <w:r w:rsidDel="00000000" w:rsidR="00000000" w:rsidRPr="00000000">
        <w:rPr>
          <w:rtl w:val="0"/>
        </w:rPr>
        <w:t xml:space="preserve"> Safety is maintained through a hierarchy of models. "Haiku" acts as a low-latency "Auditor" to check commands for safety before the more powerful "Opus" model executes them.</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This technical depth is what allows the project to claim it is building "provably private" infrastructure. The pmoves-ppc-audit toolkit is intended to be open-sourced so that third parties can verify these claims independently—a key success metric for the Month 1-4 validation phase.</w:t>
      </w:r>
    </w:p>
    <w:p w:rsidR="00000000" w:rsidDel="00000000" w:rsidP="00000000" w:rsidRDefault="00000000" w:rsidRPr="00000000" w14:paraId="0000009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Strategic Roadmap and 2026 Funding Strategy</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project's success hinges on a 12-month grant period divided into three concurrent workstreams: legal foundation, technical validation, and pilot community deployments.</w:t>
      </w:r>
    </w:p>
    <w:p w:rsidR="00000000" w:rsidDel="00000000" w:rsidP="00000000" w:rsidRDefault="00000000" w:rsidRPr="00000000" w14:paraId="0000009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90-Day Execution Roadmap: Fordham Hill Pilot</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immediate focus is the 90-day rollout at Fordham Hill, which serves as the "crucible" for the entire DAO model.</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Phase</w:t>
            </w:r>
          </w:p>
        </w:tc>
        <w:tc>
          <w:tcPr>
            <w:shd w:fill="auto" w:val="clear"/>
            <w:tcMar>
              <w:top w:w="0.0" w:type="dxa"/>
              <w:left w:w="0.0" w:type="dxa"/>
              <w:bottom w:w="0.0" w:type="dxa"/>
              <w:right w:w="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Duration</w:t>
            </w:r>
          </w:p>
        </w:tc>
        <w:tc>
          <w:tcPr>
            <w:shd w:fill="auto" w:val="clear"/>
            <w:tcMar>
              <w:top w:w="0.0" w:type="dxa"/>
              <w:left w:w="0.0" w:type="dxa"/>
              <w:bottom w:w="0.0" w:type="dxa"/>
              <w:right w:w="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Key Milestones</w:t>
            </w:r>
          </w:p>
        </w:tc>
        <w:tc>
          <w:tcPr>
            <w:shd w:fill="auto" w:val="clear"/>
            <w:tcMar>
              <w:top w:w="0.0" w:type="dxa"/>
              <w:left w:w="0.0" w:type="dxa"/>
              <w:bottom w:w="0.0" w:type="dxa"/>
              <w:right w:w="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Status/Deliverables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Phase 1</w:t>
            </w:r>
          </w:p>
        </w:tc>
        <w:tc>
          <w:tcPr>
            <w:shd w:fill="auto" w:val="clear"/>
            <w:tcMar>
              <w:top w:w="0.0" w:type="dxa"/>
              <w:left w:w="0.0" w:type="dxa"/>
              <w:bottom w:w="0.0" w:type="dxa"/>
              <w:right w:w="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Days 0–14</w:t>
            </w:r>
          </w:p>
        </w:tc>
        <w:tc>
          <w:tcPr>
            <w:shd w:fill="auto" w:val="clear"/>
            <w:tcMar>
              <w:top w:w="0.0" w:type="dxa"/>
              <w:left w:w="0.0" w:type="dxa"/>
              <w:bottom w:w="0.0" w:type="dxa"/>
              <w:right w:w="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Multi-sig (Safe) setup; Snapshot deployment</w:t>
            </w:r>
          </w:p>
        </w:tc>
        <w:tc>
          <w:tcPr>
            <w:shd w:fill="auto" w:val="clear"/>
            <w:tcMar>
              <w:top w:w="0.0" w:type="dxa"/>
              <w:left w:w="0.0" w:type="dxa"/>
              <w:bottom w:w="0.0" w:type="dxa"/>
              <w:right w:w="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Constitution ratified; 5-10 operators recruited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Phase 2</w:t>
            </w:r>
          </w:p>
        </w:tc>
        <w:tc>
          <w:tcPr>
            <w:shd w:fill="auto" w:val="clear"/>
            <w:tcMar>
              <w:top w:w="0.0" w:type="dxa"/>
              <w:left w:w="0.0" w:type="dxa"/>
              <w:bottom w:w="0.0" w:type="dxa"/>
              <w:right w:w="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Days 15–45</w:t>
            </w:r>
          </w:p>
        </w:tc>
        <w:tc>
          <w:tcPr>
            <w:shd w:fill="auto" w:val="clear"/>
            <w:tcMar>
              <w:top w:w="0.0" w:type="dxa"/>
              <w:left w:w="0.0" w:type="dxa"/>
              <w:bottom w:w="0.0" w:type="dxa"/>
              <w:right w:w="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Activation of AI services (OCR, Transcoding)</w:t>
            </w:r>
          </w:p>
        </w:tc>
        <w:tc>
          <w:tcPr>
            <w:shd w:fill="auto" w:val="clear"/>
            <w:tcMar>
              <w:top w:w="0.0" w:type="dxa"/>
              <w:left w:w="0.0" w:type="dxa"/>
              <w:bottom w:w="0.0" w:type="dxa"/>
              <w:right w:w="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Revenue generation begins; Creator Pod #1 launch</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Phase 3</w:t>
            </w:r>
          </w:p>
        </w:tc>
        <w:tc>
          <w:tcPr>
            <w:shd w:fill="auto" w:val="clear"/>
            <w:tcMar>
              <w:top w:w="0.0" w:type="dxa"/>
              <w:left w:w="0.0" w:type="dxa"/>
              <w:bottom w:w="0.0" w:type="dxa"/>
              <w:right w:w="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Days 46–90</w:t>
            </w:r>
          </w:p>
        </w:tc>
        <w:tc>
          <w:tcPr>
            <w:shd w:fill="auto" w:val="clear"/>
            <w:tcMar>
              <w:top w:w="0.0" w:type="dxa"/>
              <w:left w:w="0.0" w:type="dxa"/>
              <w:bottom w:w="0.0" w:type="dxa"/>
              <w:right w:w="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Seed Grants distribution; KPI Reporting</w:t>
            </w:r>
          </w:p>
        </w:tc>
        <w:tc>
          <w:tcPr>
            <w:shd w:fill="auto" w:val="clear"/>
            <w:tcMar>
              <w:top w:w="0.0" w:type="dxa"/>
              <w:left w:w="0.0" w:type="dxa"/>
              <w:bottom w:w="0.0" w:type="dxa"/>
              <w:right w:w="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First impact report; $CAT distribution ratified</w:t>
            </w:r>
          </w:p>
        </w:tc>
      </w:tr>
    </w:tbl>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This phase is critical for validating the "Bulk-Purchase" business container logic, which is the primary source of the projected 25% savings on groceries for residents.</w:t>
      </w:r>
    </w:p>
    <w:p w:rsidR="00000000" w:rsidDel="00000000" w:rsidP="00000000" w:rsidRDefault="00000000" w:rsidRPr="00000000" w14:paraId="000000A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2026 Global Funding Tracks</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scale beyond the Bronx, the organization has identified three major funding tracks for 2026.</w:t>
      </w:r>
    </w:p>
    <w:p w:rsidR="00000000" w:rsidDel="00000000" w:rsidP="00000000" w:rsidRDefault="00000000" w:rsidRPr="00000000" w14:paraId="000000A9">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NYC Digital Equity (Feb 2026):</w:t>
      </w:r>
      <w:r w:rsidDel="00000000" w:rsidR="00000000" w:rsidRPr="00000000">
        <w:rPr>
          <w:rtl w:val="0"/>
        </w:rPr>
        <w:t xml:space="preserve"> Targeting the Q2L NYC Public School pilot with a $3,116 budget to enable linguistic equity for English Language Learner families.</w:t>
      </w:r>
    </w:p>
    <w:p w:rsidR="00000000" w:rsidDel="00000000" w:rsidP="00000000" w:rsidRDefault="00000000" w:rsidRPr="00000000" w14:paraId="000000AA">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Higher Education Research (Mar 2026):</w:t>
      </w:r>
      <w:r w:rsidDel="00000000" w:rsidR="00000000" w:rsidRPr="00000000">
        <w:rPr>
          <w:rtl w:val="0"/>
        </w:rPr>
        <w:t xml:space="preserve"> A $3,550 pilot for the UNCG Nursing School node to build medical AI training infrastructure.</w:t>
      </w:r>
    </w:p>
    <w:p w:rsidR="00000000" w:rsidDel="00000000" w:rsidP="00000000" w:rsidRDefault="00000000" w:rsidRPr="00000000" w14:paraId="000000AB">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UNFCU Foundation Grant (June 2026):</w:t>
      </w:r>
      <w:r w:rsidDel="00000000" w:rsidR="00000000" w:rsidRPr="00000000">
        <w:rPr>
          <w:rtl w:val="0"/>
        </w:rPr>
        <w:t xml:space="preserve"> A strategic push for $25,000 to $50,000 to support refugee livelihood training and digital literacy.</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These small, tactical pilots are designed to build the "Social Proof" necessary to secure larger federal and international grants. The organization's ultimate funding goal for Year 1 is $500,000, which includes a target of $275,000 from the NSF SBIR Phase I for humanitarian AI.</w:t>
      </w:r>
    </w:p>
    <w:p w:rsidR="00000000" w:rsidDel="00000000" w:rsidP="00000000" w:rsidRDefault="00000000" w:rsidRPr="00000000" w14:paraId="000000AD">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Integrated Recommendations for Achieving "DAO Readiness"</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Based on the exhaustive audit of the research materials and the accuracy review of the project's foundational documents, the following strategic recommendations are provided to ensure the successful launch of the Cataclysm Studios DAO.</w:t>
      </w:r>
    </w:p>
    <w:p w:rsidR="00000000" w:rsidDel="00000000" w:rsidP="00000000" w:rsidRDefault="00000000" w:rsidRPr="00000000" w14:paraId="000000A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Execute the Document "Source of Truth" Consolidation</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organization must immediately address the document fragmentation identified in the drive audit. The "Master Document Suite" (Vision Deck, One-Pager, Technical White Paper, and Budget) should be moved to a dedicated, read-only "Grant Application Master" folder. Duplicate versions of board decks must be archived to prevent "governance drift" where decisions are made based on v0.2 metrics while the system is operating on v0.5 logic.</w:t>
      </w:r>
    </w:p>
    <w:p w:rsidR="00000000" w:rsidDel="00000000" w:rsidP="00000000" w:rsidRDefault="00000000" w:rsidRPr="00000000" w14:paraId="000000B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 Formalize the Legal Structure and Asset Transfer</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transition from the S-corp to the Wyoming DAO LLC and the Benefit LLC is the most critical path for liability protection. The organization must follow through on the Week 1-2 filing plan and the Week 3-4 asset transfer. The "F-reorganization" must be formally documented by tax counsel to ensure that the intellectual property (PMOVES.AI, CHIT patents) is legally transferred to the community without a crippling tax event.</w:t>
      </w:r>
    </w:p>
    <w:p w:rsidR="00000000" w:rsidDel="00000000" w:rsidP="00000000" w:rsidRDefault="00000000" w:rsidRPr="00000000" w14:paraId="000000B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 Update and Standardize Guild Charters</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"DAO Governance &amp; Readiness Analysis" should be updated to include the specific mandates and KPIs already defined for the Creator and Wealth &amp; Learning guilds in the broader workspace. Standardizing these charters now will prevent conflict during the Month 4 "First Official DAO Vote".</w:t>
      </w:r>
    </w:p>
    <w:p w:rsidR="00000000" w:rsidDel="00000000" w:rsidP="00000000" w:rsidRDefault="00000000" w:rsidRPr="00000000" w14:paraId="000000B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 Implement Technical Auditability</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To meet the "Technical Validation" goal in Month 4, the organization must complete the pmoves-ppc-audit toolkit. This is the "Killer Differentiator" for humanitarian grants. Proving that data is destroyed in Firecracker VMs through open-source, verifiable code will separate Cataclysm from the myriad of "AI Wrapper" companies competing for the same funding.</w:t>
      </w:r>
    </w:p>
    <w:p w:rsidR="00000000" w:rsidDel="00000000" w:rsidP="00000000" w:rsidRDefault="00000000" w:rsidRPr="00000000" w14:paraId="000000B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 Finalize the $CAT Legal Opinion</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Month 2 goal of hiring a token lawyer and getting a formal legal opinion on $CAT must be a top priority. This opinion will be necessary to facilitate any "Token Pre-Sale" or strategic distributions to partners like the UN or OID Inc.. The opinion should focus on the utility nature of $CAT—specifically its role in governance, budget oversight, and access to private compute resources].</w:t>
      </w:r>
    </w:p>
    <w:p w:rsidR="00000000" w:rsidDel="00000000" w:rsidP="00000000" w:rsidRDefault="00000000" w:rsidRPr="00000000" w14:paraId="000000B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6. Bridge the Gap Between Technical and Resident Documentation</w:t>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"Residents Deck" should be expanded to include more plain-language explanations of the "Shape Attribution" model and how $WORK is earned. Residents need to understand that their "Home Nodes" are not just passive appliances but are the active source of their governance power in the Citizen House.</w:t>
      </w:r>
    </w:p>
    <w:p w:rsidR="00000000" w:rsidDel="00000000" w:rsidP="00000000" w:rsidRDefault="00000000" w:rsidRPr="00000000" w14:paraId="000000BB">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Conclusion: The Path Forward for Cataclysm Studios</w:t>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Cataclysm Studios is at a transformative moment where visionary architectural blueprints are meeting the rigorous demands of legal and technical execution. The proposed bicameral governance model and tri-token economic suite are remarkably sophisticated and address the fundamental tensions between capital, labor, and privacy in the AI era.</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The transition to a Wyoming DAO LLC provides the necessary legal personhood to interface with global institutions, while the "Provably Private Compute" architecture provides the technical integrity required for high-stakes humanitarian missions. By executing the recommended workspace organization, legal filings, and technical audits, Cataclysm Studios can transition from a promising pilot in the Bronx to a global model for community-owned, sovereign AI infrastructure. The 90-day rollout in early 2026 will be the definitive proof-of-concept for this "resident-owned alternative," paving the way for a $100M ecosystem by 2030.</w:t>
      </w:r>
    </w:p>
    <w:p w:rsidR="00000000" w:rsidDel="00000000" w:rsidP="00000000" w:rsidRDefault="00000000" w:rsidRPr="00000000" w14:paraId="000000BE">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Works cited</w:t>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Grant Proposal: PMOVES.AI - Provably Private AI Infrastructure for Humanitarian and Community Empowerment, https://drive.google.com/open?id=1gfKig8NR322y2sB11V713HQpU9-Qg-aTlMUMtS6gxy8 2. PMOVES restructure chat.pdf, https://drive.google.com/open?id=1ds8bSjHQZ-19R-ZtrWz3DDrbakmJx0pU 3. PMOVES.AI Agentic Architecture Deep Dive, https://drive.google.com/open?id=1aKNl5yassgw1tYM4FCNO8FGyEHSCZ-1HwaL_jakJ3m4</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