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Appendix — RPE/Cluster Synthesis (v0.1)</w:t>
      </w:r>
    </w:p>
    <w:p>
      <w:r>
        <w:t>We applied lightweight embeddings + soft clustering to your research corpus (MD/DOCX/HTML). Clusters below reflect dominant themes to inform the proposal.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weigh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Topic coverage across the corpus.</w:t>
      </w:r>
    </w:p>
    <w:p>
      <w:pPr>
        <w:pStyle w:val="Heading2"/>
      </w:pPr>
      <w:r>
        <w:t>Cluster 0</w:t>
      </w:r>
    </w:p>
    <w:p>
      <w:r>
        <w:t>Top terms: 000, roi, community, investment, months, payback, 11, token, local, 25</w:t>
      </w:r>
    </w:p>
    <w:p>
      <w:r>
        <w:t>• **Young Adults**: Technology leverage + social impact focus through digital collectives and urban agriculture[^11][^12]</w:t>
      </w:r>
      <w:r>
        <w:t xml:space="preserve">  [Community Wealth Building Through Diverse Resident.md]</w:t>
      </w:r>
    </w:p>
    <w:p>
      <w:r>
        <w:t>• Start with **Young Adults** and **Community College Students** who have high digital fluency and can become peer mentors for other groups.[^11][^25]</w:t>
      </w:r>
      <w:r>
        <w:t xml:space="preserve">  [Community Wealth Building Through Diverse Resident.md]</w:t>
      </w:r>
    </w:p>
    <w:p>
      <w:r>
        <w:t>• - Shared creative studio with AI tools and revenue sharing tokens</w:t>
        <w:br/>
        <w:t>- Capitalizes on tech fluency and social media expertise</w:t>
        <w:br/>
        <w:t>- High scalability serving local businesses and events[^11][^12]</w:t>
      </w:r>
      <w:r>
        <w:t xml:space="preserve">  [Community Wealth Building Through Diverse Resident.md]</w:t>
      </w:r>
    </w:p>
    <w:p>
      <w:r>
        <w:t>• **Young Adults** - **Digital Content Creator Collective** (7,992% ROI)</w:t>
      </w:r>
      <w:r>
        <w:t xml:space="preserve">  [Community Wealth Building Through Diverse Resident.md]</w:t>
      </w:r>
    </w:p>
    <w:p>
      <w:r>
        <w:t>• **Focus on local networks** - build trust and adoption gradually[^6][^8][^20]</w:t>
        <w:br/>
        <w:t>4.</w:t>
      </w:r>
      <w:r>
        <w:t xml:space="preserve">  [5-Year Business Projections_ AI + Tokenomics Model.md]</w:t>
      </w:r>
    </w:p>
    <w:p>
      <w:r>
        <w:t>• ### **Deliverables:**</w:t>
        <w:br/>
        <w:t>- A **system blueprint** covering architecture, technical design, and implementation details.</w:t>
      </w:r>
      <w:r>
        <w:t xml:space="preserve">  [POWERFULMOVES_and TOKENOMICS_DETAILS.md]</w:t>
      </w:r>
    </w:p>
    <w:p>
      <w:pPr>
        <w:pStyle w:val="Heading2"/>
      </w:pPr>
      <w:r>
        <w:t>Cluster 1</w:t>
      </w:r>
    </w:p>
    <w:p>
      <w:r>
        <w:t>Top terms: ai, contract, frontend, backend, blockchain, user, contracts, api, smart, voting</w:t>
      </w:r>
    </w:p>
    <w:p>
      <w:r>
        <w:t>• The architecture would remain the same, just the RPC endpoints and contract addresses change.</w:t>
      </w:r>
      <w:r>
        <w:t xml:space="preserve">  [POWERFULMOVES_and TOKENOMICS_DETAILS.md]</w:t>
      </w:r>
    </w:p>
    <w:p>
      <w:r>
        <w:t>• After deducting the appropriate voting power (simulated by `lockTokens`), the contract adds the *raw vote count* to the proposal’s total.</w:t>
      </w:r>
      <w:r>
        <w:t xml:space="preserve">  [POWERFULMOVES_and TOKENOMICS_DETAILS.md]</w:t>
      </w:r>
    </w:p>
    <w:p>
      <w:r>
        <w:t>• Upon submission, the frontend calls `createProposal` on the DAO contract (user signs the tx).</w:t>
      </w:r>
      <w:r>
        <w:t xml:space="preserve">  [POWERFULMOVES_and TOKENOMICS_DETAILS.md]</w:t>
      </w:r>
    </w:p>
    <w:p>
      <w:r>
        <w:t>• The Node server might expose endpoints that the AI calls when it has results (e.g.</w:t>
      </w:r>
      <w:r>
        <w:t xml:space="preserve">  [POWERFULMOVES_and TOKENOMICS_DETAILS.md]</w:t>
      </w:r>
    </w:p>
    <w:p>
      <w:r>
        <w:t>• For example, if the user asked a question, the planner might route the answer to the TTS engine (H).</w:t>
      </w:r>
      <w:r>
        <w:t xml:space="preserve">  [POWERFULMOVES_and TOKENOMICS_DETAILS.md]</w:t>
      </w:r>
    </w:p>
    <w:p>
      <w:r>
        <w:t>• The member or an AI agent can then also initiate a corresponding group buy order: the frontend calls the backend `POST /api/orders` or directly the `createGroupBuy` on the smart contract.</w:t>
      </w:r>
      <w:r>
        <w:t xml:space="preserve">  [POWERFULMOVES_and TOKENOMICS_DETAILS.md]</w:t>
      </w:r>
    </w:p>
    <w:p>
      <w:pPr>
        <w:pStyle w:val="Heading2"/>
      </w:pPr>
      <w:r>
        <w:t>Cluster 2</w:t>
      </w:r>
    </w:p>
    <w:p>
      <w:r>
        <w:t>Top terms: https, com, www, org, pdf, 10, article, php, index, view</w:t>
      </w:r>
    </w:p>
    <w:p>
      <w:r>
        <w:t>• [^38]: https://risetpress.com/index.php/jcsse/article/view/592</w:t>
      </w:r>
      <w:r>
        <w:t xml:space="preserve">  [Community Wealth Building Through Diverse Resident.md]</w:t>
      </w:r>
    </w:p>
    <w:p>
      <w:r>
        <w:t>• [^33]: https://econjournals.com/index.php/ijeep/article/view/15699</w:t>
      </w:r>
      <w:r>
        <w:t xml:space="preserve">  [5-Year Business Projections_ AI + Tokenomics Model.md]</w:t>
      </w:r>
    </w:p>
    <w:p>
      <w:r>
        <w:t>• [^11]: https://rayyanjurnal.com/index.php/jamparing/article/view/4993</w:t>
      </w:r>
      <w:r>
        <w:t xml:space="preserve">  [Containerized Micro Business Model_ Docker-Like Sc.md]</w:t>
      </w:r>
    </w:p>
    <w:p>
      <w:r>
        <w:t>• [^5]: https://wsj.westscience-press.com/index.php/wsee/article/view/448</w:t>
      </w:r>
      <w:r>
        <w:t xml:space="preserve">  [5-Year Business Projections_ AI + Tokenomics Model.md]</w:t>
      </w:r>
    </w:p>
    <w:p>
      <w:r>
        <w:t>• [^9]: https://ijc.ilearning.co/index.php/ATM/article/view/2363</w:t>
      </w:r>
      <w:r>
        <w:t xml:space="preserve">  [5-Year Business Projections_ AI + Tokenomics Model.md]</w:t>
      </w:r>
    </w:p>
    <w:p>
      <w:r>
        <w:t>• [^12]: https://epress.lib.uts.edu.au/journals/index.php/cjlg/article/download/2413/2649</w:t>
      </w:r>
      <w:r>
        <w:t xml:space="preserve">  [Community Wealth Building Through Diverse Resident.md]</w:t>
      </w:r>
    </w:p>
    <w:p>
      <w:pPr>
        <w:pStyle w:val="Heading2"/>
      </w:pPr>
      <w:r>
        <w:t>Cluster 3</w:t>
      </w:r>
    </w:p>
    <w:p>
      <w:r>
        <w:t>Top terms: ai, files, file, https, supabase, code, like, text, web, com</w:t>
      </w:r>
    </w:p>
    <w:p>
      <w:r>
        <w:t>• For example, a `security.yml` might define:</w:t>
        <w:br/>
        <w:t xml:space="preserve">    ```yaml</w:t>
        <w:br/>
        <w:t xml:space="preserve">    services:</w:t>
        <w:br/>
        <w:t xml:space="preserve">      tls-proxy:</w:t>
        <w:br/>
        <w:t xml:space="preserve">        image: nginx:latest</w:t>
        <w:br/>
        <w:t xml:space="preserve">        ports:</w:t>
        <w:br/>
        <w:t xml:space="preserve">          - "443:443"</w:t>
        <w:br/>
        <w:t xml:space="preserve">        volumes:</w:t>
        <w:br/>
        <w:t xml:space="preserve">          - ./ssl:/etc/ssl  # mount your SSL certs</w:t>
        <w:br/>
        <w:t xml:space="preserve">        environment:…</w:t>
      </w:r>
      <w:r>
        <w:t xml:space="preserve">  [POWERFULMOVES_and TOKENOMICS_DETAILS.md]</w:t>
      </w:r>
    </w:p>
    <w:p>
      <w:r>
        <w:t>• The communication between services is secured – e.g., the Supabase REST endpoint is HTTPS with an API key required, and we may run an Nginx reverse proxy to terminate TLS for local services that don’t support it natively ([POWERFULMOVES v2.…</w:t>
      </w:r>
      <w:r>
        <w:t xml:space="preserve">  [POWERFULMOVES_and TOKENOMICS_DETAILS.md]</w:t>
      </w:r>
    </w:p>
    <w:p>
      <w:r>
        <w:t>• For example, after performing speech-to-text (STT) on audio input, the Jetson could send an HTTP request with a JSON payload to the Supabase REST endpoint, which writes to a table ([Integrating Supabase Database with POWERFULMOVES A.md](fil…</w:t>
      </w:r>
      <w:r>
        <w:t xml:space="preserve">  [POWERFULMOVES_and TOKENOMICS_DETAILS.md]</w:t>
      </w:r>
    </w:p>
    <w:p>
      <w:r>
        <w:t>• As the project grows, we will continue to refine each module (for example, upgrading AI models for better reasoning efficiency – already version 2.0 shows **3.9× efficiency and 72% latency improvement** over the initial version ([POWERFULMO…</w:t>
      </w:r>
      <w:r>
        <w:t xml:space="preserve">  [POWERFULMOVES_and TOKENOMICS_DETAILS.md]</w:t>
      </w:r>
    </w:p>
    <w:p>
      <w:r>
        <w:t>• In our architecture, this is handled via the **Hardware-Aware Router** (the “Input Router” B in Perception layer, and the “Compute Router” in the v2 diagram) which decides where to send tasks ([POWERFULMOVES v2.0_ Next-Generation Modular AI…</w:t>
      </w:r>
      <w:r>
        <w:t xml:space="preserve">  [POWERFULMOVES_and TOKENOMICS_DETAILS.md]</w:t>
      </w:r>
    </w:p>
    <w:p>
      <w:r>
        <w:t>• def forward(self, x):</w:t>
        <w:br/>
        <w:t xml:space="preserve">        for _ in range(self.max_depth):</w:t>
        <w:br/>
        <w:t xml:space="preserve">            x = self.recurrent_block(x)</w:t>
        <w:br/>
        <w:t xml:space="preserve">            if self.iteration_controller.should_halt(x):</w:t>
        <w:br/>
        <w:t xml:space="preserve">                break  # exit early if result is confident</w:t>
        <w:br/>
        <w:t xml:space="preserve">        return x</w:t>
        <w:br/>
        <w:t>```</w:t>
        <w:br/>
        <w:t>*…</w:t>
      </w:r>
      <w:r>
        <w:t xml:space="preserve">  [POWERFULMOVES_and TOKENOMICS_DETAILS.md]</w:t>
      </w:r>
    </w:p>
    <w:p>
      <w:pPr>
        <w:pStyle w:val="Heading2"/>
      </w:pPr>
      <w:r>
        <w:t>Cluster 4</w:t>
      </w:r>
    </w:p>
    <w:p>
      <w:r>
        <w:t>Top terms: file, model, text, ai, md, supabase, database, 20, architecture, community</w:t>
      </w:r>
    </w:p>
    <w:p>
      <w:r>
        <w:t>• On Jetson, an **EfficientNet-B0** or similar lightweight model runs at modest FPS for object recognition ([Integrating Supabase Database with POWERFULMOVES A.md](file://file-R4SKbWQxEDLRFL5CpyApNM#:~:text=)), while the Windows PC can run a …</w:t>
      </w:r>
      <w:r>
        <w:t xml:space="preserve">  [POWERFULMOVES_and TOKENOMICS_DETAILS.md]</w:t>
      </w:r>
    </w:p>
    <w:p>
      <w:r>
        <w:t>• For example, when the Jetson Nano processes audio via speech-to-text, it could send the transcribed text and some metadata to a `sensor_data` or `transcripts` table in Supabase via a REST endpoint ([Integrating Supabase Database with POWERF…</w:t>
      </w:r>
      <w:r>
        <w:t xml:space="preserve">  [POWERFULMOVES_and TOKENOMICS_DETAILS.md]</w:t>
      </w:r>
    </w:p>
    <w:p>
      <w:r>
        <w:t>• Devices communicate with the database and backend over HTTPS with API keys ([Integrating Supabase Database with POWERFULMOVES A.md](file://file-R4SKbWQxEDLRFL5CpyApNM#:~:text=)).</w:t>
      </w:r>
      <w:r>
        <w:t xml:space="preserve">  [POWERFULMOVES_and TOKENOMICS_DETAILS.md]</w:t>
      </w:r>
    </w:p>
    <w:p>
      <w:r>
        <w:t>• We also utilize hardware security modules where possible (TPM 2.0 on the Windows PC for storing keys) ([PMOVES_Core Architecture Layers.md](file://file-EBcmZsLhM9bRqYWuQQAU51#:~:text=,0%20storage%20on%20Windows)).</w:t>
      </w:r>
      <w:r>
        <w:t xml:space="preserve">  [POWERFULMOVES_and TOKENOMICS_DETAILS.md]</w:t>
      </w:r>
    </w:p>
    <w:p>
      <w:r>
        <w:t>• void loop() {</w:t>
        <w:br/>
        <w:t xml:space="preserve">  // Example: insert a temperature reading</w:t>
        <w:br/>
        <w:t xml:space="preserve">  int status = db.insert("sensor_data", "{\"device_id\":\"esp32-01\",\"temp\":25.4}");</w:t>
        <w:br/>
        <w:t xml:space="preserve">  delay(1000);</w:t>
        <w:br/>
        <w:t>}</w:t>
        <w:br/>
        <w:t xml:space="preserve">```  </w:t>
        <w:br/>
        <w:t>*ESP32 sending data to Supabase (pseudo-code) ([Integrating Supabase Data…</w:t>
      </w:r>
      <w:r>
        <w:t xml:space="preserve">  [POWERFULMOVES_and TOKENOMICS_DETAILS.md]</w:t>
      </w:r>
    </w:p>
    <w:p>
      <w:r>
        <w:t>• The Jetson’s STT engine transcribes this to text “check if we need more rice” ([Integrating Supabase Database with POWERFULMOVES A.md](file://file-R4SKbWQxEDLRFL5CpyApNM#:~:text=)).</w:t>
      </w:r>
      <w:r>
        <w:t xml:space="preserve">  [POWERFULMOVES_and TOKENOMICS_DETAILS.md]</w:t>
      </w:r>
    </w:p>
    <w:p>
      <w:pPr>
        <w:pStyle w:val="Heading2"/>
      </w:pPr>
      <w:r>
        <w:t>Cluster 5</w:t>
      </w:r>
    </w:p>
    <w:p>
      <w:r>
        <w:t>Top terms: ai, design, food, group, solidity, diagram, file, buying, _orderid, contract</w:t>
      </w:r>
    </w:p>
    <w:p>
      <w:r>
        <w:t>• Below is the simplified Solidity code for the group buying mechanism, with annotations explaining each part:</w:t>
      </w:r>
      <w:r>
        <w:t xml:space="preserve">  [POWERFULMOVES_and TOKENOMICS_DETAILS.md]</w:t>
      </w:r>
    </w:p>
    <w:p>
      <w:r>
        <w:t>• Below is an illustrative Solidity snippet for the governance contract:</w:t>
      </w:r>
      <w:r>
        <w:t xml:space="preserve">  [POWERFULMOVES_and TOKENOMICS_DETAILS.md]</w:t>
      </w:r>
    </w:p>
    <w:p>
      <w:r>
        <w:t>• **Architecture Layers:** The AI’s internal design can be visualized in the following diagram:</w:t>
      </w:r>
      <w:r>
        <w:t xml:space="preserve">  [POWERFULMOVES_and TOKENOMICS_DETAILS.md]</w:t>
      </w:r>
    </w:p>
    <w:p>
      <w:r>
        <w:t>• - **Task Planner / Orchestrator:** This component (G in the first AI diagram) decides what to do with the output of the reasoning engine.</w:t>
      </w:r>
      <w:r>
        <w:t xml:space="preserve">  [POWERFULMOVES_and TOKENOMICS_DETAILS.md]</w:t>
      </w:r>
    </w:p>
    <w:p>
      <w:r>
        <w:t>• (In many cases, the frontend can interact directly with the blockchain, but the backend is useful for off-chain services or as a trusted relay for certain operations.)</w:t>
      </w:r>
      <w:r>
        <w:t xml:space="preserve">  [POWERFULMOVES_and TOKENOMICS_DETAILS.md]</w:t>
      </w:r>
    </w:p>
    <w:p>
      <w:r>
        <w:t>• Below is a conceptual diagram of the key components and their interactions:</w:t>
      </w:r>
      <w:r>
        <w:t xml:space="preserve">  [POWERFULMOVES_and TOKENOMICS_DETAILS.md]</w:t>
      </w:r>
    </w:p>
    <w:p>
      <w:pPr>
        <w:pStyle w:val="Heading2"/>
      </w:pPr>
      <w:r>
        <w:t>Cluster 6</w:t>
      </w:r>
    </w:p>
    <w:p>
      <w:r>
        <w:t>Top terms: community, local, models, enterprises, wealth, token, service, building, businesses, cooperative</w:t>
      </w:r>
    </w:p>
    <w:p>
      <w:r>
        <w:t>• When residents develop enterprises that serve their community, money circulates **2-4 times more** than traditional employment models.[^4][^5][^6][^7]</w:t>
      </w:r>
      <w:r>
        <w:t xml:space="preserve">  [Community Wealth Building Through Diverse Resident.md]</w:t>
      </w:r>
    </w:p>
    <w:p>
      <w:r>
        <w:t>• 14% for traditional employment[^4][^20]</w:t>
        <w:br/>
        <w:t>- **Money velocity**: 3.2 annual circulation cycles</w:t>
        <w:br/>
        <w:t>- **Community retention rate**: 85% average across all enterprise models</w:t>
        <w:br/>
        <w:t>- **Local supplier development**: 40% increase in community-to-community tr…</w:t>
      </w:r>
      <w:r>
        <w:t xml:space="preserve">  [Community Wealth Building Through Diverse Resident.md]</w:t>
      </w:r>
    </w:p>
    <w:p>
      <w:r>
        <w:t>• Your vision perfectly aligns with **micro-franchising** and **platform cooperativism** models that create replicable, scalable business "containers" owned by community members[^1][^2][^3][^4].</w:t>
      </w:r>
      <w:r>
        <w:t xml:space="preserve">  [Docker-Style Scalable Community Business Container.md]</w:t>
      </w:r>
    </w:p>
    <w:p>
      <w:r>
        <w:t>• **Distribution &amp; Reward:** Members receive their rice when it’s delivered.</w:t>
      </w:r>
      <w:r>
        <w:t xml:space="preserve">  [POWERFULMOVES_and TOKENOMICS_DETAILS.md]</w:t>
      </w:r>
    </w:p>
    <w:p>
      <w:r>
        <w:t>• Each successful container becomes a template for deployment in other communities, creating a **federated network of community-owned enterprises**.</w:t>
      </w:r>
      <w:r>
        <w:t xml:space="preserve">  [Docker-Style Scalable Community Business Container.md]</w:t>
      </w:r>
    </w:p>
    <w:p>
      <w:r>
        <w:t>• # Containerized Micro Business Model: Docker-Like Scaling for Community Enterprises</w:t>
      </w:r>
      <w:r>
        <w:t xml:space="preserve">  [Containerized Micro Business Model_ Docker-Like Sc.md]</w:t>
      </w:r>
    </w:p>
    <w:p>
      <w:pPr>
        <w:pStyle w:val="Heading2"/>
      </w:pPr>
      <w:r>
        <w:t>Cluster 7</w:t>
      </w:r>
    </w:p>
    <w:p>
      <w:r>
        <w:t>Top terms: ai, data, contract, use, entropy, backend, jetson, local, order, token</w:t>
      </w:r>
    </w:p>
    <w:p>
      <w:r>
        <w:t>• This contract ensures transparency in pooling funds and only executes the payment when the threshold is reached.</w:t>
      </w:r>
      <w:r>
        <w:t xml:space="preserve">  [POWERFULMOVES_and TOKENOMICS_DETAILS.md]</w:t>
      </w:r>
    </w:p>
    <w:p>
      <w:r>
        <w:t>• A supply limit variable is present in the smart contract to enable closing the initial offering after 360 days if the supply limit is not reached.</w:t>
      </w:r>
      <w:r>
        <w:t xml:space="preserve">  [Agent Zero Project Paper.html]</w:t>
      </w:r>
    </w:p>
    <w:p>
      <w:r>
        <w:t>• The Node backend picks this up and marks order #5 as “completed” in the DB.</w:t>
      </w:r>
      <w:r>
        <w:t xml:space="preserve">  [POWERFULMOVES_and TOKENOMICS_DETAILS.md]</w:t>
      </w:r>
    </w:p>
    <w:p>
      <w:r>
        <w:t>• Throughout this process, the AI agent might assist (perhaps announcing via speakers “The rice order has been fully funded and is being processed!” when it detects the event, or updating a screen in a community center).</w:t>
      </w:r>
      <w:r>
        <w:t xml:space="preserve">  [POWERFULMOVES_and TOKENOMICS_DETAILS.md]</w:t>
      </w:r>
    </w:p>
    <w:p>
      <w:r>
        <w:t>• Since funds are held in the contract until execution, the code must be carefully reviewed for re-entrancy (here we use a simple call and immediately mark completion, minimizing risk).</w:t>
      </w:r>
      <w:r>
        <w:t xml:space="preserve">  [POWERFULMOVES_and TOKENOMICS_DETAILS.md]</w:t>
      </w:r>
    </w:p>
    <w:p>
      <w:r>
        <w:t>• Suppose it finds the inventory is below a threshold – this information (perhaps already present in the knowledge graph from IoT weight sensors) leads the AI to decide that a new group-buy should be proposed.</w:t>
      </w:r>
      <w:r>
        <w:t xml:space="preserve">  [POWERFULMOVES_and TOKENOMICS_DETAILS.md]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