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Cataclysm Studios DAO — Fordham Hill Alternative Proposal (v0.1)</w:t>
      </w:r>
    </w:p>
    <w:p>
      <w:r>
        <w:rPr>
          <w:b w:val="0"/>
          <w:i/>
        </w:rPr>
        <w:t>A resident‑owned, AI‑powered cooperative model that outperforms traditional project delivery on revenue, jobs, and local wealth retention.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Objective: Present a community‑owned alternative that complements ACE’s traditional plan with faster pilots, stronger participation, and transparent economics.</w:t>
      </w:r>
    </w:p>
    <w:p>
      <w:pPr>
        <w:pStyle w:val="ListBullet"/>
      </w:pPr>
      <w:r>
        <w:t>Approach: Parent DAO with three guilds (Infra &amp; Cloud, Creator, Wealth &amp; Learning), two‑house governance (capital + contributors), and a stable community credit rails for pre‑orders and services.</w:t>
      </w:r>
    </w:p>
    <w:p>
      <w:pPr>
        <w:pStyle w:val="ListBullet"/>
      </w:pPr>
      <w:r>
        <w:t>Result (5‑year view): Tokenomics model yields ~3.25× revenue and ~4.4× profit vs. traditional, with more jobs and households served (illustrative figures below).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ham_revenue_profi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Fordham Hill 5‑year revenue &amp; profit comparison — Tokenomics vs. traditional.</w:t>
      </w:r>
    </w:p>
    <w:p>
      <w:pPr>
        <w:pStyle w:val="Heading1"/>
      </w:pPr>
      <w:r>
        <w:t>Structure at a Glance</w:t>
      </w:r>
    </w:p>
    <w:p>
      <w:pPr>
        <w:pStyle w:val="ListBullet"/>
      </w:pPr>
      <w:r>
        <w:t>Parent DAO (Cataclysm Studios DAO): constitution, treasury, brand, risk &amp; compliance.</w:t>
      </w:r>
    </w:p>
    <w:p>
      <w:pPr>
        <w:pStyle w:val="ListBullet"/>
      </w:pPr>
      <w:r>
        <w:t>Infra &amp; Cloud Guild (resident‑run nodes): OCR/RAG, media transcode/publish, AI assistants; proof‑of‑service rewards; marketplace for local workloads.</w:t>
      </w:r>
    </w:p>
    <w:p>
      <w:pPr>
        <w:pStyle w:val="ListBullet"/>
      </w:pPr>
      <w:r>
        <w:t>Creator Guild: music/AI video/art pods; on‑chain revenue splits; events &amp; merch fueled by pre‑orders.</w:t>
      </w:r>
    </w:p>
    <w:p>
      <w:pPr>
        <w:pStyle w:val="ListBullet"/>
      </w:pPr>
      <w:r>
        <w:t>Wealth &amp; Learning Guild: micro‑business incubator (pre‑order tokens), AI upskilling, financial literacy, local vendor onboarding.</w:t>
      </w:r>
    </w:p>
    <w:p>
      <w:pPr>
        <w:pStyle w:val="Heading1"/>
      </w:pPr>
      <w:r>
        <w:t>Token Suite &amp; Governance</w:t>
      </w:r>
    </w:p>
    <w:p>
      <w:pPr>
        <w:pStyle w:val="ListBullet"/>
      </w:pPr>
      <w:r>
        <w:t>$CAT — Governance (ERC‑20): elect stewards, approve budgets, strategy votes.</w:t>
      </w:r>
    </w:p>
    <w:p>
      <w:pPr>
        <w:pStyle w:val="ListBullet"/>
      </w:pPr>
      <w:r>
        <w:t>$WORK — Reputation (SBT): non‑transferable ‘proof of work’ for residents/operators; unlocks roles and citizen‑house voting weight.</w:t>
      </w:r>
    </w:p>
    <w:p>
      <w:pPr>
        <w:pStyle w:val="ListBullet"/>
      </w:pPr>
      <w:r>
        <w:t>$CRED — Community Credits (stable, spend‑limited): earned by residents; redeemed with approved vendors/services; keeps value circulating locally.</w:t>
      </w:r>
    </w:p>
    <w:p>
      <w:pPr>
        <w:pStyle w:val="ListBullet"/>
      </w:pPr>
      <w:r>
        <w:t>Two‑House Voting: Token House ($CAT) + Citizen House ($WORK). A decision passes when both approve (e.g., 50%+ and 60%+).</w:t>
      </w:r>
    </w:p>
    <w:p>
      <w:pPr>
        <w:pStyle w:val="Heading1"/>
      </w:pPr>
      <w:r>
        <w:t>90‑Day Rollout</w:t>
      </w:r>
    </w:p>
    <w:p>
      <w:pPr>
        <w:pStyle w:val="ListBullet"/>
      </w:pPr>
      <w:r>
        <w:t>Days 0–14: Spin up Safe (multisig), Snapshot, draft 2‑page constitution + guild charters; recruit 5–10 node operators.</w:t>
      </w:r>
    </w:p>
    <w:p>
      <w:pPr>
        <w:pStyle w:val="ListBullet"/>
      </w:pPr>
      <w:r>
        <w:t>Days 15–45: Turn on 3 paid services (OCR/RAG, media transcodes, AI office hours); launch Creator Pod #1 (single + AI video).</w:t>
      </w:r>
    </w:p>
    <w:p>
      <w:pPr>
        <w:pStyle w:val="ListBullet"/>
      </w:pPr>
      <w:r>
        <w:t>Days 46–90: Publish first KPI report; Seed Grants #1 for youth/vendor pilots; onboard 10 more nodes; ratify initial $CAT distribution.</w:t>
      </w:r>
    </w:p>
    <w:p>
      <w:pPr>
        <w:pStyle w:val="Heading1"/>
      </w:pPr>
      <w:r>
        <w:t>KPIs &amp; Transparency</w:t>
      </w:r>
    </w:p>
    <w:p>
      <w:pPr>
        <w:pStyle w:val="ListBullet"/>
      </w:pPr>
      <w:r>
        <w:t>Infra: jobs served, uptime, GPU/CPU hours, QA pass‑rate; weekly operator rewards report.</w:t>
      </w:r>
    </w:p>
    <w:p>
      <w:pPr>
        <w:pStyle w:val="ListBullet"/>
      </w:pPr>
      <w:r>
        <w:t>Creator: releases/quarter, streams/views, merch gross, collaborator payouts.</w:t>
      </w:r>
    </w:p>
    <w:p>
      <w:pPr>
        <w:pStyle w:val="ListBullet"/>
      </w:pPr>
      <w:r>
        <w:t>Wealth &amp; Learning: residents trained, preorder volume, vendor count, household savings.</w:t>
      </w:r>
    </w:p>
    <w:p>
      <w:pPr>
        <w:pStyle w:val="ListBullet"/>
      </w:pPr>
      <w:r>
        <w:t>Treasury: monthly inflows/outflows; epoch reward schedules; public dashboards.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we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Topic coverage across your research corpus (clusters found via lightweight embeddings).</w:t>
      </w:r>
    </w:p>
    <w:p>
      <w:pPr>
        <w:pStyle w:val="Heading1"/>
      </w:pPr>
      <w:r>
        <w:t>Calls to Action (Meeting Ask)</w:t>
      </w:r>
    </w:p>
    <w:p>
      <w:pPr>
        <w:pStyle w:val="ListBullet"/>
      </w:pPr>
      <w:r>
        <w:t>Approve 90‑day pilot with a minimal budget and milestone gates (board).</w:t>
      </w:r>
    </w:p>
    <w:p>
      <w:pPr>
        <w:pStyle w:val="ListBullet"/>
      </w:pPr>
      <w:r>
        <w:t>Nominate 3 resident stewards (one per guild) and 2 business advisors (board &amp; residents).</w:t>
      </w:r>
    </w:p>
    <w:p>
      <w:pPr>
        <w:pStyle w:val="ListBullet"/>
      </w:pPr>
      <w:r>
        <w:t>Green‑light Home‑Node Program (5–10 nodes) and Creator Pod #1 (residents &amp; creators).</w:t>
      </w:r>
    </w:p>
    <w:p>
      <w:pPr>
        <w:pStyle w:val="ListBullet"/>
      </w:pPr>
      <w:r>
        <w:t>Authorize community credits pilot ($CRED) for pre‑orders with 3 local vendors (businesses).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