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Cataclysm Studios DAO — Constitution (v0.1)</w:t>
      </w:r>
    </w:p>
    <w:p>
      <w:pPr>
        <w:pStyle w:val="Heading1"/>
      </w:pPr>
      <w:r>
        <w:t>Purpose</w:t>
      </w:r>
    </w:p>
    <w:p>
      <w:r>
        <w:t>Empower Fordham Hill and neighboring communities with a resident‑owned, AI‑enabled economy that circulates value locally and builds durable, creative livelihoods.</w:t>
      </w:r>
    </w:p>
    <w:p>
      <w:pPr>
        <w:pStyle w:val="Heading1"/>
      </w:pPr>
      <w:r>
        <w:t>Houses &amp; Voting</w:t>
      </w:r>
    </w:p>
    <w:p>
      <w:pPr>
        <w:pStyle w:val="ListBullet"/>
      </w:pPr>
      <w:r>
        <w:t>Token House (Capital): holders of $CAT vote on strategy, treasury caps, partnerships, risk policies.</w:t>
      </w:r>
    </w:p>
    <w:p>
      <w:pPr>
        <w:pStyle w:val="ListBullet"/>
      </w:pPr>
      <w:r>
        <w:t>Citizen House (Contributors): residents with $WORK (reputation SBT) vote on priorities, grants, vendor lists, day‑to‑day.</w:t>
      </w:r>
    </w:p>
    <w:p>
      <w:pPr>
        <w:pStyle w:val="ListBullet"/>
      </w:pPr>
      <w:r>
        <w:t>Bicameral Rule: proposals pass when both houses meet quorum and approval thresholds.</w:t>
      </w:r>
    </w:p>
    <w:p>
      <w:pPr>
        <w:pStyle w:val="Heading1"/>
      </w:pPr>
      <w:r>
        <w:t>Proposal Types &amp; Thresholds</w:t>
      </w:r>
    </w:p>
    <w:p>
      <w:pPr>
        <w:pStyle w:val="ListBullet"/>
      </w:pPr>
      <w:r>
        <w:t>A‑Type (Strategy/Treasury &gt; $25k): 7‑day vote; quorum 20% Token + 25% Citizen; pass at 60% each.</w:t>
      </w:r>
    </w:p>
    <w:p>
      <w:pPr>
        <w:pStyle w:val="ListBullet"/>
      </w:pPr>
      <w:r>
        <w:t>B‑Type (Programs/Budgets ≤ $25k): 5‑day vote; quorum 15% Token + 20% Citizen; pass at 55% each.</w:t>
      </w:r>
    </w:p>
    <w:p>
      <w:pPr>
        <w:pStyle w:val="ListBullet"/>
      </w:pPr>
      <w:r>
        <w:t>C‑Type (Grants ≤ $10k; Listings): 3‑day vote; quorum 10% Token + 15% Citizen; pass at 50% each.</w:t>
      </w:r>
    </w:p>
    <w:p>
      <w:pPr>
        <w:pStyle w:val="Heading1"/>
      </w:pPr>
      <w:r>
        <w:t>Delegation &amp; Roles</w:t>
      </w:r>
    </w:p>
    <w:p>
      <w:pPr>
        <w:pStyle w:val="ListBullet"/>
      </w:pPr>
      <w:r>
        <w:t>Delegation: both houses support delegated voting; delegates must publish a platform and quarterly reports.</w:t>
      </w:r>
    </w:p>
    <w:p>
      <w:pPr>
        <w:pStyle w:val="ListBullet"/>
      </w:pPr>
      <w:r>
        <w:t>Stewards: 1–3 per guild; accountable to quarterly KPIs and budget rails; recallable by C‑Type vote.</w:t>
      </w:r>
    </w:p>
    <w:p>
      <w:pPr>
        <w:pStyle w:val="Heading1"/>
      </w:pPr>
      <w:r>
        <w:t>Treasury &amp; Controls</w:t>
      </w:r>
    </w:p>
    <w:p>
      <w:pPr>
        <w:pStyle w:val="ListBullet"/>
      </w:pPr>
      <w:r>
        <w:t>Safe multisig: 3‑of‑5 signers (1 board, 2 stewards, 2 community).</w:t>
      </w:r>
    </w:p>
    <w:p>
      <w:pPr>
        <w:pStyle w:val="ListBullet"/>
      </w:pPr>
      <w:r>
        <w:t>Epoch rewards: transparent schedules for $WORK and $CRED; monthly financials published.</w:t>
      </w:r>
    </w:p>
    <w:p>
      <w:pPr>
        <w:pStyle w:val="ListBullet"/>
      </w:pPr>
      <w:r>
        <w:t>Emergency brake: circuit‑breaker pause by 4‑of‑5 signers; requires A‑Type ratification within 7 days.</w:t>
      </w:r>
    </w:p>
    <w:p>
      <w:pPr>
        <w:pStyle w:val="Heading1"/>
      </w:pPr>
      <w:r>
        <w:t>Amendments &amp; Audits</w:t>
      </w:r>
    </w:p>
    <w:p>
      <w:pPr>
        <w:pStyle w:val="ListBullet"/>
      </w:pPr>
      <w:r>
        <w:t>Amendments: A‑Type with 2‑week comment period.</w:t>
      </w:r>
    </w:p>
    <w:p>
      <w:pPr>
        <w:pStyle w:val="ListBullet"/>
      </w:pPr>
      <w:r>
        <w:t>Annual external audits for treasury and security; public reports.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