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41F" w14:textId="6661424D" w:rsidR="001665E0" w:rsidRDefault="00737E4B">
      <w:r w:rsidRPr="00737E4B">
        <w:t>Guillaume Gagnon (20191696), Pierre-Paul Hamon (20160518)</w:t>
      </w:r>
    </w:p>
    <w:p w14:paraId="75AF38FA" w14:textId="1E843FEB" w:rsidR="00737E4B" w:rsidRDefault="00737E4B" w:rsidP="00737E4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TP2 IFT3913</w:t>
      </w:r>
    </w:p>
    <w:p w14:paraId="5294CE00" w14:textId="789DE844" w:rsidR="00737E4B" w:rsidRDefault="00737E4B" w:rsidP="00737E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informations pertinentes dans cette partie ont été calculé à l’aide du fichier tp2#1.csv</w:t>
      </w:r>
    </w:p>
    <w:p w14:paraId="175F5FEE" w14:textId="77777777" w:rsidR="00850B44" w:rsidRDefault="00737E4B" w:rsidP="00737E4B">
      <w:pPr>
        <w:ind w:left="360"/>
        <w:rPr>
          <w:rFonts w:cstheme="minorHAnsi"/>
        </w:rPr>
      </w:pPr>
      <w:r>
        <w:rPr>
          <w:rFonts w:cstheme="minorHAnsi"/>
        </w:rPr>
        <w:t>NCLOC :</w:t>
      </w:r>
    </w:p>
    <w:p w14:paraId="5CE4802C" w14:textId="71C4D12A" w:rsidR="00737E4B" w:rsidRDefault="00850B44" w:rsidP="004065B4">
      <w:pPr>
        <w:ind w:firstLine="360"/>
        <w:rPr>
          <w:noProof/>
        </w:rPr>
      </w:pPr>
      <w:r w:rsidRPr="00850B44">
        <w:rPr>
          <w:noProof/>
        </w:rPr>
        <w:t xml:space="preserve"> </w:t>
      </w:r>
      <w:r w:rsidR="005F1151" w:rsidRPr="005F1151">
        <w:rPr>
          <w:noProof/>
        </w:rPr>
        <w:drawing>
          <wp:anchor distT="0" distB="0" distL="114300" distR="114300" simplePos="0" relativeHeight="251658240" behindDoc="0" locked="0" layoutInCell="1" allowOverlap="1" wp14:anchorId="27F6698E" wp14:editId="7331D22C">
            <wp:simplePos x="0" y="0"/>
            <wp:positionH relativeFrom="column">
              <wp:posOffset>258445</wp:posOffset>
            </wp:positionH>
            <wp:positionV relativeFrom="page">
              <wp:posOffset>2125980</wp:posOffset>
            </wp:positionV>
            <wp:extent cx="3428365" cy="2278380"/>
            <wp:effectExtent l="0" t="0" r="63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8340111"/>
      <m:oMath>
        <m:r>
          <w:rPr>
            <w:rFonts w:ascii="Cambria Math" w:hAnsi="Cambria Math"/>
            <w:noProof/>
          </w:rPr>
          <m:t>71,5-12=59,5</m:t>
        </m:r>
      </m:oMath>
    </w:p>
    <w:p w14:paraId="3DD98C00" w14:textId="779C808D" w:rsidR="00CE7AD0" w:rsidRDefault="00BB16BA" w:rsidP="00737E4B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59,5</m:t>
              </m:r>
            </m:num>
            <m:den>
              <m:r>
                <w:rPr>
                  <w:rFonts w:ascii="Cambria Math" w:hAnsi="Cambria Math"/>
                  <w:noProof/>
                </w:rPr>
                <m:t>168=0,35=35%</m:t>
              </m:r>
            </m:den>
          </m:f>
        </m:oMath>
      </m:oMathPara>
    </w:p>
    <w:bookmarkEnd w:id="0"/>
    <w:p w14:paraId="778C2706" w14:textId="77777777" w:rsidR="00CE7AD0" w:rsidRDefault="00CE7AD0" w:rsidP="00737E4B">
      <w:pPr>
        <w:ind w:left="360"/>
        <w:rPr>
          <w:noProof/>
        </w:rPr>
      </w:pPr>
    </w:p>
    <w:p w14:paraId="6D66D6D4" w14:textId="77777777" w:rsidR="00CE7AD0" w:rsidRDefault="00CE7AD0" w:rsidP="00737E4B">
      <w:pPr>
        <w:ind w:left="360"/>
        <w:rPr>
          <w:noProof/>
        </w:rPr>
      </w:pPr>
    </w:p>
    <w:p w14:paraId="177E9945" w14:textId="77777777" w:rsidR="00CE7AD0" w:rsidRDefault="00CE7AD0" w:rsidP="00737E4B">
      <w:pPr>
        <w:ind w:left="360"/>
        <w:rPr>
          <w:noProof/>
        </w:rPr>
      </w:pPr>
    </w:p>
    <w:p w14:paraId="6E3D8A54" w14:textId="77777777" w:rsidR="00CE7AD0" w:rsidRDefault="00CE7AD0" w:rsidP="00737E4B">
      <w:pPr>
        <w:ind w:left="360"/>
        <w:rPr>
          <w:noProof/>
        </w:rPr>
      </w:pPr>
    </w:p>
    <w:p w14:paraId="32ABFF70" w14:textId="77777777" w:rsidR="00CE7AD0" w:rsidRDefault="00CE7AD0" w:rsidP="00737E4B">
      <w:pPr>
        <w:ind w:left="360"/>
        <w:rPr>
          <w:noProof/>
        </w:rPr>
      </w:pPr>
    </w:p>
    <w:p w14:paraId="5D901C9F" w14:textId="77777777" w:rsidR="00CE7AD0" w:rsidRDefault="00CE7AD0" w:rsidP="00737E4B">
      <w:pPr>
        <w:ind w:left="360"/>
        <w:rPr>
          <w:noProof/>
        </w:rPr>
      </w:pPr>
    </w:p>
    <w:p w14:paraId="2BC52EC7" w14:textId="77777777" w:rsidR="00CE7AD0" w:rsidRDefault="00CE7AD0" w:rsidP="00737E4B">
      <w:pPr>
        <w:ind w:left="360"/>
        <w:rPr>
          <w:noProof/>
        </w:rPr>
      </w:pPr>
    </w:p>
    <w:p w14:paraId="443B8EA3" w14:textId="7CA6F300" w:rsidR="005F1151" w:rsidRDefault="005F1151" w:rsidP="00737E4B">
      <w:pPr>
        <w:ind w:left="360"/>
        <w:rPr>
          <w:noProof/>
        </w:rPr>
      </w:pPr>
      <w:r>
        <w:rPr>
          <w:noProof/>
        </w:rPr>
        <w:t>DCP :</w:t>
      </w:r>
    </w:p>
    <w:p w14:paraId="2D2B3A91" w14:textId="1CD4AF9F" w:rsidR="000C0C77" w:rsidRPr="000C0C77" w:rsidRDefault="000C0C77" w:rsidP="000C0C77">
      <w:pPr>
        <w:ind w:firstLine="360"/>
        <w:rPr>
          <w:rFonts w:eastAsiaTheme="minorEastAsia"/>
          <w:noProof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A728A35" wp14:editId="53E2DA34">
            <wp:simplePos x="0" y="0"/>
            <wp:positionH relativeFrom="column">
              <wp:posOffset>220345</wp:posOffset>
            </wp:positionH>
            <wp:positionV relativeFrom="page">
              <wp:posOffset>4975860</wp:posOffset>
            </wp:positionV>
            <wp:extent cx="3482340" cy="2300605"/>
            <wp:effectExtent l="0" t="0" r="381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noProof/>
          </w:rPr>
          <m:t>59,21-49,25=9,96</m:t>
        </m:r>
      </m:oMath>
    </w:p>
    <w:p w14:paraId="6E72A730" w14:textId="3A3EDC20" w:rsidR="000C0C77" w:rsidRDefault="00BB16BA" w:rsidP="000C0C77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9,96</m:t>
              </m:r>
            </m:num>
            <m:den>
              <m:r>
                <w:rPr>
                  <w:rFonts w:ascii="Cambria Math" w:hAnsi="Cambria Math"/>
                  <w:noProof/>
                </w:rPr>
                <m:t>33,16=0,30=30%</m:t>
              </m:r>
            </m:den>
          </m:f>
        </m:oMath>
      </m:oMathPara>
    </w:p>
    <w:p w14:paraId="5644989D" w14:textId="339F065A" w:rsidR="005F1151" w:rsidRDefault="005F1151" w:rsidP="00737E4B">
      <w:pPr>
        <w:ind w:left="360"/>
        <w:rPr>
          <w:rFonts w:cstheme="minorHAnsi"/>
        </w:rPr>
      </w:pPr>
    </w:p>
    <w:p w14:paraId="1690892D" w14:textId="77777777" w:rsidR="004065B4" w:rsidRDefault="004065B4" w:rsidP="00737E4B">
      <w:pPr>
        <w:ind w:left="360"/>
        <w:rPr>
          <w:rFonts w:cstheme="minorHAnsi"/>
        </w:rPr>
      </w:pPr>
    </w:p>
    <w:p w14:paraId="7C041BE2" w14:textId="77777777" w:rsidR="004065B4" w:rsidRDefault="004065B4" w:rsidP="00737E4B">
      <w:pPr>
        <w:ind w:left="360"/>
        <w:rPr>
          <w:rFonts w:cstheme="minorHAnsi"/>
        </w:rPr>
      </w:pPr>
    </w:p>
    <w:p w14:paraId="7CC554DF" w14:textId="77777777" w:rsidR="004065B4" w:rsidRDefault="004065B4" w:rsidP="00737E4B">
      <w:pPr>
        <w:ind w:left="360"/>
        <w:rPr>
          <w:rFonts w:cstheme="minorHAnsi"/>
        </w:rPr>
      </w:pPr>
    </w:p>
    <w:p w14:paraId="30DB01E6" w14:textId="77777777" w:rsidR="004065B4" w:rsidRDefault="004065B4" w:rsidP="00737E4B">
      <w:pPr>
        <w:ind w:left="360"/>
        <w:rPr>
          <w:rFonts w:cstheme="minorHAnsi"/>
        </w:rPr>
      </w:pPr>
    </w:p>
    <w:p w14:paraId="49B5E4E0" w14:textId="77777777" w:rsidR="004065B4" w:rsidRDefault="004065B4" w:rsidP="00737E4B">
      <w:pPr>
        <w:ind w:left="360"/>
        <w:rPr>
          <w:rFonts w:cstheme="minorHAnsi"/>
        </w:rPr>
      </w:pPr>
    </w:p>
    <w:p w14:paraId="24065202" w14:textId="52AF4292" w:rsidR="004065B4" w:rsidRDefault="004065B4" w:rsidP="00737E4B">
      <w:pPr>
        <w:ind w:left="360"/>
        <w:rPr>
          <w:rFonts w:cstheme="minorHAnsi"/>
        </w:rPr>
      </w:pPr>
    </w:p>
    <w:p w14:paraId="2899AAC4" w14:textId="77777777" w:rsidR="004065B4" w:rsidRDefault="004065B4" w:rsidP="00737E4B">
      <w:pPr>
        <w:ind w:left="360"/>
        <w:rPr>
          <w:rFonts w:cstheme="minorHAnsi"/>
        </w:rPr>
      </w:pPr>
    </w:p>
    <w:p w14:paraId="3B0776F6" w14:textId="77777777" w:rsidR="00CE7AD0" w:rsidRDefault="00CE7AD0" w:rsidP="00737E4B">
      <w:pPr>
        <w:ind w:left="360"/>
        <w:rPr>
          <w:rFonts w:cstheme="minorHAnsi"/>
        </w:rPr>
      </w:pPr>
    </w:p>
    <w:p w14:paraId="3E7C4FA3" w14:textId="77777777" w:rsidR="00CE7AD0" w:rsidRDefault="00CE7AD0" w:rsidP="00737E4B">
      <w:pPr>
        <w:ind w:left="360"/>
        <w:rPr>
          <w:rFonts w:cstheme="minorHAnsi"/>
        </w:rPr>
      </w:pPr>
    </w:p>
    <w:p w14:paraId="48C5A91A" w14:textId="77777777" w:rsidR="00CE7AD0" w:rsidRDefault="00CE7AD0" w:rsidP="00737E4B">
      <w:pPr>
        <w:ind w:left="360"/>
        <w:rPr>
          <w:rFonts w:cstheme="minorHAnsi"/>
        </w:rPr>
      </w:pPr>
    </w:p>
    <w:p w14:paraId="1289ACB2" w14:textId="77777777" w:rsidR="00CE7AD0" w:rsidRDefault="00CE7AD0" w:rsidP="00737E4B">
      <w:pPr>
        <w:ind w:left="360"/>
        <w:rPr>
          <w:rFonts w:cstheme="minorHAnsi"/>
        </w:rPr>
      </w:pPr>
    </w:p>
    <w:p w14:paraId="5A9C75BE" w14:textId="77777777" w:rsidR="00CE7AD0" w:rsidRDefault="00CE7AD0" w:rsidP="00737E4B">
      <w:pPr>
        <w:ind w:left="360"/>
        <w:rPr>
          <w:rFonts w:cstheme="minorHAnsi"/>
        </w:rPr>
      </w:pPr>
    </w:p>
    <w:p w14:paraId="1110AEDF" w14:textId="77777777" w:rsidR="00CE7AD0" w:rsidRDefault="00CE7AD0" w:rsidP="00737E4B">
      <w:pPr>
        <w:ind w:left="360"/>
        <w:rPr>
          <w:rFonts w:cstheme="minorHAnsi"/>
        </w:rPr>
      </w:pPr>
    </w:p>
    <w:p w14:paraId="5A1725C6" w14:textId="77777777" w:rsidR="00CE7AD0" w:rsidRDefault="00CE7AD0" w:rsidP="00737E4B">
      <w:pPr>
        <w:ind w:left="360"/>
        <w:rPr>
          <w:rFonts w:cstheme="minorHAnsi"/>
        </w:rPr>
      </w:pPr>
    </w:p>
    <w:p w14:paraId="7B179548" w14:textId="77777777" w:rsidR="00AD069A" w:rsidRDefault="005F1151" w:rsidP="00AD069A">
      <w:pPr>
        <w:ind w:left="360"/>
        <w:rPr>
          <w:rFonts w:cstheme="minorHAnsi"/>
        </w:rPr>
      </w:pPr>
      <w:r>
        <w:rPr>
          <w:rFonts w:cstheme="minorHAnsi"/>
        </w:rPr>
        <w:t>NOCom :</w:t>
      </w:r>
    </w:p>
    <w:p w14:paraId="6624096C" w14:textId="1CEF75D0" w:rsidR="00AD069A" w:rsidRPr="00AD069A" w:rsidRDefault="00430584" w:rsidP="00AD069A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5-3=2</m:t>
          </m:r>
        </m:oMath>
      </m:oMathPara>
    </w:p>
    <w:p w14:paraId="0F8A580B" w14:textId="0CEC9765" w:rsidR="00AD069A" w:rsidRDefault="00BB16BA" w:rsidP="00AD069A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6=0,33=33%</m:t>
              </m:r>
            </m:den>
          </m:f>
        </m:oMath>
      </m:oMathPara>
    </w:p>
    <w:p w14:paraId="7E455EA0" w14:textId="5D33F6CB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D8FBC76" wp14:editId="3143E9D5">
            <wp:simplePos x="0" y="0"/>
            <wp:positionH relativeFrom="column">
              <wp:posOffset>227965</wp:posOffset>
            </wp:positionH>
            <wp:positionV relativeFrom="page">
              <wp:posOffset>1760220</wp:posOffset>
            </wp:positionV>
            <wp:extent cx="3261360" cy="217741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BF63" w14:textId="77777777" w:rsidR="00CE7AD0" w:rsidRDefault="00CE7AD0" w:rsidP="00737E4B">
      <w:pPr>
        <w:ind w:left="360"/>
        <w:rPr>
          <w:rFonts w:cstheme="minorHAnsi"/>
        </w:rPr>
      </w:pPr>
    </w:p>
    <w:p w14:paraId="6414D7FE" w14:textId="77777777" w:rsidR="00CE7AD0" w:rsidRDefault="00CE7AD0" w:rsidP="00737E4B">
      <w:pPr>
        <w:ind w:left="360"/>
        <w:rPr>
          <w:rFonts w:cstheme="minorHAnsi"/>
        </w:rPr>
      </w:pPr>
    </w:p>
    <w:p w14:paraId="6E271B64" w14:textId="77777777" w:rsidR="00CE7AD0" w:rsidRDefault="00CE7AD0" w:rsidP="00737E4B">
      <w:pPr>
        <w:ind w:left="360"/>
        <w:rPr>
          <w:rFonts w:cstheme="minorHAnsi"/>
        </w:rPr>
      </w:pPr>
    </w:p>
    <w:p w14:paraId="19D30F20" w14:textId="77777777" w:rsidR="00CE7AD0" w:rsidRDefault="00CE7AD0" w:rsidP="00737E4B">
      <w:pPr>
        <w:ind w:left="360"/>
        <w:rPr>
          <w:rFonts w:cstheme="minorHAnsi"/>
        </w:rPr>
      </w:pPr>
    </w:p>
    <w:p w14:paraId="54689199" w14:textId="77777777" w:rsidR="00CE7AD0" w:rsidRDefault="00CE7AD0" w:rsidP="00737E4B">
      <w:pPr>
        <w:ind w:left="360"/>
        <w:rPr>
          <w:rFonts w:cstheme="minorHAnsi"/>
        </w:rPr>
      </w:pPr>
    </w:p>
    <w:p w14:paraId="6F05C4EA" w14:textId="58CE6034" w:rsidR="005F1151" w:rsidRDefault="005F1151" w:rsidP="00430584">
      <w:pPr>
        <w:rPr>
          <w:rFonts w:cstheme="minorHAnsi"/>
        </w:rPr>
      </w:pPr>
      <w:r>
        <w:rPr>
          <w:rFonts w:cstheme="minorHAnsi"/>
        </w:rPr>
        <w:t>WMC :</w:t>
      </w:r>
    </w:p>
    <w:p w14:paraId="1C89D3DA" w14:textId="23E93AE0" w:rsidR="00430584" w:rsidRPr="00AD069A" w:rsidRDefault="00430584" w:rsidP="00430584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21-10=11</m:t>
          </m:r>
        </m:oMath>
      </m:oMathPara>
    </w:p>
    <w:p w14:paraId="6E911135" w14:textId="730C0412" w:rsidR="00430584" w:rsidRDefault="00BB16BA" w:rsidP="00430584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11</m:t>
              </m:r>
            </m:num>
            <m:den>
              <m:r>
                <w:rPr>
                  <w:rFonts w:ascii="Cambria Math" w:hAnsi="Cambria Math"/>
                  <w:noProof/>
                </w:rPr>
                <m:t>33=0,33=33%</m:t>
              </m:r>
            </m:den>
          </m:f>
        </m:oMath>
      </m:oMathPara>
    </w:p>
    <w:p w14:paraId="17F5CBB6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27E9DDCF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C5356A9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2B3B5C4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4A0A80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700336AE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1F77AA" w14:textId="37EFB27C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2E6B054E" wp14:editId="454FF626">
            <wp:simplePos x="0" y="0"/>
            <wp:positionH relativeFrom="column">
              <wp:posOffset>227965</wp:posOffset>
            </wp:positionH>
            <wp:positionV relativeFrom="page">
              <wp:posOffset>4328160</wp:posOffset>
            </wp:positionV>
            <wp:extent cx="3215640" cy="2131060"/>
            <wp:effectExtent l="0" t="0" r="381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0D5" w:rsidRPr="006000D5">
        <w:rPr>
          <w:rFonts w:cstheme="minorHAnsi"/>
        </w:rPr>
        <w:t>De ce qu’on peut voir,</w:t>
      </w:r>
      <w:r w:rsidR="006000D5">
        <w:rPr>
          <w:rFonts w:cstheme="minorHAnsi"/>
        </w:rPr>
        <w:t xml:space="preserve"> aucune des métriques ci-dessus est distribuées normalement, puisque, </w:t>
      </w:r>
      <w:r w:rsidR="006778DB">
        <w:rPr>
          <w:rFonts w:cstheme="minorHAnsi"/>
        </w:rPr>
        <w:t>pou</w:t>
      </w:r>
      <w:r w:rsidR="00F34EE8">
        <w:rPr>
          <w:rFonts w:cstheme="minorHAnsi"/>
        </w:rPr>
        <w:t>r tous les métriques,</w:t>
      </w:r>
      <w:r w:rsidR="006000D5">
        <w:rPr>
          <w:rFonts w:cstheme="minorHAnsi"/>
        </w:rPr>
        <w:t xml:space="preserve"> les quartile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inférieure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et supérieure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représentent environ 33% et 66% de la longueur de la boîte, respectivement</w:t>
      </w:r>
      <w:r w:rsidR="00BE656B">
        <w:rPr>
          <w:rFonts w:cstheme="minorHAnsi"/>
        </w:rPr>
        <w:t xml:space="preserve">. </w:t>
      </w:r>
    </w:p>
    <w:p w14:paraId="019F118C" w14:textId="25D09AEE" w:rsidR="00D131BE" w:rsidRDefault="00CC18EA" w:rsidP="00737E4B">
      <w:pPr>
        <w:ind w:left="360"/>
        <w:rPr>
          <w:rFonts w:cstheme="minorHAnsi"/>
        </w:rPr>
      </w:pPr>
      <w:r>
        <w:rPr>
          <w:rFonts w:cstheme="minorHAnsi"/>
        </w:rPr>
        <w:t>Pour</w:t>
      </w:r>
      <w:r w:rsidR="00D131BE">
        <w:rPr>
          <w:rFonts w:cstheme="minorHAnsi"/>
        </w:rPr>
        <w:t xml:space="preserve"> DCP, la limite inférieure semble aller plus loin que la limite supérieure, contrairement aux autres métriques. Ceci est probablement dû au fait que la valeur peut seulement être entre 0 et 100, et que la médiane supérieure se trouve proche de</w:t>
      </w:r>
      <w:r w:rsidR="00884E63">
        <w:rPr>
          <w:rFonts w:cstheme="minorHAnsi"/>
        </w:rPr>
        <w:t xml:space="preserve"> 85%, laissant donc moins de place à la limite. Aussi, DCP est la seule métrique à ne pas avoir de points extrêmes.</w:t>
      </w:r>
    </w:p>
    <w:p w14:paraId="4ED46D4F" w14:textId="4672492A" w:rsidR="005D361C" w:rsidRDefault="005D361C" w:rsidP="00737E4B">
      <w:pPr>
        <w:ind w:left="360"/>
        <w:rPr>
          <w:rFonts w:cstheme="minorHAnsi"/>
        </w:rPr>
      </w:pPr>
    </w:p>
    <w:p w14:paraId="296DA574" w14:textId="6E711AC5" w:rsidR="005D361C" w:rsidRDefault="005D361C" w:rsidP="00737E4B">
      <w:pPr>
        <w:ind w:left="360"/>
        <w:rPr>
          <w:rFonts w:cstheme="minorHAnsi"/>
        </w:rPr>
      </w:pPr>
    </w:p>
    <w:p w14:paraId="041CEA49" w14:textId="6454A997" w:rsidR="005D361C" w:rsidRDefault="005D361C" w:rsidP="00737E4B">
      <w:pPr>
        <w:ind w:left="360"/>
        <w:rPr>
          <w:rFonts w:cstheme="minorHAnsi"/>
        </w:rPr>
      </w:pPr>
    </w:p>
    <w:p w14:paraId="1EFAF31A" w14:textId="1C4CFFD8" w:rsidR="005D361C" w:rsidRDefault="005D361C" w:rsidP="00737E4B">
      <w:pPr>
        <w:ind w:left="360"/>
        <w:rPr>
          <w:rFonts w:cstheme="minorHAnsi"/>
        </w:rPr>
      </w:pPr>
    </w:p>
    <w:p w14:paraId="50FFBB50" w14:textId="7A39A648" w:rsidR="005D361C" w:rsidRDefault="003D4BE4" w:rsidP="003D4BE4">
      <w:pPr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r w:rsidRPr="003D4BE4">
        <w:rPr>
          <w:rFonts w:cstheme="minorHAnsi"/>
        </w:rPr>
        <w:t>Afin d’évaluer l’hypothèse, on a bes</w:t>
      </w:r>
      <w:r>
        <w:rPr>
          <w:rFonts w:cstheme="minorHAnsi"/>
        </w:rPr>
        <w:t>oin de comparer deux groupes d’une population. Ayant accès à un échantillon, il fait du sens de choisir l’étude d’ensemble pour cet étude.</w:t>
      </w:r>
    </w:p>
    <w:p w14:paraId="10AD1ECE" w14:textId="4F693D05" w:rsidR="003D4BE4" w:rsidRDefault="00537945" w:rsidP="003D4BE4">
      <w:pPr>
        <w:rPr>
          <w:rFonts w:cstheme="minorHAnsi"/>
        </w:rPr>
      </w:pPr>
      <w:r>
        <w:rPr>
          <w:rFonts w:cstheme="minorHAnsi"/>
        </w:rPr>
        <w:t>L’hypothèse peut donc être énoncé tel quel : « Les classes dont le NOCom est plus élevé que 10 ont</w:t>
      </w:r>
      <w:r w:rsidR="00C63668">
        <w:rPr>
          <w:rFonts w:cstheme="minorHAnsi"/>
        </w:rPr>
        <w:t xml:space="preserve"> un meilleur DCP que les classes dont le NOCom est inférieure à 10 »</w:t>
      </w:r>
    </w:p>
    <w:p w14:paraId="1356C1C2" w14:textId="5CD3D2EF" w:rsidR="0006465B" w:rsidRDefault="0006465B" w:rsidP="003D4BE4">
      <w:pPr>
        <w:rPr>
          <w:rFonts w:cstheme="minorHAnsi"/>
        </w:rPr>
      </w:pPr>
      <w:r>
        <w:rPr>
          <w:rFonts w:cstheme="minorHAnsi"/>
        </w:rPr>
        <w:t xml:space="preserve">Comme variable indépendantes, on a : le nombre de classes dont </w:t>
      </w:r>
      <w:r>
        <w:rPr>
          <w:rFonts w:cstheme="minorHAnsi"/>
        </w:rPr>
        <w:t xml:space="preserve">le NOCom </w:t>
      </w:r>
      <w:r w:rsidR="00C95F47" w:rsidRPr="00C95F47">
        <w:rPr>
          <w:rFonts w:cstheme="minorHAnsi"/>
        </w:rPr>
        <w:t>&gt;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>10</w:t>
      </w:r>
      <w:r>
        <w:rPr>
          <w:rFonts w:cstheme="minorHAnsi"/>
        </w:rPr>
        <w:t xml:space="preserve"> et </w:t>
      </w:r>
      <w:r w:rsidR="00C95F47">
        <w:rPr>
          <w:rFonts w:cstheme="minorHAnsi"/>
        </w:rPr>
        <w:t xml:space="preserve">le nombre de classes </w:t>
      </w:r>
      <w:r>
        <w:rPr>
          <w:rFonts w:cstheme="minorHAnsi"/>
        </w:rPr>
        <w:t xml:space="preserve">dont le NOCom </w:t>
      </w:r>
      <w:r w:rsidR="00C95F47" w:rsidRPr="00C95F47">
        <w:rPr>
          <w:rFonts w:cstheme="minorHAnsi"/>
        </w:rPr>
        <w:t>&lt;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>10</w:t>
      </w:r>
    </w:p>
    <w:p w14:paraId="454FFA82" w14:textId="26917429" w:rsidR="00C95F47" w:rsidRDefault="00C95F47" w:rsidP="003D4BE4">
      <w:pPr>
        <w:rPr>
          <w:rFonts w:cstheme="minorHAnsi"/>
        </w:rPr>
      </w:pPr>
      <w:r>
        <w:rPr>
          <w:rFonts w:cstheme="minorHAnsi"/>
        </w:rPr>
        <w:t xml:space="preserve">Pour les variables dépendantes, on a : </w:t>
      </w:r>
      <w:r>
        <w:rPr>
          <w:rFonts w:cstheme="minorHAnsi"/>
        </w:rPr>
        <w:t>l</w:t>
      </w:r>
      <w:r>
        <w:rPr>
          <w:rFonts w:cstheme="minorHAnsi"/>
        </w:rPr>
        <w:t xml:space="preserve">a moyenne du DCP </w:t>
      </w:r>
      <w:r>
        <w:rPr>
          <w:rFonts w:cstheme="minorHAnsi"/>
        </w:rPr>
        <w:t>de</w:t>
      </w:r>
      <w:r>
        <w:rPr>
          <w:rFonts w:cstheme="minorHAnsi"/>
        </w:rPr>
        <w:t>s</w:t>
      </w:r>
      <w:r>
        <w:rPr>
          <w:rFonts w:cstheme="minorHAnsi"/>
        </w:rPr>
        <w:t xml:space="preserve"> classes dont le NOCom </w:t>
      </w:r>
      <w:r w:rsidRPr="00C95F47">
        <w:rPr>
          <w:rFonts w:cstheme="minorHAnsi"/>
        </w:rPr>
        <w:t>&gt;</w:t>
      </w:r>
      <w:r>
        <w:rPr>
          <w:rFonts w:cstheme="minorHAnsi"/>
        </w:rPr>
        <w:t xml:space="preserve"> 10 et la moyenne du DCP de</w:t>
      </w:r>
      <w:r>
        <w:rPr>
          <w:rFonts w:cstheme="minorHAnsi"/>
        </w:rPr>
        <w:t>s</w:t>
      </w:r>
      <w:r>
        <w:rPr>
          <w:rFonts w:cstheme="minorHAnsi"/>
        </w:rPr>
        <w:t xml:space="preserve"> classes dont le NOCom </w:t>
      </w:r>
      <w:r w:rsidRPr="00C95F47">
        <w:rPr>
          <w:rFonts w:cstheme="minorHAnsi"/>
        </w:rPr>
        <w:t>&lt;</w:t>
      </w:r>
      <w:r>
        <w:rPr>
          <w:rFonts w:cstheme="minorHAnsi"/>
        </w:rPr>
        <w:t xml:space="preserve"> 10</w:t>
      </w:r>
    </w:p>
    <w:p w14:paraId="352220A3" w14:textId="5CEC7D64" w:rsidR="004D5777" w:rsidRDefault="004D5777" w:rsidP="003D4BE4">
      <w:pPr>
        <w:rPr>
          <w:rFonts w:cstheme="minorHAnsi"/>
        </w:rPr>
      </w:pPr>
      <w:r>
        <w:rPr>
          <w:rFonts w:cstheme="minorHAnsi"/>
        </w:rPr>
        <w:t>Les résultats de cette étude pourrait confirmer l’hypothèse ci-dessus pour la population des classes jfreechart en général. Ils pourraient aussi indiquer une possible corr</w:t>
      </w:r>
      <w:r w:rsidR="00DF3B8B">
        <w:rPr>
          <w:rFonts w:cstheme="minorHAnsi"/>
        </w:rPr>
        <w:t>élation entre les métriques DCP et NOCom.</w:t>
      </w:r>
    </w:p>
    <w:p w14:paraId="779355F1" w14:textId="5D9DFBBA" w:rsidR="00F04BCE" w:rsidRPr="003D4BE4" w:rsidRDefault="00F04BCE" w:rsidP="003D4BE4">
      <w:pPr>
        <w:rPr>
          <w:rFonts w:cstheme="minorHAnsi"/>
        </w:rPr>
      </w:pPr>
      <w:r>
        <w:rPr>
          <w:rFonts w:cstheme="minorHAnsi"/>
        </w:rPr>
        <w:t>Il se pourrait que la validité de cette étude soit atteinte par un problème de variables confondantes.</w:t>
      </w:r>
      <w:r w:rsidR="00BB16BA">
        <w:rPr>
          <w:rFonts w:cstheme="minorHAnsi"/>
        </w:rPr>
        <w:t xml:space="preserve"> Il se peut aussi que la taille d’un des deux groupes évalués soit trop petite, ce qui pourrait causer des problèmes de régression vers la moyenne.</w:t>
      </w:r>
    </w:p>
    <w:sectPr w:rsidR="00F04BCE" w:rsidRPr="003D4B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886"/>
    <w:multiLevelType w:val="hybridMultilevel"/>
    <w:tmpl w:val="D91C7F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B"/>
    <w:rsid w:val="0006465B"/>
    <w:rsid w:val="000C0C77"/>
    <w:rsid w:val="00127AE3"/>
    <w:rsid w:val="001665E0"/>
    <w:rsid w:val="003D4BE4"/>
    <w:rsid w:val="004065B4"/>
    <w:rsid w:val="00430584"/>
    <w:rsid w:val="004D5777"/>
    <w:rsid w:val="00537945"/>
    <w:rsid w:val="005A7F3F"/>
    <w:rsid w:val="005D361C"/>
    <w:rsid w:val="005F1151"/>
    <w:rsid w:val="006000D5"/>
    <w:rsid w:val="006778DB"/>
    <w:rsid w:val="00737E4B"/>
    <w:rsid w:val="007D62BF"/>
    <w:rsid w:val="00850B44"/>
    <w:rsid w:val="00884E63"/>
    <w:rsid w:val="00AD069A"/>
    <w:rsid w:val="00B80D3D"/>
    <w:rsid w:val="00BB16BA"/>
    <w:rsid w:val="00BE656B"/>
    <w:rsid w:val="00C63668"/>
    <w:rsid w:val="00C95F47"/>
    <w:rsid w:val="00CA6B46"/>
    <w:rsid w:val="00CC18EA"/>
    <w:rsid w:val="00CE7AD0"/>
    <w:rsid w:val="00D068AB"/>
    <w:rsid w:val="00D131BE"/>
    <w:rsid w:val="00DF3B8B"/>
    <w:rsid w:val="00F04BCE"/>
    <w:rsid w:val="00F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7DD3"/>
  <w15:chartTrackingRefBased/>
  <w15:docId w15:val="{3B9256CC-32A5-49F5-AF85-B05B927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C0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Hamon</dc:creator>
  <cp:keywords/>
  <dc:description/>
  <cp:lastModifiedBy>Pierre-Paul Hamon</cp:lastModifiedBy>
  <cp:revision>6</cp:revision>
  <dcterms:created xsi:type="dcterms:W3CDTF">2022-03-16T21:01:00Z</dcterms:created>
  <dcterms:modified xsi:type="dcterms:W3CDTF">2022-03-17T03:16:00Z</dcterms:modified>
</cp:coreProperties>
</file>