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3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Analyzing</w:t>
      </w:r>
      <w:r>
        <w:t xml:space="preserve"> </w:t>
      </w:r>
      <w:r>
        <w:t xml:space="preserve">Screening</w:t>
      </w:r>
      <w:r>
        <w:t xml:space="preserve"> </w:t>
      </w:r>
      <w:r>
        <w:t xml:space="preserve">Guidelines</w:t>
      </w:r>
      <w:r>
        <w:t xml:space="preserve"> </w:t>
      </w:r>
      <w:r>
        <w:t xml:space="preserve">Scenarios</w:t>
      </w:r>
    </w:p>
    <w:p>
      <w:pPr>
        <w:pStyle w:val="Author"/>
      </w:pPr>
      <w:r>
        <w:t xml:space="preserve">Christian</w:t>
      </w:r>
      <w:r>
        <w:t xml:space="preserve"> </w:t>
      </w:r>
      <w:r>
        <w:t xml:space="preserve">Testa</w:t>
      </w:r>
    </w:p>
    <w:p>
      <w:pPr>
        <w:pStyle w:val="FirstParagraph"/>
      </w:pPr>
      <w:r>
        <w:t xml:space="preserve">The following outputs are in measures of infections per 100,000.</w:t>
      </w:r>
    </w:p>
    <w:p>
      <w:pPr>
        <w:pStyle w:val="BodyText"/>
      </w:pPr>
      <w:r>
        <w:t xml:space="preserve">For reference, the assumed population sizes of Louisiana and Massachusetts</w:t>
      </w:r>
      <w:r>
        <w:t xml:space="preserve"> </w:t>
      </w:r>
      <w:r>
        <w:t xml:space="preserve">are 2,787,423 and 4,230,601 respectively (assumed from 2015 census estimates).</w:t>
      </w:r>
    </w:p>
    <w:p>
      <w:pPr>
        <w:pStyle w:val="Heading3"/>
      </w:pPr>
      <w:bookmarkStart w:id="21" w:name="prevalence-and-incidence"/>
      <w:bookmarkEnd w:id="21"/>
      <w:r>
        <w:t xml:space="preserve">Prevalence and Incidence</w:t>
      </w:r>
    </w:p>
    <w:p>
      <w:pPr>
        <w:pStyle w:val="Heading3"/>
      </w:pPr>
      <w:bookmarkStart w:id="22" w:name="basecase-annual-and-msm-annual-screening-scenarios"/>
      <w:bookmarkEnd w:id="22"/>
      <w:r>
        <w:t xml:space="preserve">Basecase, Annual, and MSM Annual Screening Scenarios</w:t>
      </w:r>
    </w:p>
    <w:p>
      <w:pPr>
        <w:pStyle w:val="SourceCode"/>
      </w:pPr>
      <w:r>
        <w:rPr>
          <w:rStyle w:val="VerbatimChar"/>
        </w:rPr>
        <w:t xml:space="preserve">## Saving 10 x 6 in image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plot%20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infectious-and-noninfectious-prevalence"/>
      <w:bookmarkEnd w:id="24"/>
      <w:r>
        <w:t xml:space="preserve">Infectious and Noninfectious Prevalence</w:t>
      </w:r>
    </w:p>
    <w:p>
      <w:pPr>
        <w:pStyle w:val="Heading3"/>
      </w:pPr>
      <w:bookmarkStart w:id="25" w:name="basecase-annual-and-msm-annual-screening-scenarios-1"/>
      <w:bookmarkEnd w:id="25"/>
      <w:r>
        <w:t xml:space="preserve">Basecase, Annual, and MSM Annual Screening Scenarios</w:t>
      </w:r>
    </w:p>
    <w:p>
      <w:pPr>
        <w:pStyle w:val="SourceCode"/>
      </w:pPr>
      <w:r>
        <w:rPr>
          <w:rStyle w:val="VerbatimChar"/>
        </w:rPr>
        <w:t xml:space="preserve">## Warning: Removed 1042 rows containing missing values (geom_path).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define%20helper%20fn%2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10 x 6 in image</w:t>
      </w:r>
    </w:p>
    <w:p>
      <w:pPr>
        <w:pStyle w:val="SourceCode"/>
      </w:pPr>
      <w:r>
        <w:rPr>
          <w:rStyle w:val="VerbatimChar"/>
        </w:rPr>
        <w:t xml:space="preserve">## Warning: Removed 1042 rows containing missing values (geom_path).</w:t>
      </w:r>
    </w:p>
    <w:p>
      <w:pPr>
        <w:pStyle w:val="FirstParagraph"/>
      </w:pPr>
      <w:r>
        <w:t xml:space="preserve">Let’s look at the incidence rate among those with prior infections vs. all incidence.</w:t>
      </w:r>
    </w:p>
    <w:p>
      <w:pPr>
        <w:pStyle w:val="BodyText"/>
      </w:pPr>
      <w:r>
        <w:t xml:space="preserve">Let’s also look at what fraction of incidence is occuring among those with a prior</w:t>
      </w:r>
      <w:r>
        <w:t xml:space="preserve"> </w:t>
      </w:r>
      <w:r>
        <w:t xml:space="preserve">infection in the past two years.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continuous y-axis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(geom_path).</w:t>
      </w:r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continuous y-axis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 rows containing missing values (geom_path).</w:t>
      </w:r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ing_interventions_files/figure-docx/what%20fraction%20is%20among%20prior%20diagnos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e439c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Analyzing Screening Guidelines Scenarios</dc:title>
  <dc:creator>Christian Testa</dc:creator>
  <dcterms:created xsi:type="dcterms:W3CDTF">2019-07-25T14:38:43Z</dcterms:created>
  <dcterms:modified xsi:type="dcterms:W3CDTF">2019-07-25T14:38:43Z</dcterms:modified>
</cp:coreProperties>
</file>