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</w:t>
      </w:r>
      <w:r w:rsidR="00B70A29">
        <w:rPr>
          <w:b/>
        </w:rPr>
        <w:t>2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55045D" w:rsidRPr="00A31F9F" w:rsidRDefault="001570F2" w:rsidP="00B70A29">
      <w:pPr>
        <w:pStyle w:val="Default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B70A29" w:rsidRPr="00B70A29">
        <w:rPr>
          <w:b/>
          <w:bCs/>
          <w:sz w:val="28"/>
          <w:szCs w:val="28"/>
        </w:rPr>
        <w:t>ПОСТРОЕНИЕ И ИССЛЕДОВАНИЕ НЕЧЕТКОГО РЕГУЛЯТОРА НА ОСНОВЕ АЛГОРИТМА ТАКАГИ-СУГЕНО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8D2262">
            <w:pPr>
              <w:widowControl w:val="0"/>
              <w:jc w:val="center"/>
            </w:pPr>
            <w:proofErr w:type="spellStart"/>
            <w:r>
              <w:t>Порохненко</w:t>
            </w:r>
            <w:proofErr w:type="spellEnd"/>
            <w:r w:rsidR="00A31F9F">
              <w:t xml:space="preserve"> </w:t>
            </w:r>
            <w:r>
              <w:t>К</w:t>
            </w:r>
            <w:r w:rsidR="00A31F9F">
              <w:t>.</w:t>
            </w:r>
            <w:r>
              <w:t>А</w:t>
            </w:r>
            <w:r w:rsidR="00A31F9F">
              <w:t>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B70A29">
        <w:t>4</w:t>
      </w:r>
    </w:p>
    <w:p w:rsidR="00EF09DB" w:rsidRPr="00A7451B" w:rsidRDefault="00EF09DB" w:rsidP="00E76DE8">
      <w:pPr>
        <w:rPr>
          <w:szCs w:val="28"/>
          <w:lang w:val="en-US"/>
        </w:rPr>
      </w:pPr>
      <w:r w:rsidRPr="005C2776">
        <w:rPr>
          <w:b/>
          <w:bCs/>
          <w:szCs w:val="28"/>
        </w:rPr>
        <w:lastRenderedPageBreak/>
        <w:t>Цель работы:</w:t>
      </w:r>
      <w:r>
        <w:rPr>
          <w:b/>
          <w:bCs/>
          <w:szCs w:val="28"/>
        </w:rPr>
        <w:t xml:space="preserve"> </w:t>
      </w:r>
      <w:r w:rsidR="00B70A29">
        <w:rPr>
          <w:szCs w:val="28"/>
        </w:rPr>
        <w:t xml:space="preserve">построение нечеткого регулятора на основе правила </w:t>
      </w:r>
      <w:proofErr w:type="spellStart"/>
      <w:proofErr w:type="gramStart"/>
      <w:r w:rsidR="00B70A29">
        <w:rPr>
          <w:szCs w:val="28"/>
        </w:rPr>
        <w:t>не-</w:t>
      </w:r>
      <w:proofErr w:type="spellEnd"/>
      <w:r w:rsidR="00B70A29">
        <w:rPr>
          <w:szCs w:val="28"/>
        </w:rPr>
        <w:t xml:space="preserve"> четкого</w:t>
      </w:r>
      <w:proofErr w:type="gramEnd"/>
      <w:r w:rsidR="00B70A29">
        <w:rPr>
          <w:szCs w:val="28"/>
        </w:rPr>
        <w:t xml:space="preserve"> логического вывода </w:t>
      </w:r>
      <w:proofErr w:type="spellStart"/>
      <w:r w:rsidR="00B70A29">
        <w:rPr>
          <w:szCs w:val="28"/>
        </w:rPr>
        <w:t>Такаги</w:t>
      </w:r>
      <w:r w:rsidR="00B70A29">
        <w:rPr>
          <w:szCs w:val="28"/>
        </w:rPr>
        <w:t>-</w:t>
      </w:r>
      <w:r w:rsidR="00B70A29">
        <w:rPr>
          <w:szCs w:val="28"/>
        </w:rPr>
        <w:t>Сугено</w:t>
      </w:r>
      <w:proofErr w:type="spellEnd"/>
      <w:r w:rsidR="00B70A29">
        <w:rPr>
          <w:szCs w:val="28"/>
        </w:rPr>
        <w:t xml:space="preserve"> в пакете </w:t>
      </w:r>
      <w:proofErr w:type="spellStart"/>
      <w:r w:rsidR="00B70A29">
        <w:rPr>
          <w:i/>
          <w:iCs/>
          <w:szCs w:val="28"/>
        </w:rPr>
        <w:t>Fuzzy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Logic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Toolbox</w:t>
      </w:r>
      <w:proofErr w:type="spellEnd"/>
      <w:r w:rsidR="00B70A29">
        <w:rPr>
          <w:szCs w:val="28"/>
        </w:rPr>
        <w:t xml:space="preserve">. Эффективность управления проверяется по результатам моделирования в </w:t>
      </w:r>
      <w:proofErr w:type="spellStart"/>
      <w:r w:rsidR="00B70A29">
        <w:rPr>
          <w:i/>
          <w:iCs/>
          <w:szCs w:val="28"/>
        </w:rPr>
        <w:t>Toolbox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Simulink</w:t>
      </w:r>
      <w:proofErr w:type="spellEnd"/>
      <w:r w:rsidR="00B70A29">
        <w:rPr>
          <w:szCs w:val="28"/>
        </w:rPr>
        <w:t>.</w:t>
      </w:r>
    </w:p>
    <w:p w:rsidR="00EF09DB" w:rsidRPr="007B3CCA" w:rsidRDefault="00EF09DB" w:rsidP="00E76DE8"/>
    <w:p w:rsidR="00E76DE8" w:rsidRDefault="00E76DE8" w:rsidP="008D2262">
      <w:pPr>
        <w:jc w:val="center"/>
        <w:rPr>
          <w:b/>
        </w:rPr>
      </w:pPr>
      <w:r>
        <w:rPr>
          <w:b/>
        </w:rPr>
        <w:t>Ход работы</w:t>
      </w:r>
    </w:p>
    <w:p w:rsidR="008D2262" w:rsidRDefault="008D2262" w:rsidP="008D2262">
      <w:pPr>
        <w:ind w:firstLine="708"/>
      </w:pPr>
      <w:r>
        <w:t>Для исследования нечеткого регулятора проводится сравнительное моделирование переходных процессов систем третьего порядка с ПД-регулятором и с нечетким регулятором. Входами для обоих регуляторов служит величина ошибки и первой ее производной. Результат построения схемы для сравнительного моделирования представлен на рис. 1.</w:t>
      </w:r>
    </w:p>
    <w:p w:rsidR="00AC614D" w:rsidRDefault="00AC614D" w:rsidP="008D2262">
      <w:pPr>
        <w:ind w:firstLine="708"/>
      </w:pPr>
    </w:p>
    <w:p w:rsidR="008D2262" w:rsidRDefault="008D2262" w:rsidP="008D2262">
      <w:pPr>
        <w:keepNext/>
        <w:jc w:val="center"/>
      </w:pPr>
      <w:r>
        <w:rPr>
          <w:noProof/>
        </w:rPr>
        <w:drawing>
          <wp:inline distT="0" distB="0" distL="0" distR="0">
            <wp:extent cx="6158743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9" cy="24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411F1">
        <w:rPr>
          <w:noProof/>
        </w:rPr>
        <w:fldChar w:fldCharType="begin"/>
      </w:r>
      <w:r w:rsidR="00E411F1">
        <w:rPr>
          <w:noProof/>
        </w:rPr>
        <w:instrText xml:space="preserve"> SEQ Figure \* ARABIC </w:instrText>
      </w:r>
      <w:r w:rsidR="00E411F1">
        <w:rPr>
          <w:noProof/>
        </w:rPr>
        <w:fldChar w:fldCharType="separate"/>
      </w:r>
      <w:r w:rsidR="001B3617">
        <w:rPr>
          <w:noProof/>
        </w:rPr>
        <w:t>1</w:t>
      </w:r>
      <w:r w:rsidR="00E411F1">
        <w:rPr>
          <w:noProof/>
        </w:rPr>
        <w:fldChar w:fldCharType="end"/>
      </w:r>
      <w:r>
        <w:t xml:space="preserve"> - Схема систем с нечетким и ПД-регулятором</w:t>
      </w:r>
    </w:p>
    <w:p w:rsidR="00AC614D" w:rsidRPr="00AC614D" w:rsidRDefault="00AC614D" w:rsidP="00AC614D"/>
    <w:p w:rsidR="008D2262" w:rsidRDefault="008D2262" w:rsidP="008D2262">
      <w:pPr>
        <w:ind w:firstLine="708"/>
      </w:pPr>
      <w:r w:rsidRPr="008D2262">
        <w:t>Для проведения исследования необходимо сначала сконфигурировать нечеткий регулятор</w:t>
      </w:r>
      <w:r>
        <w:t>. Правила и процесс настройки можно увидеть на рис. 2-4.</w:t>
      </w:r>
    </w:p>
    <w:p w:rsidR="005B2A5C" w:rsidRDefault="005B2A5C" w:rsidP="005B2A5C">
      <w:pPr>
        <w:keepNext/>
        <w:jc w:val="center"/>
      </w:pPr>
      <w:r w:rsidRPr="005B2A5C">
        <w:rPr>
          <w:noProof/>
        </w:rPr>
        <w:lastRenderedPageBreak/>
        <w:drawing>
          <wp:inline distT="0" distB="0" distL="0" distR="0" wp14:anchorId="73255851" wp14:editId="5048794E">
            <wp:extent cx="4518660" cy="339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01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411F1">
        <w:rPr>
          <w:noProof/>
        </w:rPr>
        <w:fldChar w:fldCharType="begin"/>
      </w:r>
      <w:r w:rsidR="00E411F1">
        <w:rPr>
          <w:noProof/>
        </w:rPr>
        <w:instrText xml:space="preserve"> SEQ Figure \* ARABIC </w:instrText>
      </w:r>
      <w:r w:rsidR="00E411F1">
        <w:rPr>
          <w:noProof/>
        </w:rPr>
        <w:fldChar w:fldCharType="separate"/>
      </w:r>
      <w:r w:rsidR="001B3617">
        <w:rPr>
          <w:noProof/>
        </w:rPr>
        <w:t>2</w:t>
      </w:r>
      <w:r w:rsidR="00E411F1">
        <w:rPr>
          <w:noProof/>
        </w:rPr>
        <w:fldChar w:fldCharType="end"/>
      </w:r>
      <w:r>
        <w:t xml:space="preserve"> - Вид функций принадлежности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5941060" cy="40436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 xml:space="preserve">Структура </w:t>
      </w:r>
      <w:proofErr w:type="spellStart"/>
      <w:r>
        <w:t>нейронечеткого</w:t>
      </w:r>
      <w:proofErr w:type="spellEnd"/>
      <w:r>
        <w:t xml:space="preserve"> регулятора</w:t>
      </w:r>
    </w:p>
    <w:p w:rsidR="001B3617" w:rsidRDefault="001B3617" w:rsidP="001B3617"/>
    <w:p w:rsidR="001B3617" w:rsidRDefault="001B3617" w:rsidP="001B361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277495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-50-epochs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- Ступенчатое воздействие</w:t>
      </w:r>
    </w:p>
    <w:p w:rsidR="001B3617" w:rsidRDefault="001B3617" w:rsidP="001B3617"/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5941060" cy="348043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-50-epochs_big_coe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- Большие коэффициенты</w:t>
      </w:r>
    </w:p>
    <w:p w:rsidR="001B3617" w:rsidRDefault="001B3617" w:rsidP="001B3617">
      <w:pPr>
        <w:jc w:val="center"/>
      </w:pPr>
    </w:p>
    <w:p w:rsidR="001B3617" w:rsidRDefault="001B3617" w:rsidP="001B361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27723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-50-epochs_satu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 - Насыщение по управляющему воздействию</w:t>
      </w:r>
    </w:p>
    <w:p w:rsidR="001B3617" w:rsidRDefault="001B3617" w:rsidP="001B3617"/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5941060" cy="313118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-50-epochs_step_distur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7</w:t>
        </w:r>
      </w:fldSimple>
      <w:r>
        <w:t xml:space="preserve"> – Постоянное возмущающее воздействие величиной 50</w:t>
      </w:r>
    </w:p>
    <w:p w:rsidR="001B3617" w:rsidRDefault="001B3617" w:rsidP="001B3617"/>
    <w:p w:rsidR="001B3617" w:rsidRDefault="001B3617" w:rsidP="001B361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242633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-50-epochs_sin_distur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t xml:space="preserve"> - Синусоидальное возмущающее воздействие амплитудой 20</w:t>
      </w:r>
    </w:p>
    <w:p w:rsidR="001B3617" w:rsidRPr="001B3617" w:rsidRDefault="001B3617" w:rsidP="001B3617">
      <w:bookmarkStart w:id="0" w:name="_GoBack"/>
      <w:bookmarkEnd w:id="0"/>
    </w:p>
    <w:sectPr w:rsidR="001B3617" w:rsidRPr="001B3617">
      <w:footerReference w:type="default" r:id="rId15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F1" w:rsidRDefault="00E411F1">
      <w:r>
        <w:separator/>
      </w:r>
    </w:p>
    <w:p w:rsidR="00E411F1" w:rsidRDefault="00E411F1"/>
  </w:endnote>
  <w:endnote w:type="continuationSeparator" w:id="0">
    <w:p w:rsidR="00E411F1" w:rsidRDefault="00E411F1">
      <w:r>
        <w:continuationSeparator/>
      </w:r>
    </w:p>
    <w:p w:rsidR="00E411F1" w:rsidRDefault="00E41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F1" w:rsidRDefault="00E411F1">
      <w:r>
        <w:separator/>
      </w:r>
    </w:p>
    <w:p w:rsidR="00E411F1" w:rsidRDefault="00E411F1"/>
  </w:footnote>
  <w:footnote w:type="continuationSeparator" w:id="0">
    <w:p w:rsidR="00E411F1" w:rsidRDefault="00E411F1">
      <w:r>
        <w:continuationSeparator/>
      </w:r>
    </w:p>
    <w:p w:rsidR="00E411F1" w:rsidRDefault="00E411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72947"/>
    <w:rsid w:val="001B3617"/>
    <w:rsid w:val="001F0E07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55045D"/>
    <w:rsid w:val="005B2A5C"/>
    <w:rsid w:val="006F527C"/>
    <w:rsid w:val="00711E49"/>
    <w:rsid w:val="00764A41"/>
    <w:rsid w:val="007B3CCA"/>
    <w:rsid w:val="007E0C95"/>
    <w:rsid w:val="007E7ADD"/>
    <w:rsid w:val="0083641E"/>
    <w:rsid w:val="008C6384"/>
    <w:rsid w:val="008D2262"/>
    <w:rsid w:val="00917630"/>
    <w:rsid w:val="009B687F"/>
    <w:rsid w:val="009C5441"/>
    <w:rsid w:val="009F6ECC"/>
    <w:rsid w:val="00A31F9F"/>
    <w:rsid w:val="00A43865"/>
    <w:rsid w:val="00A7451B"/>
    <w:rsid w:val="00AC614D"/>
    <w:rsid w:val="00AE7388"/>
    <w:rsid w:val="00B53CBF"/>
    <w:rsid w:val="00B70A29"/>
    <w:rsid w:val="00B77284"/>
    <w:rsid w:val="00C14EF5"/>
    <w:rsid w:val="00C50E10"/>
    <w:rsid w:val="00C57BBC"/>
    <w:rsid w:val="00C6319F"/>
    <w:rsid w:val="00CC3F65"/>
    <w:rsid w:val="00D35247"/>
    <w:rsid w:val="00D8306A"/>
    <w:rsid w:val="00E202ED"/>
    <w:rsid w:val="00E411F1"/>
    <w:rsid w:val="00E76DE8"/>
    <w:rsid w:val="00E83D4A"/>
    <w:rsid w:val="00EF09DB"/>
    <w:rsid w:val="00EF28EB"/>
    <w:rsid w:val="00F363F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9B71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14</cp:revision>
  <dcterms:created xsi:type="dcterms:W3CDTF">2023-09-10T17:47:00Z</dcterms:created>
  <dcterms:modified xsi:type="dcterms:W3CDTF">2024-03-24T15:41:00Z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