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отчет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по </w:t>
      </w:r>
      <w:r>
        <w:rPr>
          <w:rFonts w:eastAsia="Times New Roman" w:cs="Times New Roman"/>
          <w:b/>
          <w:color w:val="000000"/>
          <w:szCs w:val="20"/>
          <w:lang w:eastAsia="ru-RU"/>
        </w:rPr>
        <w:t>практической работе № 2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по дисциплине «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Акустическое проектирование электроэнергетического оборудования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>»</w:t>
      </w:r>
    </w:p>
    <w:p w:rsidR="00EA44C1" w:rsidRPr="00EA44C1" w:rsidRDefault="00EA44C1" w:rsidP="00EA44C1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 w:rsidRPr="00EA44C1">
        <w:rPr>
          <w:rFonts w:eastAsia="Times New Roman" w:cs="Times New Roman"/>
          <w:b/>
          <w:bCs/>
          <w:color w:val="000000"/>
          <w:szCs w:val="28"/>
          <w:lang w:eastAsia="ru-RU"/>
        </w:rPr>
        <w:t>РАСЧЕТ АМПЛИТУДЫ ПУЛЬСИРУЮЩЕГО МОМЕНТА В АСИНХРОННОМ ДВИГАТЕЛЕ ПРИ НЕСИММЕТРИИ НАПРЯЖЕНИЯ В СЭЭС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t>Вариант 1</w:t>
      </w: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Н.А.</w:t>
            </w:r>
          </w:p>
        </w:tc>
      </w:tr>
    </w:tbl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Pr="00EA44C1">
        <w:rPr>
          <w:rFonts w:eastAsia="Times New Roman" w:cs="Times New Roman"/>
          <w:color w:val="000000"/>
          <w:szCs w:val="20"/>
          <w:lang w:eastAsia="ru-RU"/>
        </w:rPr>
        <w:t>2024</w:t>
      </w:r>
    </w:p>
    <w:p w:rsidR="00EA44C1" w:rsidRDefault="00D3764D" w:rsidP="00EA44C1">
      <w:pPr>
        <w:tabs>
          <w:tab w:val="center" w:pos="4677"/>
          <w:tab w:val="left" w:pos="5610"/>
        </w:tabs>
        <w:spacing w:after="0" w:line="360" w:lineRule="auto"/>
        <w:jc w:val="center"/>
      </w:pPr>
      <w:r>
        <w:rPr>
          <w:b/>
        </w:rPr>
        <w:lastRenderedPageBreak/>
        <w:t>Постановка задачи</w:t>
      </w:r>
    </w:p>
    <w:p w:rsidR="00D3764D" w:rsidRDefault="00EA44C1" w:rsidP="00EA44C1">
      <w:pPr>
        <w:spacing w:line="360" w:lineRule="auto"/>
      </w:pPr>
      <w:r>
        <w:tab/>
      </w:r>
      <w:r w:rsidRPr="00EA44C1">
        <w:t xml:space="preserve">Включение в состав судовой электроэнергетической системы (СЭЭС) нелинейных электрических элементов является одной из причин ухудшения качества электроэнергии. Нелинейные электрические аппараты (статические выпрямители, преобразователи частоты и др.) приводят к появлению высших гармоник напряжения в сетях постоянного и переменного тока, </w:t>
      </w:r>
      <w:proofErr w:type="spellStart"/>
      <w:r w:rsidRPr="00EA44C1">
        <w:t>несимметрии</w:t>
      </w:r>
      <w:proofErr w:type="spellEnd"/>
      <w:r w:rsidRPr="00EA44C1">
        <w:t xml:space="preserve"> напряжения СЭЭС. Пульсация электрической энергии является причиной существенного ухудшения вибрационных характеристик электрооборудования, в том числе электрических машин (ЭМ). Расчет вибрации судовых ЭМ с учетом заданных показателей качества электроэнергии в СЭЭС включает расчеты амплитуды пульсирующего момента и переменных радиальных электромагнитных сил в асинхронном двигателе при </w:t>
      </w:r>
      <w:proofErr w:type="spellStart"/>
      <w:r w:rsidRPr="00EA44C1">
        <w:t>несимметрии</w:t>
      </w:r>
      <w:proofErr w:type="spellEnd"/>
      <w:r w:rsidRPr="00EA44C1">
        <w:t xml:space="preserve"> и </w:t>
      </w:r>
      <w:proofErr w:type="spellStart"/>
      <w:r w:rsidRPr="00EA44C1">
        <w:t>несинусоидальности</w:t>
      </w:r>
      <w:proofErr w:type="spellEnd"/>
      <w:r w:rsidRPr="00EA44C1">
        <w:t xml:space="preserve"> напряжения в СЭЭС. На основе этих данных можно рассчитать ожидаемые уровни вибрации асинхронного двигателя (АД), возбуждаемой электромагнитными силами. Результаты таких расчетов позволяют выбрать и рассчитать эффективность амортизаторов с учетом судовых условий. </w:t>
      </w:r>
    </w:p>
    <w:p w:rsidR="00D3764D" w:rsidRPr="00D3764D" w:rsidRDefault="00EA44C1" w:rsidP="00D3764D">
      <w:pPr>
        <w:spacing w:line="360" w:lineRule="auto"/>
        <w:jc w:val="center"/>
        <w:rPr>
          <w:b/>
        </w:rPr>
      </w:pPr>
      <w:r w:rsidRPr="00D3764D">
        <w:rPr>
          <w:b/>
        </w:rPr>
        <w:t>Исходные данные</w:t>
      </w:r>
    </w:p>
    <w:p w:rsidR="00EA44C1" w:rsidRPr="00EA44C1" w:rsidRDefault="00EA44C1" w:rsidP="00D3764D">
      <w:pPr>
        <w:spacing w:line="360" w:lineRule="auto"/>
        <w:ind w:firstLine="708"/>
      </w:pPr>
      <w:r w:rsidRPr="00EA44C1">
        <w:t>Амплитуда составляющих прямой и обратной последова</w:t>
      </w:r>
      <w:r w:rsidR="00D3764D">
        <w:t xml:space="preserve">тельностей фазных напряжений </w:t>
      </w:r>
      <w:r w:rsidR="00D3764D" w:rsidRPr="00D3764D">
        <w:rPr>
          <w:i/>
        </w:rPr>
        <w:t>U</w:t>
      </w:r>
      <w:r w:rsidR="00D3764D" w:rsidRPr="00D3764D">
        <w:rPr>
          <w:i/>
          <w:vertAlign w:val="subscript"/>
        </w:rPr>
        <w:t>1</w:t>
      </w:r>
      <w:r w:rsidRPr="00D3764D">
        <w:rPr>
          <w:i/>
        </w:rPr>
        <w:t>,</w:t>
      </w:r>
      <w:r w:rsidR="00D3764D" w:rsidRPr="00D3764D">
        <w:rPr>
          <w:i/>
        </w:rPr>
        <w:t xml:space="preserve"> U</w:t>
      </w:r>
      <w:r w:rsidR="00D3764D" w:rsidRPr="00D3764D">
        <w:rPr>
          <w:i/>
          <w:vertAlign w:val="subscript"/>
        </w:rPr>
        <w:t>2</w:t>
      </w:r>
      <w:r w:rsidRPr="00D3764D">
        <w:rPr>
          <w:i/>
        </w:rPr>
        <w:t>,</w:t>
      </w:r>
      <w:r w:rsidRPr="00EA44C1">
        <w:t xml:space="preserve"> </w:t>
      </w:r>
      <w:proofErr w:type="gramStart"/>
      <w:r w:rsidRPr="00EA44C1">
        <w:t>В</w:t>
      </w:r>
      <w:proofErr w:type="gramEnd"/>
      <w:r w:rsidRPr="00EA44C1">
        <w:t>;</w:t>
      </w:r>
      <w:r w:rsidR="00D3764D">
        <w:t xml:space="preserve"> частота напряжения питания </w:t>
      </w:r>
      <w:r w:rsidR="00D3764D" w:rsidRPr="00D3764D">
        <w:rPr>
          <w:i/>
        </w:rPr>
        <w:t>f</w:t>
      </w:r>
      <w:r w:rsidR="00D3764D" w:rsidRPr="00D3764D">
        <w:rPr>
          <w:i/>
          <w:vertAlign w:val="subscript"/>
        </w:rPr>
        <w:t>1</w:t>
      </w:r>
      <w:r w:rsidRPr="00EA44C1">
        <w:t xml:space="preserve">, Гц; скольжение </w:t>
      </w:r>
      <w:r w:rsidRPr="00D3764D">
        <w:rPr>
          <w:i/>
        </w:rPr>
        <w:t>S</w:t>
      </w:r>
      <w:r w:rsidRPr="00EA44C1">
        <w:t xml:space="preserve">; число пар полюсов </w:t>
      </w:r>
      <w:r w:rsidRPr="00D3764D">
        <w:rPr>
          <w:i/>
        </w:rPr>
        <w:t>p</w:t>
      </w:r>
      <w:r w:rsidRPr="00EA44C1">
        <w:t xml:space="preserve">; параметры схемы замещения АД: – активное и индуктивное сопротивления рассеяния обмотки статора </w:t>
      </w:r>
      <w:r w:rsidR="00D3764D" w:rsidRPr="00D3764D">
        <w:rPr>
          <w:i/>
          <w:lang w:val="en-US"/>
        </w:rPr>
        <w:t>r</w:t>
      </w:r>
      <w:r w:rsidRPr="00D3764D">
        <w:rPr>
          <w:i/>
          <w:vertAlign w:val="subscript"/>
        </w:rPr>
        <w:t>st</w:t>
      </w:r>
      <w:r w:rsidRPr="00EA44C1">
        <w:t xml:space="preserve">, </w:t>
      </w:r>
      <w:r w:rsidR="00D3764D" w:rsidRPr="00D3764D">
        <w:rPr>
          <w:i/>
          <w:lang w:val="en-US"/>
        </w:rPr>
        <w:t>x</w:t>
      </w:r>
      <w:r w:rsidRPr="00D3764D">
        <w:rPr>
          <w:i/>
          <w:vertAlign w:val="subscript"/>
        </w:rPr>
        <w:t>st</w:t>
      </w:r>
      <w:r w:rsidRPr="00EA44C1">
        <w:t xml:space="preserve">, Ом; – приведенные активные и индуктивные сопротивления рассеяния обмотки ротора </w:t>
      </w:r>
      <w:r w:rsidR="00D3764D" w:rsidRPr="00D3764D">
        <w:rPr>
          <w:i/>
          <w:lang w:val="en-US"/>
        </w:rPr>
        <w:t>r</w:t>
      </w:r>
      <w:r w:rsidR="00D3764D" w:rsidRPr="00D3764D">
        <w:rPr>
          <w:i/>
          <w:vertAlign w:val="subscript"/>
        </w:rPr>
        <w:t>rt</w:t>
      </w:r>
      <w:r w:rsidRPr="00D3764D">
        <w:rPr>
          <w:i/>
        </w:rPr>
        <w:t xml:space="preserve">, </w:t>
      </w:r>
      <w:r w:rsidR="00D3764D" w:rsidRPr="00D3764D">
        <w:rPr>
          <w:i/>
          <w:lang w:val="en-US"/>
        </w:rPr>
        <w:t>x</w:t>
      </w:r>
      <w:r w:rsidRPr="00D3764D">
        <w:rPr>
          <w:i/>
          <w:vertAlign w:val="subscript"/>
        </w:rPr>
        <w:t>rt</w:t>
      </w:r>
      <w:r w:rsidRPr="00EA44C1">
        <w:t xml:space="preserve">, Ом; – активное и индуктивное сопротивление контура намагничивания </w:t>
      </w:r>
      <w:proofErr w:type="spellStart"/>
      <w:r w:rsidRPr="00D3764D">
        <w:rPr>
          <w:i/>
        </w:rPr>
        <w:t>r</w:t>
      </w:r>
      <w:r w:rsidRPr="00D3764D">
        <w:rPr>
          <w:i/>
          <w:vertAlign w:val="subscript"/>
        </w:rPr>
        <w:t>m</w:t>
      </w:r>
      <w:proofErr w:type="spellEnd"/>
      <w:r w:rsidRPr="00EA44C1">
        <w:t xml:space="preserve">, </w:t>
      </w:r>
      <w:proofErr w:type="spellStart"/>
      <w:r w:rsidRPr="00D3764D">
        <w:rPr>
          <w:i/>
        </w:rPr>
        <w:t>x</w:t>
      </w:r>
      <w:r w:rsidRPr="00D3764D">
        <w:rPr>
          <w:i/>
          <w:vertAlign w:val="subscript"/>
        </w:rPr>
        <w:t>m</w:t>
      </w:r>
      <w:proofErr w:type="spellEnd"/>
      <w:r w:rsidRPr="00EA44C1">
        <w:t xml:space="preserve">, Ом. Требуется найти. Амплитуду пульсирующего момента </w:t>
      </w:r>
      <w:r w:rsidRPr="00D3764D">
        <w:rPr>
          <w:i/>
        </w:rPr>
        <w:t>M</w:t>
      </w:r>
      <w:r w:rsidRPr="00EA44C1">
        <w:t xml:space="preserve">, Н </w:t>
      </w:r>
      <w:r w:rsidRPr="00EA44C1">
        <w:sym w:font="Symbol" w:char="F0D7"/>
      </w:r>
      <w:r w:rsidRPr="00EA44C1">
        <w:t xml:space="preserve"> м; коэффициент обратной последовательности напряжения </w:t>
      </w:r>
      <w:proofErr w:type="spellStart"/>
      <w:r w:rsidRPr="00FD1E23">
        <w:rPr>
          <w:i/>
        </w:rPr>
        <w:t>K</w:t>
      </w:r>
      <w:r w:rsidRPr="00FD1E23">
        <w:rPr>
          <w:i/>
          <w:vertAlign w:val="subscript"/>
        </w:rPr>
        <w:t>o.п</w:t>
      </w:r>
      <w:proofErr w:type="spellEnd"/>
      <w:r w:rsidRPr="00FD1E23">
        <w:rPr>
          <w:i/>
          <w:vertAlign w:val="subscript"/>
        </w:rPr>
        <w:t>.</w:t>
      </w:r>
      <w:r w:rsidRPr="00EA44C1">
        <w:t>.</w:t>
      </w:r>
      <w:r w:rsidR="00FD1E23">
        <w:t xml:space="preserve"> Данные для расчета приведены в Таблице 1.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FD1E23" w:rsidRDefault="00FD1E23" w:rsidP="00FD1E23">
      <w:pPr>
        <w:pStyle w:val="a7"/>
        <w:keepNext/>
        <w:jc w:val="righ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13657">
        <w:rPr>
          <w:noProof/>
        </w:rPr>
        <w:t>1</w:t>
      </w:r>
      <w:r>
        <w:fldChar w:fldCharType="end"/>
      </w:r>
      <w:r>
        <w:t xml:space="preserve"> - Данные для расчета</w:t>
      </w:r>
    </w:p>
    <w:p w:rsidR="005A396A" w:rsidRDefault="00EA44C1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717FD0F9" wp14:editId="2402D49A">
            <wp:extent cx="24669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B8" w:rsidRDefault="007F7BB8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7F7BB8" w:rsidRPr="007F7BB8" w:rsidRDefault="007F7BB8" w:rsidP="007F7BB8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Амплитуду пульсирующего момента можно найти по следующей формуле:</w:t>
      </w:r>
    </w:p>
    <w:p w:rsidR="007F7BB8" w:rsidRDefault="007F7BB8" w:rsidP="007F7BB8">
      <w:pPr>
        <w:pStyle w:val="MTDisplayEquation"/>
        <w:jc w:val="both"/>
        <w:rPr>
          <w:lang w:val="ru-RU"/>
        </w:rPr>
      </w:pPr>
      <w:r w:rsidRPr="007F7BB8">
        <w:rPr>
          <w:lang w:val="ru-RU"/>
        </w:rPr>
        <w:tab/>
      </w:r>
      <w:r w:rsidR="006A244A" w:rsidRPr="007F7BB8">
        <w:rPr>
          <w:position w:val="-30"/>
        </w:rPr>
        <w:object w:dxaOrig="2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51.5pt;height:37.5pt" o:ole="">
            <v:imagedata r:id="rId7" o:title=""/>
          </v:shape>
          <o:OLEObject Type="Embed" ProgID="Equation.DSMT4" ShapeID="_x0000_i1035" DrawAspect="Content" ObjectID="_1789797194" r:id="rId8"/>
        </w:object>
      </w:r>
      <w:r>
        <w:rPr>
          <w:lang w:val="ru-RU"/>
        </w:rPr>
        <w:t>,</w:t>
      </w:r>
    </w:p>
    <w:p w:rsidR="007F7BB8" w:rsidRPr="00E76E0A" w:rsidRDefault="007F7BB8" w:rsidP="007F7BB8">
      <w:pPr>
        <w:rPr>
          <w:lang w:val="en-US" w:eastAsia="ru-RU"/>
        </w:rPr>
      </w:pPr>
      <w:r>
        <w:rPr>
          <w:lang w:eastAsia="ru-RU"/>
        </w:rPr>
        <w:t xml:space="preserve">где </w:t>
      </w:r>
      <w:r w:rsidRPr="007F7BB8">
        <w:rPr>
          <w:i/>
          <w:lang w:val="en-US" w:eastAsia="ru-RU"/>
        </w:rPr>
        <w:t>Y</w:t>
      </w:r>
      <w:r w:rsidRPr="007F7BB8">
        <w:rPr>
          <w:i/>
          <w:vertAlign w:val="subscript"/>
          <w:lang w:eastAsia="ru-RU"/>
        </w:rPr>
        <w:t xml:space="preserve">1 </w:t>
      </w:r>
      <w:r w:rsidRPr="007F7BB8">
        <w:rPr>
          <w:lang w:eastAsia="ru-RU"/>
        </w:rPr>
        <w:t>и</w:t>
      </w:r>
      <w:r w:rsidRPr="007F7BB8">
        <w:rPr>
          <w:i/>
          <w:lang w:eastAsia="ru-RU"/>
        </w:rPr>
        <w:t xml:space="preserve"> </w:t>
      </w:r>
      <w:r w:rsidRPr="007F7BB8">
        <w:rPr>
          <w:i/>
          <w:lang w:val="en-US" w:eastAsia="ru-RU"/>
        </w:rPr>
        <w:t>Y</w:t>
      </w:r>
      <w:r w:rsidRPr="007F7BB8">
        <w:rPr>
          <w:i/>
          <w:vertAlign w:val="subscript"/>
          <w:lang w:eastAsia="ru-RU"/>
        </w:rPr>
        <w:t>2</w:t>
      </w:r>
      <w:r>
        <w:rPr>
          <w:i/>
          <w:lang w:eastAsia="ru-RU"/>
        </w:rPr>
        <w:t xml:space="preserve"> </w:t>
      </w:r>
      <w:r>
        <w:rPr>
          <w:lang w:eastAsia="ru-RU"/>
        </w:rPr>
        <w:t xml:space="preserve">– проводимости </w:t>
      </w:r>
      <w:r w:rsidR="00E76E0A">
        <w:rPr>
          <w:lang w:eastAsia="ru-RU"/>
        </w:rPr>
        <w:t xml:space="preserve">схем замещения для прямой и обратной последовательности, представленных на рисунке 1. </w:t>
      </w:r>
      <w:r w:rsidR="006A244A" w:rsidRPr="00E76E0A">
        <w:rPr>
          <w:position w:val="-32"/>
          <w:lang w:eastAsia="ru-RU"/>
        </w:rPr>
        <w:object w:dxaOrig="980" w:dyaOrig="760">
          <v:shape id="_x0000_i1030" type="#_x0000_t75" style="width:57pt;height:45pt" o:ole="">
            <v:imagedata r:id="rId9" o:title=""/>
          </v:shape>
          <o:OLEObject Type="Embed" ProgID="Equation.DSMT4" ShapeID="_x0000_i1030" DrawAspect="Content" ObjectID="_1789797195" r:id="rId10"/>
        </w:object>
      </w:r>
    </w:p>
    <w:p w:rsidR="00E76E0A" w:rsidRDefault="00E76E0A" w:rsidP="00E76E0A">
      <w:pPr>
        <w:keepNext/>
        <w:jc w:val="center"/>
      </w:pPr>
      <w:r w:rsidRPr="00E76E0A">
        <w:rPr>
          <w:lang w:eastAsia="ru-RU"/>
        </w:rPr>
        <w:drawing>
          <wp:inline distT="0" distB="0" distL="0" distR="0" wp14:anchorId="0B7EAF01" wp14:editId="160C6221">
            <wp:extent cx="4000500" cy="3800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0A" w:rsidRPr="007F7BB8" w:rsidRDefault="00E76E0A" w:rsidP="00E76E0A">
      <w:pPr>
        <w:pStyle w:val="a7"/>
        <w:jc w:val="center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3657">
        <w:rPr>
          <w:noProof/>
        </w:rPr>
        <w:t>1</w:t>
      </w:r>
      <w:r>
        <w:fldChar w:fldCharType="end"/>
      </w:r>
      <w:r w:rsidRPr="004E7EFC">
        <w:t xml:space="preserve"> - Схемы замещения для прямой (сверху) и обратной (снизу) последовательности</w:t>
      </w:r>
    </w:p>
    <w:p w:rsidR="00E76E0A" w:rsidRPr="00E76E0A" w:rsidRDefault="007F7BB8" w:rsidP="00E76E0A">
      <w:pPr>
        <w:ind w:firstLine="708"/>
      </w:pPr>
      <w:r w:rsidRPr="00E76E0A">
        <w:lastRenderedPageBreak/>
        <w:t xml:space="preserve">В целях уменьшения вероятности допустить ошибку при расчете требуемых величин произведем расчет в среде </w:t>
      </w:r>
      <w:proofErr w:type="spellStart"/>
      <w:r w:rsidRPr="00E76E0A">
        <w:t>Matlab</w:t>
      </w:r>
      <w:proofErr w:type="spellEnd"/>
      <w:r w:rsidRPr="00E76E0A">
        <w:t>. Исходный код скрипта представлен в листинге 1.</w:t>
      </w: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jc w:val="right"/>
        <w:rPr>
          <w:rFonts w:eastAsia="Times New Roman" w:cs="Times New Roman"/>
          <w:i/>
          <w:color w:val="000000"/>
          <w:szCs w:val="20"/>
          <w:lang w:eastAsia="ru-RU"/>
        </w:rPr>
      </w:pPr>
      <w:r>
        <w:rPr>
          <w:rFonts w:eastAsia="Times New Roman" w:cs="Times New Roman"/>
          <w:i/>
          <w:color w:val="000000"/>
          <w:szCs w:val="20"/>
          <w:lang w:eastAsia="ru-RU"/>
        </w:rPr>
        <w:t>Листинг 1 – Исходный код скрипта расчета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eastAsia="ru-RU"/>
        </w:rPr>
        <w:t>U1 = 220;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U2 = 4.5;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f = 50;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s = 0.05;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p = 2;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2.4;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1i*2.8;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1.3;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1i*4.6;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1i*50;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omega = 2*pi*f;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Z1 =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calc_</w:t>
      </w:r>
      <w:proofErr w:type="gram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schema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/s);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Z2 =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calc_</w:t>
      </w:r>
      <w:proofErr w:type="gram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schema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/(2-s));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Y1 = 1/Z1;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Y2 = 1/Z2;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M2_w1 = 1 / omega * 3*p*U1*U2 * </w:t>
      </w:r>
      <w:proofErr w:type="gram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Y1 - Y2)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K_op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U2 / U1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calc_</w:t>
      </w:r>
      <w:proofErr w:type="gram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paralel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x1, x2)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(x1*x2) / (x1 + x2);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z =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calc_</w:t>
      </w:r>
      <w:proofErr w:type="gram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schema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Xrt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, s)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 =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Rst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Xst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calc_</w:t>
      </w:r>
      <w:proofErr w:type="gram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paralel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Xrt+s</w:t>
      </w:r>
      <w:proofErr w:type="spellEnd"/>
      <w:r w:rsidRPr="00E76E0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E76E0A" w:rsidRPr="00E76E0A" w:rsidRDefault="00E76E0A" w:rsidP="00E76E0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6E0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E76E0A" w:rsidRPr="009830EE" w:rsidRDefault="009830EE" w:rsidP="009830EE">
      <w:r>
        <w:rPr>
          <w:lang w:eastAsia="ru-RU"/>
        </w:rPr>
        <w:tab/>
      </w:r>
      <w:r w:rsidR="00E76E0A" w:rsidRPr="009830EE">
        <w:t xml:space="preserve">В результате выполнения приведенного выше скрипта получили следующий результат: </w:t>
      </w:r>
      <w:r w:rsidR="006A244A" w:rsidRPr="009830EE">
        <w:object w:dxaOrig="2860" w:dyaOrig="360">
          <v:shape id="_x0000_i1033" type="#_x0000_t75" style="width:186.75pt;height:23.25pt" o:ole="">
            <v:imagedata r:id="rId12" o:title=""/>
          </v:shape>
          <o:OLEObject Type="Embed" ProgID="Equation.DSMT4" ShapeID="_x0000_i1033" DrawAspect="Content" ObjectID="_1789797196" r:id="rId13"/>
        </w:object>
      </w:r>
      <w:r w:rsidR="00B763B7" w:rsidRPr="009830EE">
        <w:t xml:space="preserve">. Нормально допустимым коэффициентом напряжения обратной последовательности считается 2%, предельно допустимым – 4%. Таким образом можно сделать вывод о том, что в нашем случае не происходит превышения коэффициента обратной последовательности. </w:t>
      </w:r>
      <w:bookmarkStart w:id="0" w:name="_GoBack"/>
      <w:bookmarkEnd w:id="0"/>
    </w:p>
    <w:sectPr w:rsidR="00E76E0A" w:rsidRPr="009830EE" w:rsidSect="00EA44C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5F" w:rsidRDefault="005C1A5F" w:rsidP="00EA44C1">
      <w:pPr>
        <w:spacing w:after="0" w:line="240" w:lineRule="auto"/>
      </w:pPr>
      <w:r>
        <w:separator/>
      </w:r>
    </w:p>
  </w:endnote>
  <w:endnote w:type="continuationSeparator" w:id="0">
    <w:p w:rsidR="005C1A5F" w:rsidRDefault="005C1A5F" w:rsidP="00EA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424191"/>
      <w:docPartObj>
        <w:docPartGallery w:val="Page Numbers (Bottom of Page)"/>
        <w:docPartUnique/>
      </w:docPartObj>
    </w:sdtPr>
    <w:sdtContent>
      <w:p w:rsidR="00EA44C1" w:rsidRDefault="00EA44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657">
          <w:rPr>
            <w:noProof/>
          </w:rPr>
          <w:t>4</w:t>
        </w:r>
        <w:r>
          <w:fldChar w:fldCharType="end"/>
        </w:r>
      </w:p>
    </w:sdtContent>
  </w:sdt>
  <w:p w:rsidR="00EA44C1" w:rsidRDefault="00EA44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C1" w:rsidRDefault="00EA44C1">
    <w:pPr>
      <w:pStyle w:val="a5"/>
      <w:jc w:val="center"/>
    </w:pPr>
  </w:p>
  <w:p w:rsidR="00EA44C1" w:rsidRDefault="00EA44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5F" w:rsidRDefault="005C1A5F" w:rsidP="00EA44C1">
      <w:pPr>
        <w:spacing w:after="0" w:line="240" w:lineRule="auto"/>
      </w:pPr>
      <w:r>
        <w:separator/>
      </w:r>
    </w:p>
  </w:footnote>
  <w:footnote w:type="continuationSeparator" w:id="0">
    <w:p w:rsidR="005C1A5F" w:rsidRDefault="005C1A5F" w:rsidP="00EA4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FD"/>
    <w:rsid w:val="005A396A"/>
    <w:rsid w:val="005C1A5F"/>
    <w:rsid w:val="005F6F31"/>
    <w:rsid w:val="006A244A"/>
    <w:rsid w:val="00723DE8"/>
    <w:rsid w:val="007F7BB8"/>
    <w:rsid w:val="00805FFD"/>
    <w:rsid w:val="00913657"/>
    <w:rsid w:val="009830EE"/>
    <w:rsid w:val="00B763B7"/>
    <w:rsid w:val="00D22FEF"/>
    <w:rsid w:val="00D3764D"/>
    <w:rsid w:val="00E76E0A"/>
    <w:rsid w:val="00EA44C1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2878B"/>
  <w15:chartTrackingRefBased/>
  <w15:docId w15:val="{FE96035A-8083-407F-ACEB-F0BFB331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4C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4C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D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F7BB8"/>
    <w:pPr>
      <w:tabs>
        <w:tab w:val="center" w:pos="4680"/>
        <w:tab w:val="right" w:pos="9360"/>
      </w:tabs>
      <w:spacing w:after="0" w:line="240" w:lineRule="auto"/>
      <w:jc w:val="center"/>
    </w:pPr>
    <w:rPr>
      <w:rFonts w:eastAsia="Times New Roman" w:cs="Times New Roman"/>
      <w:color w:val="000000"/>
      <w:szCs w:val="20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7F7BB8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8</cp:revision>
  <cp:lastPrinted>2024-10-07T06:06:00Z</cp:lastPrinted>
  <dcterms:created xsi:type="dcterms:W3CDTF">2024-10-05T10:33:00Z</dcterms:created>
  <dcterms:modified xsi:type="dcterms:W3CDTF">2024-10-07T06:06:00Z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