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3557904E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>Нгуен Зуи Хань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5FB48D6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9D0D5D">
        <w:rPr>
          <w:sz w:val="28"/>
        </w:rPr>
        <w:t>амику с эталонной моделью, коэффициенты моделей:</w:t>
      </w:r>
      <w:r>
        <w:rPr>
          <w:sz w:val="28"/>
        </w:rPr>
        <w:t xml:space="preserve">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7" o:title=""/>
          </v:shape>
          <o:OLEObject Type="Embed" ProgID="Equation.DSMT4" ShapeID="_x0000_i1025" DrawAspect="Content" ObjectID="_1793027715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7577C24F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1</w:t>
      </w:r>
      <w:r w:rsidR="000526C2">
        <w:rPr>
          <w:noProof/>
        </w:rPr>
        <w:fldChar w:fldCharType="end"/>
      </w:r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4C1A9500" w:rsidR="00837341" w:rsidRDefault="00837341" w:rsidP="00837341">
      <w:pPr>
        <w:pStyle w:val="a9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2</w:t>
      </w:r>
      <w:r w:rsidR="000526C2">
        <w:rPr>
          <w:noProof/>
        </w:rPr>
        <w:fldChar w:fldCharType="end"/>
      </w:r>
      <w:r>
        <w:t xml:space="preserve"> - График переходных процессов систем</w:t>
      </w:r>
    </w:p>
    <w:p w14:paraId="7932DD61" w14:textId="77777777" w:rsidR="001350ED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  <w:r w:rsidR="001350ED">
        <w:rPr>
          <w:sz w:val="28"/>
        </w:rPr>
        <w:t xml:space="preserve"> </w:t>
      </w:r>
    </w:p>
    <w:p w14:paraId="711BE20D" w14:textId="10E8F2C9" w:rsidR="002643E0" w:rsidRDefault="001350ED" w:rsidP="0004149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Найдем значения </w:t>
      </w:r>
      <w:r w:rsidRPr="001350ED">
        <w:rPr>
          <w:position w:val="-12"/>
          <w:sz w:val="28"/>
        </w:rPr>
        <w:object w:dxaOrig="279" w:dyaOrig="380" w14:anchorId="1585AF7D">
          <v:shape id="_x0000_i1026" type="#_x0000_t75" style="width:14.25pt;height:18.75pt" o:ole="">
            <v:imagedata r:id="rId11" o:title=""/>
          </v:shape>
          <o:OLEObject Type="Embed" ProgID="Equation.DSMT4" ShapeID="_x0000_i1026" DrawAspect="Content" ObjectID="_1793027716" r:id="rId12"/>
        </w:object>
      </w:r>
      <w:r>
        <w:rPr>
          <w:sz w:val="28"/>
        </w:rPr>
        <w:t xml:space="preserve"> и </w:t>
      </w:r>
      <w:r w:rsidRPr="001350ED">
        <w:rPr>
          <w:position w:val="-12"/>
          <w:sz w:val="28"/>
        </w:rPr>
        <w:object w:dxaOrig="279" w:dyaOrig="380" w14:anchorId="37B3D150">
          <v:shape id="_x0000_i1027" type="#_x0000_t75" style="width:14.25pt;height:18.75pt" o:ole="">
            <v:imagedata r:id="rId13" o:title=""/>
          </v:shape>
          <o:OLEObject Type="Embed" ProgID="Equation.DSMT4" ShapeID="_x0000_i1027" DrawAspect="Content" ObjectID="_1793027717" r:id="rId14"/>
        </w:object>
      </w:r>
      <w:r w:rsidR="002643E0">
        <w:rPr>
          <w:sz w:val="28"/>
        </w:rPr>
        <w:t>:</w:t>
      </w:r>
      <w:r>
        <w:rPr>
          <w:sz w:val="28"/>
          <w:lang w:val="en-US"/>
        </w:rPr>
        <w:t xml:space="preserve"> </w:t>
      </w:r>
    </w:p>
    <w:p w14:paraId="75DAE4F3" w14:textId="30299B1F" w:rsidR="00411920" w:rsidRPr="00411920" w:rsidRDefault="001350ED" w:rsidP="00411920">
      <w:pPr>
        <w:spacing w:line="360" w:lineRule="auto"/>
        <w:ind w:firstLine="708"/>
        <w:jc w:val="both"/>
        <w:rPr>
          <w:sz w:val="28"/>
          <w:lang w:val="en-US"/>
        </w:rPr>
      </w:pPr>
      <w:r w:rsidRPr="001350ED">
        <w:rPr>
          <w:position w:val="-32"/>
          <w:sz w:val="28"/>
          <w:lang w:val="en-US"/>
        </w:rPr>
        <w:object w:dxaOrig="2380" w:dyaOrig="760" w14:anchorId="39F4C06B">
          <v:shape id="_x0000_i1028" type="#_x0000_t75" style="width:119.25pt;height:38.25pt" o:ole="">
            <v:imagedata r:id="rId15" o:title=""/>
          </v:shape>
          <o:OLEObject Type="Embed" ProgID="Equation.DSMT4" ShapeID="_x0000_i1028" DrawAspect="Content" ObjectID="_1793027718" r:id="rId16"/>
        </w:object>
      </w: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9" type="#_x0000_t75" style="width:84.75pt;height:18pt" o:ole="">
            <v:imagedata r:id="rId17" o:title=""/>
          </v:shape>
          <o:OLEObject Type="Embed" ProgID="Equation.DSMT4" ShapeID="_x0000_i1029" DrawAspect="Content" ObjectID="_1793027719" r:id="rId18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750BB20E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3</w:t>
      </w:r>
      <w:r w:rsidR="000526C2">
        <w:rPr>
          <w:noProof/>
        </w:rPr>
        <w:fldChar w:fldCharType="end"/>
      </w:r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noProof/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716D1F01" w:rsidR="00A627FA" w:rsidRDefault="00A627FA" w:rsidP="00A627FA">
      <w:pPr>
        <w:pStyle w:val="a9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4</w:t>
      </w:r>
      <w:r w:rsidR="000526C2">
        <w:rPr>
          <w:noProof/>
        </w:rPr>
        <w:fldChar w:fldCharType="end"/>
      </w:r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Промоделировав данную систему, получим </w:t>
      </w:r>
      <w:r w:rsidR="00557AD2">
        <w:rPr>
          <w:sz w:val="28"/>
        </w:rPr>
        <w:t>график переходного процесса (см. рис. 5). По графику видно, что такой способ управления позволил улучшить 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28A3C68A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5</w:t>
      </w:r>
      <w:r w:rsidR="000526C2">
        <w:rPr>
          <w:noProof/>
        </w:rPr>
        <w:fldChar w:fldCharType="end"/>
      </w:r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30" type="#_x0000_t75" style="width:30.75pt;height:18pt" o:ole="">
            <v:imagedata r:id="rId22" o:title=""/>
          </v:shape>
          <o:OLEObject Type="Embed" ProgID="Equation.DSMT4" ShapeID="_x0000_i1030" DrawAspect="Content" ObjectID="_1793027720" r:id="rId23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4F00AD0A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6</w:t>
      </w:r>
      <w:r w:rsidR="000526C2">
        <w:rPr>
          <w:noProof/>
        </w:rPr>
        <w:fldChar w:fldCharType="end"/>
      </w:r>
      <w:r>
        <w:t xml:space="preserve"> - Сравнение переходных процессов</w:t>
      </w:r>
    </w:p>
    <w:p w14:paraId="311167F9" w14:textId="288EDF9E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31" type="#_x0000_t75" style="width:30.75pt;height:18pt" o:ole="">
            <v:imagedata r:id="rId22" o:title=""/>
          </v:shape>
          <o:OLEObject Type="Embed" ProgID="Equation.DSMT4" ShapeID="_x0000_i1031" DrawAspect="Content" ObjectID="_1793027721" r:id="rId25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0C257E8D" w14:textId="0CC72976" w:rsidR="00411920" w:rsidRPr="00235C8A" w:rsidRDefault="00411920" w:rsidP="00646C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 xml:space="preserve">. На рисунке 7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 xml:space="preserve">. </w:t>
      </w:r>
      <w:r w:rsidR="00235C8A">
        <w:rPr>
          <w:sz w:val="28"/>
        </w:rPr>
        <w:t>Видно, что по завершении процесса адаптации коэффициенты сходятся к рассчитанным значениям.</w:t>
      </w:r>
    </w:p>
    <w:p w14:paraId="5554CC34" w14:textId="77777777" w:rsidR="00411920" w:rsidRDefault="00411920" w:rsidP="00411920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7E0DA15" wp14:editId="2E650388">
            <wp:extent cx="5938268" cy="35688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_a_k_b_s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68" cy="35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47F" w14:textId="1DD0F30B" w:rsidR="00411920" w:rsidRPr="00411920" w:rsidRDefault="00411920" w:rsidP="00411920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25764A">
          <w:rPr>
            <w:noProof/>
          </w:rPr>
          <w:t>7</w:t>
        </w:r>
      </w:fldSimple>
      <w:r>
        <w:t xml:space="preserve"> - Установившиеся значение коэффициентов.</w:t>
      </w:r>
    </w:p>
    <w:p w14:paraId="78A5CCF5" w14:textId="77777777" w:rsidR="00BD13BE" w:rsidRDefault="00BD13BE" w:rsidP="00BD13BE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5EF64D03" wp14:editId="12FFD524">
            <wp:extent cx="6119667" cy="3677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67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6F3" w14:textId="4082D43B" w:rsidR="00024A3F" w:rsidRDefault="00BD13BE" w:rsidP="00BD13BE">
      <w:pPr>
        <w:pStyle w:val="a9"/>
        <w:jc w:val="center"/>
        <w:rPr>
          <w:sz w:val="28"/>
        </w:rPr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8</w:t>
      </w:r>
      <w:r w:rsidR="000526C2">
        <w:rPr>
          <w:noProof/>
        </w:rPr>
        <w:fldChar w:fldCharType="end"/>
      </w:r>
      <w:r w:rsidRPr="00BD13BE">
        <w:t xml:space="preserve"> - </w:t>
      </w:r>
      <w:r>
        <w:t>Переходный процесс при входном сигнале типа меандр</w:t>
      </w:r>
    </w:p>
    <w:p w14:paraId="27808C30" w14:textId="18D08A51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Повторим эксперимент для объекта управления представляющего собой неустойчивую систему. Структура</w:t>
      </w:r>
      <w:r w:rsidR="009D0D5D" w:rsidRPr="009D0D5D">
        <w:rPr>
          <w:sz w:val="28"/>
        </w:rPr>
        <w:t xml:space="preserve"> </w:t>
      </w:r>
      <w:r w:rsidR="009D0D5D">
        <w:rPr>
          <w:sz w:val="28"/>
        </w:rPr>
        <w:t xml:space="preserve">системы аналогична показанной на рисунке </w:t>
      </w:r>
      <w:r w:rsidR="009D0D5D">
        <w:rPr>
          <w:sz w:val="28"/>
        </w:rPr>
        <w:lastRenderedPageBreak/>
        <w:t>1.</w:t>
      </w:r>
      <w:r>
        <w:rPr>
          <w:sz w:val="28"/>
        </w:rPr>
        <w:t xml:space="preserve"> </w:t>
      </w:r>
      <w:r w:rsidR="009D0D5D">
        <w:rPr>
          <w:sz w:val="28"/>
        </w:rPr>
        <w:t>К</w:t>
      </w:r>
      <w:r w:rsidR="009D0D5D" w:rsidRPr="009D0D5D">
        <w:rPr>
          <w:sz w:val="28"/>
        </w:rPr>
        <w:t>оэффициенты моделей:</w:t>
      </w:r>
      <w:r w:rsidR="00C66F6C" w:rsidRPr="00024A3F">
        <w:rPr>
          <w:position w:val="-12"/>
          <w:sz w:val="28"/>
        </w:rPr>
        <w:object w:dxaOrig="2980" w:dyaOrig="360" w14:anchorId="2F71A6C1">
          <v:shape id="_x0000_i1032" type="#_x0000_t75" style="width:149.25pt;height:18pt" o:ole="">
            <v:imagedata r:id="rId28" o:title=""/>
          </v:shape>
          <o:OLEObject Type="Embed" ProgID="Equation.DSMT4" ShapeID="_x0000_i1032" DrawAspect="Content" ObjectID="_1793027722" r:id="rId29"/>
        </w:object>
      </w:r>
      <w:r w:rsidR="009D0D5D">
        <w:rPr>
          <w:sz w:val="28"/>
        </w:rPr>
        <w:t xml:space="preserve">. На рисунке </w:t>
      </w:r>
      <w:r w:rsidR="00BD13BE">
        <w:rPr>
          <w:sz w:val="28"/>
        </w:rPr>
        <w:t>9</w:t>
      </w:r>
      <w:r w:rsidR="009D0D5D">
        <w:rPr>
          <w:sz w:val="28"/>
        </w:rPr>
        <w:t xml:space="preserve"> можно увидеть сравнение графиков переходных процессов эталонной и неустойчивой моделей. </w:t>
      </w:r>
    </w:p>
    <w:p w14:paraId="33500B62" w14:textId="77777777" w:rsidR="002643E0" w:rsidRPr="002643E0" w:rsidRDefault="002643E0" w:rsidP="002643E0">
      <w:pPr>
        <w:spacing w:line="360" w:lineRule="auto"/>
        <w:ind w:left="708"/>
        <w:jc w:val="both"/>
        <w:rPr>
          <w:sz w:val="28"/>
          <w:lang w:val="en-US"/>
        </w:rPr>
      </w:pPr>
      <w:r w:rsidRPr="002643E0">
        <w:rPr>
          <w:sz w:val="28"/>
        </w:rPr>
        <w:t xml:space="preserve">Найдем значения </w:t>
      </w:r>
      <w:r w:rsidRPr="002643E0">
        <w:rPr>
          <w:sz w:val="28"/>
        </w:rPr>
        <w:object w:dxaOrig="279" w:dyaOrig="380" w14:anchorId="7597DD09">
          <v:shape id="_x0000_i1033" type="#_x0000_t75" style="width:14.25pt;height:18.75pt" o:ole="">
            <v:imagedata r:id="rId11" o:title=""/>
          </v:shape>
          <o:OLEObject Type="Embed" ProgID="Equation.DSMT4" ShapeID="_x0000_i1033" DrawAspect="Content" ObjectID="_1793027723" r:id="rId30"/>
        </w:object>
      </w:r>
      <w:r w:rsidRPr="002643E0">
        <w:rPr>
          <w:sz w:val="28"/>
        </w:rPr>
        <w:t xml:space="preserve"> и </w:t>
      </w:r>
      <w:r w:rsidRPr="002643E0">
        <w:rPr>
          <w:sz w:val="28"/>
        </w:rPr>
        <w:object w:dxaOrig="279" w:dyaOrig="380" w14:anchorId="5E078D91">
          <v:shape id="_x0000_i1034" type="#_x0000_t75" style="width:14.25pt;height:18.75pt" o:ole="">
            <v:imagedata r:id="rId13" o:title=""/>
          </v:shape>
          <o:OLEObject Type="Embed" ProgID="Equation.DSMT4" ShapeID="_x0000_i1034" DrawAspect="Content" ObjectID="_1793027724" r:id="rId31"/>
        </w:object>
      </w:r>
      <w:r w:rsidRPr="002643E0">
        <w:rPr>
          <w:sz w:val="28"/>
        </w:rPr>
        <w:t>:</w:t>
      </w:r>
      <w:r w:rsidRPr="002643E0">
        <w:rPr>
          <w:sz w:val="28"/>
          <w:lang w:val="en-US"/>
        </w:rPr>
        <w:t xml:space="preserve"> </w:t>
      </w:r>
    </w:p>
    <w:p w14:paraId="04023698" w14:textId="43B7CAAF" w:rsidR="002643E0" w:rsidRDefault="002643E0" w:rsidP="002643E0">
      <w:pPr>
        <w:spacing w:line="360" w:lineRule="auto"/>
        <w:ind w:left="708"/>
        <w:jc w:val="both"/>
        <w:rPr>
          <w:sz w:val="28"/>
        </w:rPr>
      </w:pPr>
      <w:r w:rsidRPr="002643E0">
        <w:rPr>
          <w:position w:val="-32"/>
          <w:sz w:val="28"/>
          <w:lang w:val="en-US"/>
        </w:rPr>
        <w:object w:dxaOrig="2380" w:dyaOrig="760" w14:anchorId="62CED1B6">
          <v:shape id="_x0000_i1035" type="#_x0000_t75" style="width:119.25pt;height:38.25pt" o:ole="">
            <v:imagedata r:id="rId32" o:title=""/>
          </v:shape>
          <o:OLEObject Type="Embed" ProgID="Equation.DSMT4" ShapeID="_x0000_i1035" DrawAspect="Content" ObjectID="_1793027725" r:id="rId33"/>
        </w:object>
      </w:r>
    </w:p>
    <w:p w14:paraId="164C42C5" w14:textId="77777777" w:rsidR="009D0D5D" w:rsidRDefault="00C66F6C" w:rsidP="006F6F9B">
      <w:pPr>
        <w:keepNext/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2B3" w14:textId="534D6AA6" w:rsidR="00C66F6C" w:rsidRDefault="009D0D5D" w:rsidP="006F6F9B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9</w:t>
      </w:r>
      <w:r w:rsidR="000526C2">
        <w:rPr>
          <w:noProof/>
        </w:rPr>
        <w:fldChar w:fldCharType="end"/>
      </w:r>
      <w:r>
        <w:t xml:space="preserve"> - Сравнение переходных процессов неустойчивой и эталонной моделей.</w:t>
      </w:r>
    </w:p>
    <w:p w14:paraId="3EB55073" w14:textId="77777777" w:rsidR="008418E7" w:rsidRDefault="00E30D33" w:rsidP="006F6F9B">
      <w:pPr>
        <w:spacing w:line="360" w:lineRule="auto"/>
        <w:ind w:firstLine="708"/>
        <w:jc w:val="both"/>
        <w:rPr>
          <w:sz w:val="28"/>
        </w:rPr>
      </w:pPr>
      <w:r w:rsidRPr="006F6F9B">
        <w:rPr>
          <w:sz w:val="28"/>
        </w:rPr>
        <w:t xml:space="preserve">В следствие неустойчивости системы достижение целей управления не представляется возможным </w:t>
      </w:r>
      <w:r w:rsidR="006F6F9B" w:rsidRPr="006F6F9B">
        <w:rPr>
          <w:sz w:val="28"/>
        </w:rPr>
        <w:t xml:space="preserve">без специальных методов управления. По аналогии с предыдущим экспериментом построим адаптивное управление для неустойчивой системы. Структура </w:t>
      </w:r>
      <w:r w:rsidR="006F6F9B">
        <w:rPr>
          <w:sz w:val="28"/>
        </w:rPr>
        <w:t xml:space="preserve">его </w:t>
      </w:r>
      <w:r w:rsidR="006F6F9B" w:rsidRPr="006F6F9B">
        <w:rPr>
          <w:sz w:val="28"/>
        </w:rPr>
        <w:t>аналогична структуре</w:t>
      </w:r>
      <w:r w:rsidR="006F6F9B">
        <w:rPr>
          <w:sz w:val="28"/>
        </w:rPr>
        <w:t>,</w:t>
      </w:r>
      <w:r w:rsidR="006F6F9B" w:rsidRPr="006F6F9B">
        <w:rPr>
          <w:sz w:val="28"/>
        </w:rPr>
        <w:t xml:space="preserve"> представленной на рисунке 3</w:t>
      </w:r>
      <w:r w:rsidR="006F6F9B">
        <w:rPr>
          <w:sz w:val="28"/>
        </w:rPr>
        <w:t xml:space="preserve">, начальные настройки следующие: </w:t>
      </w:r>
      <w:r w:rsidR="006F6F9B" w:rsidRPr="00041496">
        <w:rPr>
          <w:position w:val="-12"/>
          <w:sz w:val="28"/>
        </w:rPr>
        <w:object w:dxaOrig="1700" w:dyaOrig="360" w14:anchorId="6A154988">
          <v:shape id="_x0000_i1036" type="#_x0000_t75" style="width:84.75pt;height:18pt" o:ole="">
            <v:imagedata r:id="rId17" o:title=""/>
          </v:shape>
          <o:OLEObject Type="Embed" ProgID="Equation.DSMT4" ShapeID="_x0000_i1036" DrawAspect="Content" ObjectID="_1793027726" r:id="rId35"/>
        </w:object>
      </w:r>
      <w:r w:rsidR="006F6F9B">
        <w:rPr>
          <w:sz w:val="28"/>
        </w:rPr>
        <w:t xml:space="preserve">. </w:t>
      </w:r>
    </w:p>
    <w:p w14:paraId="302F4610" w14:textId="79977C6F" w:rsidR="00E30D33" w:rsidRPr="006F6F9B" w:rsidRDefault="006F6F9B" w:rsidP="006F6F9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такую систему и сравнив графики переходных процессов (см. рис. </w:t>
      </w:r>
      <w:r w:rsidR="00BD13BE">
        <w:rPr>
          <w:sz w:val="28"/>
        </w:rPr>
        <w:t>10</w:t>
      </w:r>
      <w:r>
        <w:rPr>
          <w:sz w:val="28"/>
        </w:rPr>
        <w:t xml:space="preserve"> и рис. </w:t>
      </w:r>
      <w:r w:rsidR="002F37D1">
        <w:rPr>
          <w:sz w:val="28"/>
        </w:rPr>
        <w:t xml:space="preserve">5) можно сделать следующие выводы. Адаптивное управление с использованием эталонной модели позволяет одинаково хорошо подстроить управляющее воздействие для устойчивой и неустойчивой систем с целью </w:t>
      </w:r>
      <w:r w:rsidR="002F37D1">
        <w:rPr>
          <w:sz w:val="28"/>
        </w:rPr>
        <w:lastRenderedPageBreak/>
        <w:t xml:space="preserve">увеличения соответствия переходных процессов ОУ эталонным моделям. Однако стоит отметить, что при одинаковых настройках адаптивного регулятора перерегулирование неустойчивой системы </w:t>
      </w:r>
      <w:r w:rsidR="008418E7">
        <w:rPr>
          <w:sz w:val="28"/>
        </w:rPr>
        <w:t>несколько большее чем устойчивой системы, что очевидно.</w:t>
      </w:r>
    </w:p>
    <w:p w14:paraId="44E6135D" w14:textId="77777777" w:rsidR="002F37D1" w:rsidRDefault="00C66F6C" w:rsidP="002F37D1">
      <w:pPr>
        <w:keepNext/>
      </w:pPr>
      <w:r>
        <w:rPr>
          <w:noProof/>
        </w:rPr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B74" w14:textId="2ED28C4E" w:rsidR="002F37D1" w:rsidRDefault="002F37D1" w:rsidP="008418E7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10</w:t>
      </w:r>
      <w:r w:rsidR="000526C2">
        <w:rPr>
          <w:noProof/>
        </w:rPr>
        <w:fldChar w:fldCharType="end"/>
      </w:r>
      <w:r>
        <w:t xml:space="preserve"> - Сравнение графиков переходного процесса неустойчивой системы с адаптивным управлением и эталонной модели</w:t>
      </w:r>
    </w:p>
    <w:p w14:paraId="1E528EEF" w14:textId="5A6D17FB" w:rsidR="008418E7" w:rsidRPr="008418E7" w:rsidRDefault="008418E7" w:rsidP="008418E7">
      <w:pPr>
        <w:spacing w:line="360" w:lineRule="auto"/>
        <w:ind w:firstLine="708"/>
        <w:jc w:val="both"/>
        <w:rPr>
          <w:sz w:val="28"/>
        </w:rPr>
      </w:pPr>
      <w:r w:rsidRPr="008418E7">
        <w:rPr>
          <w:sz w:val="28"/>
        </w:rPr>
        <w:t xml:space="preserve">Произведем сравнение графиков переходного процесса при различных коэффициентах </w:t>
      </w:r>
      <w:r w:rsidRPr="008418E7">
        <w:rPr>
          <w:sz w:val="28"/>
        </w:rPr>
        <w:object w:dxaOrig="620" w:dyaOrig="360" w14:anchorId="3851F1AD">
          <v:shape id="_x0000_i1037" type="#_x0000_t75" style="width:30.75pt;height:18pt" o:ole="">
            <v:imagedata r:id="rId22" o:title=""/>
          </v:shape>
          <o:OLEObject Type="Embed" ProgID="Equation.DSMT4" ShapeID="_x0000_i1037" DrawAspect="Content" ObjectID="_1793027727" r:id="rId37"/>
        </w:object>
      </w:r>
      <w:r w:rsidRPr="008418E7">
        <w:rPr>
          <w:sz w:val="28"/>
        </w:rPr>
        <w:t xml:space="preserve"> равных соответственно 1, 10 и 100. Результаты моделирования можно увидеть на рисунке </w:t>
      </w:r>
      <w:r w:rsidR="00BD13BE">
        <w:rPr>
          <w:sz w:val="28"/>
        </w:rPr>
        <w:t>11</w:t>
      </w:r>
      <w:r w:rsidRPr="008418E7">
        <w:rPr>
          <w:sz w:val="28"/>
        </w:rPr>
        <w:t>.</w:t>
      </w:r>
      <w:r>
        <w:rPr>
          <w:sz w:val="28"/>
        </w:rPr>
        <w:t xml:space="preserve"> Нетрудно заметить, что результаты схожи с аналогичным экспериментом с устойчивой системой, с одной лишь разницей в величине перерегулирования – у неустойчивой систем</w:t>
      </w:r>
      <w:r w:rsidR="00906846">
        <w:rPr>
          <w:sz w:val="28"/>
        </w:rPr>
        <w:t>ы</w:t>
      </w:r>
      <w:r>
        <w:rPr>
          <w:sz w:val="28"/>
        </w:rPr>
        <w:t xml:space="preserve"> перерегулирование больше.</w:t>
      </w:r>
    </w:p>
    <w:p w14:paraId="10D454D2" w14:textId="77777777" w:rsidR="008418E7" w:rsidRDefault="00C66F6C" w:rsidP="008418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3D8CBED4" w:rsidR="003C1411" w:rsidRDefault="008418E7" w:rsidP="00906846">
      <w:pPr>
        <w:pStyle w:val="a9"/>
        <w:spacing w:line="360" w:lineRule="auto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11</w:t>
      </w:r>
      <w:r w:rsidR="000526C2">
        <w:rPr>
          <w:noProof/>
        </w:rPr>
        <w:fldChar w:fldCharType="end"/>
      </w:r>
      <w:r>
        <w:t xml:space="preserve"> - Сравнение переходных процессов неустойчивой системы.</w:t>
      </w:r>
    </w:p>
    <w:p w14:paraId="634CDE4B" w14:textId="775DE1F3" w:rsidR="00235C8A" w:rsidRPr="00235C8A" w:rsidRDefault="00646C0F" w:rsidP="00235C8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 w:rsidR="00BD13BE">
        <w:rPr>
          <w:sz w:val="28"/>
        </w:rPr>
        <w:t>. На рисунке 12</w:t>
      </w:r>
      <w:r>
        <w:rPr>
          <w:sz w:val="28"/>
        </w:rPr>
        <w:t xml:space="preserve">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 xml:space="preserve">. </w:t>
      </w:r>
      <w:r w:rsidR="00235C8A" w:rsidRPr="00235C8A">
        <w:rPr>
          <w:sz w:val="28"/>
        </w:rPr>
        <w:t>Видно, что по завершении процесса адаптации коэффициенты сходятся к рассчитанным значениям.</w:t>
      </w:r>
    </w:p>
    <w:p w14:paraId="70B90A21" w14:textId="3C13EBE1" w:rsidR="00646C0F" w:rsidRDefault="00646C0F" w:rsidP="00235C8A">
      <w:pPr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7AB847F" wp14:editId="70CF2A4A">
            <wp:extent cx="6128991" cy="368352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a_k_b_unstabl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91" cy="36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342" w14:textId="6E87497B" w:rsidR="008418E7" w:rsidRDefault="00646C0F" w:rsidP="00646C0F">
      <w:pPr>
        <w:pStyle w:val="a9"/>
        <w:jc w:val="center"/>
      </w:pPr>
      <w:r>
        <w:t xml:space="preserve">Рисунок </w:t>
      </w:r>
      <w:fldSimple w:instr=" SEQ Рисунок \* ARABIC ">
        <w:r w:rsidR="0025764A">
          <w:rPr>
            <w:noProof/>
          </w:rPr>
          <w:t>12</w:t>
        </w:r>
      </w:fldSimple>
      <w:r>
        <w:t xml:space="preserve"> - Установившиеся коэффициенты.</w:t>
      </w:r>
    </w:p>
    <w:p w14:paraId="45F1EBB4" w14:textId="77777777" w:rsidR="00BD13BE" w:rsidRDefault="00BD13BE" w:rsidP="00BD13BE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501EB16" wp14:editId="636537EC">
            <wp:extent cx="6119667" cy="3677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67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A8A924" w14:textId="1B295109" w:rsidR="00BD13BE" w:rsidRPr="00BD13BE" w:rsidRDefault="00BD13BE" w:rsidP="00BD13BE">
      <w:pPr>
        <w:pStyle w:val="a9"/>
        <w:jc w:val="center"/>
      </w:pPr>
      <w:r>
        <w:t xml:space="preserve">Рисунок </w:t>
      </w:r>
      <w:r w:rsidR="000526C2">
        <w:fldChar w:fldCharType="begin"/>
      </w:r>
      <w:r w:rsidR="000526C2">
        <w:instrText xml:space="preserve"> SEQ Рисунок \* ARABIC </w:instrText>
      </w:r>
      <w:r w:rsidR="000526C2">
        <w:fldChar w:fldCharType="separate"/>
      </w:r>
      <w:r w:rsidR="0025764A">
        <w:rPr>
          <w:noProof/>
        </w:rPr>
        <w:t>13</w:t>
      </w:r>
      <w:r w:rsidR="000526C2">
        <w:rPr>
          <w:noProof/>
        </w:rPr>
        <w:fldChar w:fldCharType="end"/>
      </w:r>
      <w:r>
        <w:t xml:space="preserve"> - Переходный процесс при входном сигнале типа меандр</w:t>
      </w: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466EA9B" w14:textId="7777777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08DC0CB8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Pr="008418E7">
        <w:rPr>
          <w:sz w:val="28"/>
        </w:rPr>
        <w:object w:dxaOrig="620" w:dyaOrig="360" w14:anchorId="1CEAF209">
          <v:shape id="_x0000_i1038" type="#_x0000_t75" style="width:30.75pt;height:18pt" o:ole="">
            <v:imagedata r:id="rId22" o:title=""/>
          </v:shape>
          <o:OLEObject Type="Embed" ProgID="Equation.DSMT4" ShapeID="_x0000_i1038" DrawAspect="Content" ObjectID="_1793027728" r:id="rId41"/>
        </w:object>
      </w:r>
      <w:r>
        <w:rPr>
          <w:sz w:val="28"/>
        </w:rPr>
        <w:t xml:space="preserve"> на степень приближения динамики системы к желаемой динамике. </w:t>
      </w:r>
    </w:p>
    <w:p w14:paraId="05C5D154" w14:textId="604EF683" w:rsidR="009459F4" w:rsidRPr="009459F4" w:rsidRDefault="00906846" w:rsidP="00B54950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</w:p>
    <w:sectPr w:rsidR="009459F4" w:rsidRPr="009459F4" w:rsidSect="00BD40B9">
      <w:footerReference w:type="default" r:id="rId42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F8BF0" w14:textId="77777777" w:rsidR="000526C2" w:rsidRDefault="000526C2" w:rsidP="00BD40B9">
      <w:r>
        <w:separator/>
      </w:r>
    </w:p>
    <w:p w14:paraId="1C985D84" w14:textId="77777777" w:rsidR="000526C2" w:rsidRDefault="000526C2"/>
  </w:endnote>
  <w:endnote w:type="continuationSeparator" w:id="0">
    <w:p w14:paraId="1E3C01B1" w14:textId="77777777" w:rsidR="000526C2" w:rsidRDefault="000526C2" w:rsidP="00BD40B9">
      <w:r>
        <w:continuationSeparator/>
      </w:r>
    </w:p>
    <w:p w14:paraId="7F19A83B" w14:textId="77777777" w:rsidR="000526C2" w:rsidRDefault="00052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51CB5511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64A">
          <w:rPr>
            <w:noProof/>
          </w:rPr>
          <w:t>10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DAE10" w14:textId="77777777" w:rsidR="000526C2" w:rsidRDefault="000526C2" w:rsidP="00BD40B9">
      <w:r>
        <w:separator/>
      </w:r>
    </w:p>
    <w:p w14:paraId="4C8B4AF1" w14:textId="77777777" w:rsidR="000526C2" w:rsidRDefault="000526C2"/>
  </w:footnote>
  <w:footnote w:type="continuationSeparator" w:id="0">
    <w:p w14:paraId="67017251" w14:textId="77777777" w:rsidR="000526C2" w:rsidRDefault="000526C2" w:rsidP="00BD40B9">
      <w:r>
        <w:continuationSeparator/>
      </w:r>
    </w:p>
    <w:p w14:paraId="3D8B6C49" w14:textId="77777777" w:rsidR="000526C2" w:rsidRDefault="000526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526C2"/>
    <w:rsid w:val="00084C05"/>
    <w:rsid w:val="001350ED"/>
    <w:rsid w:val="00167FCC"/>
    <w:rsid w:val="00192749"/>
    <w:rsid w:val="001E0E43"/>
    <w:rsid w:val="00235C8A"/>
    <w:rsid w:val="00245C54"/>
    <w:rsid w:val="00251291"/>
    <w:rsid w:val="0025764A"/>
    <w:rsid w:val="002643E0"/>
    <w:rsid w:val="002F37D1"/>
    <w:rsid w:val="0030777B"/>
    <w:rsid w:val="00324154"/>
    <w:rsid w:val="00353B8C"/>
    <w:rsid w:val="00391014"/>
    <w:rsid w:val="003C1411"/>
    <w:rsid w:val="00411920"/>
    <w:rsid w:val="00473269"/>
    <w:rsid w:val="004D6F30"/>
    <w:rsid w:val="005353DF"/>
    <w:rsid w:val="0053595F"/>
    <w:rsid w:val="0055472E"/>
    <w:rsid w:val="00557AD2"/>
    <w:rsid w:val="005628B2"/>
    <w:rsid w:val="00583FEC"/>
    <w:rsid w:val="00597377"/>
    <w:rsid w:val="005A69E1"/>
    <w:rsid w:val="006359B2"/>
    <w:rsid w:val="00641491"/>
    <w:rsid w:val="00646C0F"/>
    <w:rsid w:val="006772CC"/>
    <w:rsid w:val="006F6F9B"/>
    <w:rsid w:val="0075777A"/>
    <w:rsid w:val="00764387"/>
    <w:rsid w:val="007B791D"/>
    <w:rsid w:val="007C0FDD"/>
    <w:rsid w:val="008232C3"/>
    <w:rsid w:val="00837341"/>
    <w:rsid w:val="00837EC2"/>
    <w:rsid w:val="008418E7"/>
    <w:rsid w:val="008442BD"/>
    <w:rsid w:val="00906846"/>
    <w:rsid w:val="00916026"/>
    <w:rsid w:val="00931A5D"/>
    <w:rsid w:val="009459F4"/>
    <w:rsid w:val="00946535"/>
    <w:rsid w:val="009D0D5D"/>
    <w:rsid w:val="009F4B71"/>
    <w:rsid w:val="009F638F"/>
    <w:rsid w:val="00A02229"/>
    <w:rsid w:val="00A33DC5"/>
    <w:rsid w:val="00A3663A"/>
    <w:rsid w:val="00A627FA"/>
    <w:rsid w:val="00A823AC"/>
    <w:rsid w:val="00A8573E"/>
    <w:rsid w:val="00AB54F0"/>
    <w:rsid w:val="00AC7ACB"/>
    <w:rsid w:val="00B54950"/>
    <w:rsid w:val="00B816CE"/>
    <w:rsid w:val="00B824E3"/>
    <w:rsid w:val="00BC6E0B"/>
    <w:rsid w:val="00BD13BE"/>
    <w:rsid w:val="00BD40B9"/>
    <w:rsid w:val="00C66F6C"/>
    <w:rsid w:val="00CE7A70"/>
    <w:rsid w:val="00E30D33"/>
    <w:rsid w:val="00E43484"/>
    <w:rsid w:val="00E51632"/>
    <w:rsid w:val="00ED4A92"/>
    <w:rsid w:val="00F71ED5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34</cp:revision>
  <cp:lastPrinted>2024-11-13T15:28:00Z</cp:lastPrinted>
  <dcterms:created xsi:type="dcterms:W3CDTF">2024-03-10T10:16:00Z</dcterms:created>
  <dcterms:modified xsi:type="dcterms:W3CDTF">2024-11-13T15:28:00Z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