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321187CF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21615BBC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1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9E410E9" w14:textId="6D30D30B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FE668D">
        <w:rPr>
          <w:rStyle w:val="fontstyle01"/>
        </w:rPr>
        <w:t>СИНТЕЗ И ИССЛЕДОВАНИЕ АДАПТИВНЫХ СИСТЕМ С ПАРАМЕТРИЧЕСКОЙ АДАПТАЦИЕЙ ДЛЯ ОБЪЕКТОВ ПЕРВОГО ПОРЯДКА</w:t>
      </w: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r w:rsidRPr="00FE668D">
              <w:rPr>
                <w:sz w:val="28"/>
              </w:rPr>
              <w:t xml:space="preserve">Нгуен Зуи </w:t>
            </w:r>
            <w:proofErr w:type="spellStart"/>
            <w:r w:rsidRPr="00FE668D">
              <w:rPr>
                <w:sz w:val="28"/>
              </w:rPr>
              <w:t>Хань</w:t>
            </w:r>
            <w:proofErr w:type="spellEnd"/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16D157AC" w:rsidR="00931A5D" w:rsidRDefault="00FE668D" w:rsidP="00837341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>
        <w:rPr>
          <w:rStyle w:val="fontstyle21"/>
        </w:rPr>
        <w:t>овладение навыками исследования адаптивной системы, исследование эффективности адаптивного управления при изменении параметров уравнений его настроек и исследование возможностей адаптивного управления по стабилизации объекта управления.</w:t>
      </w:r>
    </w:p>
    <w:p w14:paraId="781D2FA2" w14:textId="77777777" w:rsidR="00FE668D" w:rsidRDefault="00FE668D" w:rsidP="00837341">
      <w:pPr>
        <w:spacing w:line="360" w:lineRule="auto"/>
        <w:ind w:firstLine="708"/>
        <w:jc w:val="both"/>
        <w:rPr>
          <w:sz w:val="28"/>
        </w:rPr>
      </w:pPr>
    </w:p>
    <w:p w14:paraId="6D7F4692" w14:textId="1A0D8584" w:rsidR="00931A5D" w:rsidRDefault="00931A5D" w:rsidP="00837341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37952613" w:rsidR="00084C05" w:rsidRDefault="00084C05" w:rsidP="008373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Построим и исследуем моделированием систему, сравним ее динамику с эталонной моделью. </w:t>
      </w:r>
      <w:r w:rsidR="00024A3F" w:rsidRPr="00024A3F">
        <w:rPr>
          <w:position w:val="-12"/>
          <w:sz w:val="28"/>
        </w:rPr>
        <w:object w:dxaOrig="3120" w:dyaOrig="360" w14:anchorId="2578B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56pt;height:18pt" o:ole="">
            <v:imagedata r:id="rId7" o:title=""/>
          </v:shape>
          <o:OLEObject Type="Embed" ProgID="Equation.DSMT4" ShapeID="_x0000_i1054" DrawAspect="Content" ObjectID="_1789246838" r:id="rId8"/>
        </w:object>
      </w:r>
      <w:r w:rsidR="00024A3F" w:rsidRPr="00024A3F">
        <w:rPr>
          <w:sz w:val="28"/>
        </w:rPr>
        <w:t xml:space="preserve">. </w:t>
      </w:r>
      <w:r>
        <w:rPr>
          <w:sz w:val="28"/>
        </w:rPr>
        <w:t>Схема системы представлена на рисунке 1.</w:t>
      </w:r>
    </w:p>
    <w:p w14:paraId="7A9B49DE" w14:textId="77777777" w:rsidR="00084C05" w:rsidRDefault="00084C05" w:rsidP="00837341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7E81B9D6">
            <wp:extent cx="4539615" cy="197347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0" b="6322"/>
                    <a:stretch/>
                  </pic:blipFill>
                  <pic:spPr bwMode="auto">
                    <a:xfrm>
                      <a:off x="0" y="0"/>
                      <a:ext cx="4562486" cy="198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013E6CB0" w:rsidR="00084C05" w:rsidRDefault="00084C05" w:rsidP="00837341">
      <w:pPr>
        <w:pStyle w:val="a9"/>
        <w:spacing w:line="360" w:lineRule="auto"/>
        <w:jc w:val="center"/>
      </w:pPr>
      <w:r>
        <w:t xml:space="preserve">Рисунок </w:t>
      </w:r>
      <w:r w:rsidR="00ED4A92">
        <w:fldChar w:fldCharType="begin"/>
      </w:r>
      <w:r w:rsidR="00ED4A92">
        <w:instrText xml:space="preserve"> SEQ Рисунок \* ARABIC </w:instrText>
      </w:r>
      <w:r w:rsidR="00ED4A92">
        <w:fldChar w:fldCharType="separate"/>
      </w:r>
      <w:r w:rsidR="003C1411">
        <w:rPr>
          <w:noProof/>
        </w:rPr>
        <w:t>1</w:t>
      </w:r>
      <w:r w:rsidR="00ED4A92">
        <w:rPr>
          <w:noProof/>
        </w:rPr>
        <w:fldChar w:fldCharType="end"/>
      </w:r>
      <w:r>
        <w:t xml:space="preserve"> - Схема системы</w:t>
      </w:r>
    </w:p>
    <w:p w14:paraId="0E2FF892" w14:textId="1AE9C138" w:rsidR="00084C05" w:rsidRDefault="00084C05" w:rsidP="00837341">
      <w:pPr>
        <w:spacing w:line="360" w:lineRule="auto"/>
        <w:jc w:val="both"/>
        <w:rPr>
          <w:sz w:val="28"/>
        </w:rPr>
      </w:pPr>
      <w:r w:rsidRPr="00837341">
        <w:rPr>
          <w:sz w:val="28"/>
        </w:rPr>
        <w:t>Сравнение динамики можно осуществить, сравнив графики переходных процессов (см. рис. 2)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B1583BA" wp14:editId="7F770556">
            <wp:extent cx="4491990" cy="269948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85" cy="27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5B9" w14:textId="5E5FD30A" w:rsidR="00837341" w:rsidRDefault="00837341" w:rsidP="00837341">
      <w:pPr>
        <w:pStyle w:val="a9"/>
        <w:jc w:val="center"/>
      </w:pPr>
      <w:r>
        <w:t xml:space="preserve">Рисунок </w:t>
      </w:r>
      <w:r w:rsidR="00ED4A92">
        <w:fldChar w:fldCharType="begin"/>
      </w:r>
      <w:r w:rsidR="00ED4A92">
        <w:instrText xml:space="preserve"> SEQ Рисунок \* ARABIC </w:instrText>
      </w:r>
      <w:r w:rsidR="00ED4A92">
        <w:fldChar w:fldCharType="separate"/>
      </w:r>
      <w:r w:rsidR="003C1411">
        <w:rPr>
          <w:noProof/>
        </w:rPr>
        <w:t>2</w:t>
      </w:r>
      <w:r w:rsidR="00ED4A92">
        <w:rPr>
          <w:noProof/>
        </w:rPr>
        <w:fldChar w:fldCharType="end"/>
      </w:r>
      <w:r>
        <w:t xml:space="preserve"> - График переходных процессов систем</w:t>
      </w:r>
    </w:p>
    <w:p w14:paraId="5B681BC6" w14:textId="5049B7E6" w:rsidR="00837341" w:rsidRDefault="00837341" w:rsidP="00041496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lastRenderedPageBreak/>
        <w:t>Из сравнения графиков переходного процесса можно сделать вывод, что динамика устойчивой системы примерно в 10 раз хуже динамики эталонной модели, а установившееся значение в два раза больше.</w:t>
      </w:r>
    </w:p>
    <w:p w14:paraId="3720D982" w14:textId="77777777" w:rsidR="00024A3F" w:rsidRPr="00041496" w:rsidRDefault="00024A3F" w:rsidP="00041496">
      <w:pPr>
        <w:spacing w:line="360" w:lineRule="auto"/>
        <w:ind w:firstLine="708"/>
        <w:jc w:val="both"/>
        <w:rPr>
          <w:sz w:val="28"/>
        </w:rPr>
      </w:pPr>
    </w:p>
    <w:p w14:paraId="0993D0B3" w14:textId="3DB860CA" w:rsidR="008232C3" w:rsidRDefault="00251291" w:rsidP="008232C3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t xml:space="preserve">Построим адаптивное управление с настройками </w:t>
      </w:r>
      <w:r w:rsidR="00041496" w:rsidRPr="00041496">
        <w:rPr>
          <w:position w:val="-12"/>
          <w:sz w:val="28"/>
        </w:rPr>
        <w:object w:dxaOrig="1700" w:dyaOrig="360" w14:anchorId="19FD2D41">
          <v:shape id="_x0000_i1025" type="#_x0000_t75" style="width:84.75pt;height:18pt" o:ole="">
            <v:imagedata r:id="rId11" o:title=""/>
          </v:shape>
          <o:OLEObject Type="Embed" ProgID="Equation.DSMT4" ShapeID="_x0000_i1025" DrawAspect="Content" ObjectID="_1789246839" r:id="rId12"/>
        </w:object>
      </w:r>
      <w:r w:rsidR="00041496" w:rsidRPr="00041496">
        <w:rPr>
          <w:sz w:val="28"/>
        </w:rPr>
        <w:t xml:space="preserve">. </w:t>
      </w:r>
      <w:r w:rsidR="00041496">
        <w:rPr>
          <w:sz w:val="28"/>
        </w:rPr>
        <w:t xml:space="preserve">Модель системы </w:t>
      </w:r>
      <w:r w:rsidR="008232C3">
        <w:rPr>
          <w:sz w:val="28"/>
        </w:rPr>
        <w:t>с адаптивным управлением представлена на рисунке 3.</w:t>
      </w:r>
    </w:p>
    <w:p w14:paraId="74E2D4CB" w14:textId="77777777" w:rsidR="00A823AC" w:rsidRDefault="00A823AC" w:rsidP="00A627FA">
      <w:pPr>
        <w:keepNext/>
        <w:spacing w:line="360" w:lineRule="auto"/>
        <w:jc w:val="center"/>
      </w:pPr>
      <w:r w:rsidRPr="00A823AC">
        <w:rPr>
          <w:sz w:val="28"/>
        </w:rPr>
        <w:drawing>
          <wp:inline distT="0" distB="0" distL="0" distR="0" wp14:anchorId="36530116" wp14:editId="7267F906">
            <wp:extent cx="6120130" cy="3164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3D5" w14:textId="4C8B42C1" w:rsidR="00A823AC" w:rsidRDefault="00A823AC" w:rsidP="00A627FA">
      <w:pPr>
        <w:pStyle w:val="a9"/>
        <w:jc w:val="center"/>
        <w:rPr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1411">
        <w:rPr>
          <w:noProof/>
        </w:rPr>
        <w:t>3</w:t>
      </w:r>
      <w:r>
        <w:fldChar w:fldCharType="end"/>
      </w:r>
      <w:r>
        <w:t xml:space="preserve"> - Мо</w:t>
      </w:r>
      <w:r w:rsidR="00A627FA">
        <w:t>д</w:t>
      </w:r>
      <w:r>
        <w:t>ель системы с адаптивным управлением</w:t>
      </w:r>
    </w:p>
    <w:p w14:paraId="560694EA" w14:textId="1DB48963" w:rsidR="008232C3" w:rsidRDefault="00A627FA" w:rsidP="008232C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Блоки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stable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subsystem</w:t>
      </w:r>
      <w:r w:rsidRPr="00A627FA">
        <w:rPr>
          <w:sz w:val="28"/>
        </w:rPr>
        <w:t xml:space="preserve"> </w:t>
      </w:r>
      <w:r>
        <w:rPr>
          <w:sz w:val="28"/>
        </w:rPr>
        <w:t>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ideal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model</w:t>
      </w:r>
      <w:r w:rsidRPr="00A627FA">
        <w:rPr>
          <w:i/>
          <w:sz w:val="28"/>
        </w:rPr>
        <w:t xml:space="preserve"> </w:t>
      </w:r>
      <w:r>
        <w:rPr>
          <w:sz w:val="28"/>
        </w:rPr>
        <w:t>представляют собой устойчивую систему – объект управления и идеальную систему – эталонная модель соответственно. Структура обеих систем одинаковая и представлена на рисунке 4.</w:t>
      </w:r>
    </w:p>
    <w:p w14:paraId="1BE56AE7" w14:textId="77777777" w:rsidR="00A627FA" w:rsidRDefault="00A627FA" w:rsidP="00A627FA">
      <w:pPr>
        <w:keepNext/>
        <w:spacing w:line="360" w:lineRule="auto"/>
        <w:ind w:firstLine="708"/>
        <w:jc w:val="center"/>
      </w:pPr>
      <w:r w:rsidRPr="00A627FA">
        <w:rPr>
          <w:sz w:val="28"/>
        </w:rPr>
        <w:drawing>
          <wp:inline distT="0" distB="0" distL="0" distR="0" wp14:anchorId="68AC5830" wp14:editId="36C027B1">
            <wp:extent cx="56959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BAB" w14:textId="4F377969" w:rsidR="00A627FA" w:rsidRDefault="00A627FA" w:rsidP="00A627FA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1411">
        <w:rPr>
          <w:noProof/>
        </w:rPr>
        <w:t>4</w:t>
      </w:r>
      <w:r>
        <w:fldChar w:fldCharType="end"/>
      </w:r>
      <w:r>
        <w:t xml:space="preserve"> - Структура ОУ и эталонной модели.</w:t>
      </w:r>
    </w:p>
    <w:p w14:paraId="6DD4D16D" w14:textId="2FAA9FE9" w:rsidR="00A627FA" w:rsidRPr="00B824E3" w:rsidRDefault="00A627FA" w:rsidP="003C141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Промоделировав данную систему, получим </w:t>
      </w:r>
      <w:r w:rsidR="00557AD2">
        <w:rPr>
          <w:sz w:val="28"/>
        </w:rPr>
        <w:t xml:space="preserve">график переходного процесса (см. рис. 5). По графику видно, что такой способ управления позволил улучшить </w:t>
      </w:r>
      <w:r w:rsidR="00557AD2">
        <w:rPr>
          <w:sz w:val="28"/>
        </w:rPr>
        <w:lastRenderedPageBreak/>
        <w:t>динамику объекта управления</w:t>
      </w:r>
      <w:r w:rsidR="00B824E3">
        <w:rPr>
          <w:sz w:val="28"/>
        </w:rPr>
        <w:t>,</w:t>
      </w:r>
      <w:r w:rsidR="00557AD2">
        <w:rPr>
          <w:sz w:val="28"/>
        </w:rPr>
        <w:t xml:space="preserve"> уменьшить</w:t>
      </w:r>
      <w:r w:rsidR="00B824E3">
        <w:rPr>
          <w:sz w:val="28"/>
        </w:rPr>
        <w:t xml:space="preserve"> перерегулирования и установить установившееся значение</w:t>
      </w:r>
      <w:r w:rsidR="00B824E3" w:rsidRPr="00B824E3">
        <w:rPr>
          <w:sz w:val="28"/>
        </w:rPr>
        <w:t xml:space="preserve"> </w:t>
      </w:r>
      <w:r w:rsidR="00B824E3">
        <w:rPr>
          <w:sz w:val="28"/>
        </w:rPr>
        <w:t>в нужную величину.</w:t>
      </w:r>
    </w:p>
    <w:p w14:paraId="27410168" w14:textId="77777777" w:rsidR="00B816CE" w:rsidRDefault="00557AD2" w:rsidP="003C141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14E9560" wp14:editId="372905AA">
            <wp:extent cx="6119989" cy="32365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9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13C" w14:textId="5B0D8B4C" w:rsidR="00557AD2" w:rsidRPr="001E0E43" w:rsidRDefault="00B816CE" w:rsidP="003C1411">
      <w:pPr>
        <w:pStyle w:val="a9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1411">
        <w:rPr>
          <w:noProof/>
        </w:rPr>
        <w:t>5</w:t>
      </w:r>
      <w:r>
        <w:fldChar w:fldCharType="end"/>
      </w:r>
      <w:r>
        <w:t xml:space="preserve"> - Переходный процесс системы с адаптивным управлением</w:t>
      </w:r>
    </w:p>
    <w:p w14:paraId="1FA2CC9A" w14:textId="19DB5629" w:rsidR="001E0E43" w:rsidRDefault="001E0E43" w:rsidP="003C1411">
      <w:pPr>
        <w:spacing w:line="360" w:lineRule="auto"/>
        <w:ind w:firstLine="708"/>
        <w:jc w:val="both"/>
        <w:rPr>
          <w:sz w:val="28"/>
        </w:rPr>
      </w:pPr>
      <w:r w:rsidRPr="001E0E43">
        <w:rPr>
          <w:sz w:val="28"/>
        </w:rPr>
        <w:t xml:space="preserve">Путем подбора коэффициентов </w:t>
      </w:r>
      <w:r w:rsidRPr="001E0E43">
        <w:rPr>
          <w:position w:val="-12"/>
          <w:sz w:val="28"/>
        </w:rPr>
        <w:object w:dxaOrig="620" w:dyaOrig="360" w14:anchorId="15305345">
          <v:shape id="_x0000_i1038" type="#_x0000_t75" style="width:30.75pt;height:18pt" o:ole="">
            <v:imagedata r:id="rId16" o:title=""/>
          </v:shape>
          <o:OLEObject Type="Embed" ProgID="Equation.DSMT4" ShapeID="_x0000_i1038" DrawAspect="Content" ObjectID="_1789246840" r:id="rId17"/>
        </w:object>
      </w:r>
      <w:r>
        <w:rPr>
          <w:sz w:val="28"/>
        </w:rPr>
        <w:t xml:space="preserve"> </w:t>
      </w:r>
      <w:r w:rsidRPr="001E0E43">
        <w:rPr>
          <w:sz w:val="28"/>
        </w:rPr>
        <w:t>можно менять динамику объекта управления</w:t>
      </w:r>
      <w:r>
        <w:rPr>
          <w:sz w:val="28"/>
        </w:rPr>
        <w:t xml:space="preserve">, что и продемонстрировано на рисунке 6. </w:t>
      </w:r>
    </w:p>
    <w:p w14:paraId="68BC77DF" w14:textId="77777777" w:rsidR="003C1411" w:rsidRDefault="003C1411" w:rsidP="003C1411">
      <w:pPr>
        <w:keepNext/>
        <w:spacing w:line="360" w:lineRule="auto"/>
        <w:jc w:val="both"/>
      </w:pPr>
      <w:r>
        <w:rPr>
          <w:noProof/>
          <w:sz w:val="28"/>
        </w:rPr>
        <w:drawing>
          <wp:inline distT="0" distB="0" distL="0" distR="0" wp14:anchorId="2B8DD637" wp14:editId="4EBB4574">
            <wp:extent cx="6120130" cy="3236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8BC" w14:textId="64548C00" w:rsidR="003C1411" w:rsidRDefault="003C1411" w:rsidP="003C1411">
      <w:pPr>
        <w:pStyle w:val="a9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Сравнение переходных процессов</w:t>
      </w:r>
    </w:p>
    <w:p w14:paraId="311167F9" w14:textId="28B7DC5B" w:rsidR="003C1411" w:rsidRDefault="003C1411" w:rsidP="003C1411">
      <w:pPr>
        <w:spacing w:line="360" w:lineRule="auto"/>
        <w:jc w:val="both"/>
        <w:rPr>
          <w:sz w:val="28"/>
        </w:rPr>
      </w:pPr>
      <w:r w:rsidRPr="003C1411">
        <w:rPr>
          <w:sz w:val="28"/>
        </w:rPr>
        <w:lastRenderedPageBreak/>
        <w:t xml:space="preserve">На рисунке </w:t>
      </w:r>
      <w:r>
        <w:rPr>
          <w:sz w:val="28"/>
        </w:rPr>
        <w:t xml:space="preserve">6 </w:t>
      </w:r>
      <w:r w:rsidRPr="003C1411">
        <w:rPr>
          <w:sz w:val="28"/>
        </w:rPr>
        <w:t xml:space="preserve">можно увидеть четыре графика переходных процессов – эталонной модели и одинаковых ОУ с коэффициентами </w:t>
      </w:r>
      <w:r w:rsidRPr="003C1411">
        <w:rPr>
          <w:sz w:val="28"/>
        </w:rPr>
        <w:object w:dxaOrig="620" w:dyaOrig="360" w14:anchorId="663241C1">
          <v:shape id="_x0000_i1047" type="#_x0000_t75" style="width:30.75pt;height:18pt" o:ole="">
            <v:imagedata r:id="rId16" o:title=""/>
          </v:shape>
          <o:OLEObject Type="Embed" ProgID="Equation.DSMT4" ShapeID="_x0000_i1047" DrawAspect="Content" ObjectID="_1789246841" r:id="rId19"/>
        </w:object>
      </w:r>
      <w:r w:rsidRPr="003C1411">
        <w:rPr>
          <w:sz w:val="28"/>
        </w:rPr>
        <w:t xml:space="preserve"> равных соответственно 1, 10 и 100.</w:t>
      </w:r>
      <w:r w:rsidR="009F4B71">
        <w:rPr>
          <w:sz w:val="28"/>
        </w:rPr>
        <w:t xml:space="preserve"> Не сложно заметить, что от величины коэффициентов зависит степень приближения графика переходного процесса объекта управления к переходному процессу эталонной модели. </w:t>
      </w:r>
    </w:p>
    <w:p w14:paraId="308D66F3" w14:textId="0E6A8517" w:rsidR="00024A3F" w:rsidRDefault="00024A3F" w:rsidP="003C1411">
      <w:pPr>
        <w:spacing w:line="360" w:lineRule="auto"/>
        <w:jc w:val="both"/>
        <w:rPr>
          <w:sz w:val="28"/>
        </w:rPr>
      </w:pPr>
    </w:p>
    <w:p w14:paraId="27808C30" w14:textId="1D666DC1" w:rsidR="00024A3F" w:rsidRDefault="00024A3F" w:rsidP="003C1411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Повторим эксперимент для объекта управления представляющего собой неустойчивую систему. Структура </w:t>
      </w:r>
      <w:r w:rsidR="00C66F6C" w:rsidRPr="00024A3F">
        <w:rPr>
          <w:position w:val="-12"/>
          <w:sz w:val="28"/>
        </w:rPr>
        <w:object w:dxaOrig="2980" w:dyaOrig="360" w14:anchorId="2F71A6C1">
          <v:shape id="_x0000_i1057" type="#_x0000_t75" style="width:149.25pt;height:18pt" o:ole="">
            <v:imagedata r:id="rId20" o:title=""/>
          </v:shape>
          <o:OLEObject Type="Embed" ProgID="Equation.DSMT4" ShapeID="_x0000_i1057" DrawAspect="Content" ObjectID="_1789246842" r:id="rId21"/>
        </w:object>
      </w:r>
    </w:p>
    <w:p w14:paraId="7D8D42B3" w14:textId="42668C19" w:rsidR="00C66F6C" w:rsidRPr="003C1411" w:rsidRDefault="00C66F6C" w:rsidP="003C1411">
      <w:pPr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319701F" wp14:editId="34FCE393">
            <wp:extent cx="6120130" cy="3677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2D7" w14:textId="24CD347D" w:rsidR="003C1411" w:rsidRPr="003C1411" w:rsidRDefault="00C66F6C" w:rsidP="003C1411">
      <w:r>
        <w:rPr>
          <w:noProof/>
        </w:rPr>
        <w:lastRenderedPageBreak/>
        <w:drawing>
          <wp:inline distT="0" distB="0" distL="0" distR="0" wp14:anchorId="7E0BA924" wp14:editId="101CE33E">
            <wp:extent cx="6120130" cy="367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F636B03" wp14:editId="0FA3F46A">
            <wp:extent cx="6120130" cy="3236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411" w:rsidRPr="003C1411" w:rsidSect="00BD40B9">
      <w:footerReference w:type="default" r:id="rId25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4F9F9" w14:textId="77777777" w:rsidR="00ED4A92" w:rsidRDefault="00ED4A92" w:rsidP="00BD40B9">
      <w:r>
        <w:separator/>
      </w:r>
    </w:p>
    <w:p w14:paraId="07D6A272" w14:textId="77777777" w:rsidR="00ED4A92" w:rsidRDefault="00ED4A92"/>
  </w:endnote>
  <w:endnote w:type="continuationSeparator" w:id="0">
    <w:p w14:paraId="5E341AF4" w14:textId="77777777" w:rsidR="00ED4A92" w:rsidRDefault="00ED4A92" w:rsidP="00BD40B9">
      <w:r>
        <w:continuationSeparator/>
      </w:r>
    </w:p>
    <w:p w14:paraId="0FFAE09B" w14:textId="77777777" w:rsidR="00ED4A92" w:rsidRDefault="00ED4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355F6614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F6C">
          <w:rPr>
            <w:noProof/>
          </w:rPr>
          <w:t>6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71FBA" w14:textId="77777777" w:rsidR="00ED4A92" w:rsidRDefault="00ED4A92" w:rsidP="00BD40B9">
      <w:r>
        <w:separator/>
      </w:r>
    </w:p>
    <w:p w14:paraId="6458CFC0" w14:textId="77777777" w:rsidR="00ED4A92" w:rsidRDefault="00ED4A92"/>
  </w:footnote>
  <w:footnote w:type="continuationSeparator" w:id="0">
    <w:p w14:paraId="7574B97A" w14:textId="77777777" w:rsidR="00ED4A92" w:rsidRDefault="00ED4A92" w:rsidP="00BD40B9">
      <w:r>
        <w:continuationSeparator/>
      </w:r>
    </w:p>
    <w:p w14:paraId="19FC78CE" w14:textId="77777777" w:rsidR="00ED4A92" w:rsidRDefault="00ED4A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67FCC"/>
    <w:rsid w:val="00192749"/>
    <w:rsid w:val="001E0E43"/>
    <w:rsid w:val="00251291"/>
    <w:rsid w:val="0030777B"/>
    <w:rsid w:val="00391014"/>
    <w:rsid w:val="003C1411"/>
    <w:rsid w:val="004D6F30"/>
    <w:rsid w:val="0053595F"/>
    <w:rsid w:val="00557AD2"/>
    <w:rsid w:val="005628B2"/>
    <w:rsid w:val="00583FEC"/>
    <w:rsid w:val="005A69E1"/>
    <w:rsid w:val="006359B2"/>
    <w:rsid w:val="007C0FDD"/>
    <w:rsid w:val="008232C3"/>
    <w:rsid w:val="00837341"/>
    <w:rsid w:val="008442BD"/>
    <w:rsid w:val="00931A5D"/>
    <w:rsid w:val="00946535"/>
    <w:rsid w:val="009F4B71"/>
    <w:rsid w:val="00A02229"/>
    <w:rsid w:val="00A3663A"/>
    <w:rsid w:val="00A627FA"/>
    <w:rsid w:val="00A823AC"/>
    <w:rsid w:val="00AB54F0"/>
    <w:rsid w:val="00AC7ACB"/>
    <w:rsid w:val="00B816CE"/>
    <w:rsid w:val="00B824E3"/>
    <w:rsid w:val="00BC6E0B"/>
    <w:rsid w:val="00BD40B9"/>
    <w:rsid w:val="00C66F6C"/>
    <w:rsid w:val="00E43484"/>
    <w:rsid w:val="00E51632"/>
    <w:rsid w:val="00ED4A92"/>
    <w:rsid w:val="00F91809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9E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C1"/>
    <w:rsid w:val="00862E77"/>
    <w:rsid w:val="00F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2E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9</cp:revision>
  <dcterms:created xsi:type="dcterms:W3CDTF">2024-03-10T10:16:00Z</dcterms:created>
  <dcterms:modified xsi:type="dcterms:W3CDTF">2024-09-30T21:14:00Z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