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200" w:after="60"/>
        <w:jc w:val="center"/>
      </w:pPr>
      <w:r>
        <w:rPr>
          <w:rFonts w:ascii="Calibri" w:cs="Calibri" w:eastAsia="Calibri" w:hAnsi="Calibri"/>
          <w:b/>
          <w:bCs/>
          <w:color w:val="E8610A"/>
          <w:sz w:val="52"/>
          <w:szCs w:val="52"/>
        </w:rPr>
        <w:t xml:space="preserve">AGEING INNOVATION EXPO THAILAND 2026</w:t>
      </w:r>
    </w:p>
    <w:p>
      <w:pPr>
        <w:spacing w:before="0" w:after="100"/>
        <w:jc w:val="center"/>
      </w:pPr>
      <w:r>
        <w:rPr>
          <w:rFonts w:ascii="Calibri" w:cs="Calibri" w:eastAsia="Calibri" w:hAnsi="Calibri"/>
          <w:b/>
          <w:bCs/>
          <w:color w:val="1A1A1A"/>
          <w:sz w:val="38"/>
          <w:szCs w:val="38"/>
        </w:rPr>
        <w:t xml:space="preserve">Business Matching Platform</w:t>
      </w:r>
    </w:p>
    <w:p>
      <w:pPr>
        <w:spacing w:before="0" w:after="60"/>
        <w:jc w:val="center"/>
      </w:pPr>
      <w:r>
        <w:rPr>
          <w:rFonts w:ascii="Calibri" w:cs="Calibri" w:eastAsia="Calibri" w:hAnsi="Calibri"/>
          <w:color w:val="555555"/>
          <w:sz w:val="26"/>
          <w:szCs w:val="26"/>
        </w:rPr>
        <w:t xml:space="preserve">Requirements Specification &amp; Guide Mockup Brief</w:t>
      </w:r>
    </w:p>
    <w:p>
      <w:pPr>
        <w:spacing w:before="0" w:after="12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9"/>
                <w:szCs w:val="19"/>
              </w:rPr>
              <w:t xml:space="preserve">Version</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9"/>
                <w:szCs w:val="19"/>
              </w:rPr>
              <w:t xml:space="preserve">1.0 — Draft</w:t>
            </w:r>
          </w:p>
        </w:tc>
      </w:tr>
      <w:tr>
        <w:tc>
          <w:tcPr>
            <w:tcW w:type="dxa" w:w="22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9"/>
                <w:szCs w:val="19"/>
              </w:rPr>
              <w:t xml:space="preserve">Prepared by</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9"/>
                <w:szCs w:val="19"/>
              </w:rPr>
              <w:t xml:space="preserve">Product Team</w:t>
            </w:r>
          </w:p>
        </w:tc>
      </w:tr>
      <w:tr>
        <w:tc>
          <w:tcPr>
            <w:tcW w:type="dxa" w:w="22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9"/>
                <w:szCs w:val="19"/>
              </w:rPr>
              <w:t xml:space="preserve">Date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9"/>
                <w:szCs w:val="19"/>
              </w:rPr>
              <w:t xml:space="preserve">March 2026</w:t>
            </w:r>
          </w:p>
        </w:tc>
      </w:tr>
      <w:tr>
        <w:tc>
          <w:tcPr>
            <w:tcW w:type="dxa" w:w="22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9"/>
                <w:szCs w:val="19"/>
              </w:rPr>
              <w:t xml:space="preserve">Event Dates</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9"/>
                <w:szCs w:val="19"/>
              </w:rPr>
              <w:t xml:space="preserve">6–8 May 2026</w:t>
            </w:r>
          </w:p>
        </w:tc>
      </w:tr>
      <w:tr>
        <w:tc>
          <w:tcPr>
            <w:tcW w:type="dxa" w:w="22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9"/>
                <w:szCs w:val="19"/>
              </w:rPr>
              <w:t xml:space="preserve">Venue</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9"/>
                <w:szCs w:val="19"/>
              </w:rPr>
              <w:t xml:space="preserve">Hall EH 103-104, BITEC Bangna</w:t>
            </w:r>
          </w:p>
        </w:tc>
      </w:tr>
      <w:tr>
        <w:tc>
          <w:tcPr>
            <w:tcW w:type="dxa" w:w="22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9"/>
                <w:szCs w:val="19"/>
              </w:rPr>
              <w:t xml:space="preserve">Client</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9"/>
                <w:szCs w:val="19"/>
              </w:rPr>
              <w:t xml:space="preserve">KRS XPANSION CO.,LTD</w:t>
            </w:r>
          </w:p>
        </w:tc>
      </w:tr>
    </w:tbl>
    <w:p>
      <w:pPr>
        <w:spacing w:before="0" w:after="48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1. Executive Summary</w:t>
      </w:r>
    </w:p>
    <w:p>
      <w:pPr>
        <w:spacing w:before="60" w:after="80"/>
      </w:pPr>
      <w:r>
        <w:rPr>
          <w:rFonts w:ascii="Calibri" w:cs="Calibri" w:eastAsia="Calibri" w:hAnsi="Calibri"/>
          <w:color w:val="1A1A1A"/>
          <w:sz w:val="20"/>
          <w:szCs w:val="20"/>
        </w:rPr>
        <w:t xml:space="preserve">Ageing Innovation Expo Thailand 2026 is Asia's premier platform for innovation and solutions in the ageing economy, held on 6–8 May 2026 at Hall EH 103-104, BITEC Bangna, Bangkok. The event is expected to host 300+ exhibitors and attract 1,500–2,000 registered visitors plus approximately 10,000 walk-in visitors across three days.</w:t>
      </w:r>
    </w:p>
    <w:p>
      <w:pPr>
        <w:spacing w:before="0" w:after="60"/>
      </w:pPr>
      <w:r>
        <w:t xml:space="preserve"/>
      </w:r>
    </w:p>
    <w:p>
      <w:pPr>
        <w:spacing w:before="60" w:after="80"/>
      </w:pPr>
      <w:r>
        <w:rPr>
          <w:rFonts w:ascii="Calibri" w:cs="Calibri" w:eastAsia="Calibri" w:hAnsi="Calibri"/>
          <w:color w:val="1A1A1A"/>
          <w:sz w:val="20"/>
          <w:szCs w:val="20"/>
        </w:rPr>
        <w:t xml:space="preserve">This document defines the requirements for a Business Matching Platform — a digital system embedded in the event's official website that enables any visitor (public-facing) to browse the list of participating exhibitors, view available time slots, and book an on-site meeting session at the dedicated Business Matching Area within the venue.</w:t>
      </w:r>
    </w:p>
    <w:p>
      <w:pPr>
        <w:spacing w:before="0" w:after="60"/>
      </w:pPr>
      <w:r>
        <w:t xml:space="preserve"/>
      </w:r>
    </w:p>
    <w:p>
      <w:pPr>
        <w:spacing w:before="60" w:after="80"/>
      </w:pPr>
      <w:r>
        <w:rPr>
          <w:rFonts w:ascii="Calibri" w:cs="Calibri" w:eastAsia="Calibri" w:hAnsi="Calibri"/>
          <w:color w:val="1A1A1A"/>
          <w:sz w:val="20"/>
          <w:szCs w:val="20"/>
        </w:rPr>
        <w:t xml:space="preserve">The platform must integrate with ZipEvent (the event's official registration and exhibitor management vendor) via their API for exhibitor data, and deliver automated booking confirmations and calendar reminders to both parties upon session confirmation.</w:t>
      </w:r>
    </w:p>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2. Project Context &amp; Background</w:t>
      </w:r>
    </w:p>
    <w:p>
      <w:pPr>
        <w:pStyle w:val="Heading2"/>
        <w:spacing w:before="300" w:after="140"/>
      </w:pPr>
      <w:r>
        <w:rPr>
          <w:rFonts w:ascii="Calibri" w:cs="Calibri" w:eastAsia="Calibri" w:hAnsi="Calibri"/>
          <w:b/>
          <w:bCs/>
          <w:color w:val="1A1A1A"/>
          <w:sz w:val="26"/>
          <w:szCs w:val="26"/>
        </w:rPr>
        <w:t xml:space="preserve">2.1 Event Overview</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Event Name: Ageing Innovation Expo Thailand 2026</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Theme: Longevity Meets Innovation — Asia's Premier B2B Platform for the Longevity Economy</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Dates: 6–8 May 2026 (3 days)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Hours: 10:00 – 18:00 daily</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Venue: Hall EH 103-104, BITEC Bangna, Bangkok, Thailand</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Expected Exhibitors: 300+</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Registered Visitors: 1,500 – 2,000</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General Walk-in Visitors: ~10,000 across 3 days</w:t>
      </w:r>
    </w:p>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2.2 Business Problem</w:t>
      </w:r>
    </w:p>
    <w:p>
      <w:pPr>
        <w:spacing w:before="60" w:after="80"/>
      </w:pPr>
      <w:r>
        <w:rPr>
          <w:rFonts w:ascii="Calibri" w:cs="Calibri" w:eastAsia="Calibri" w:hAnsi="Calibri"/>
          <w:color w:val="1A1A1A"/>
          <w:sz w:val="20"/>
          <w:szCs w:val="20"/>
        </w:rPr>
        <w:t xml:space="preserve">Without a structured system, visitor–exhibitor meetings are ad-hoc, leading to missed connections, overcrowding at popular exhibitor booths, and an inability to measure business networking outcomes. A formal Business Matching Platform solves this by:</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Giving visitors planned, confirmed meeting slots with exhibitors of interest.</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Giving exhibitors advance visibility of who they will meet, enabling preparation.</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Optimising usage of the dedicated on-site Business Matching Area.</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Providing the organiser with measurable data on business activity at the event.</w:t>
      </w:r>
    </w:p>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2.3 Website Status</w:t>
      </w:r>
    </w:p>
    <w:p>
      <w:pPr>
        <w:spacing w:before="60" w:after="80"/>
      </w:pPr>
      <w:r>
        <w:rPr>
          <w:rFonts w:ascii="Calibri" w:cs="Calibri" w:eastAsia="Calibri" w:hAnsi="Calibri"/>
          <w:color w:val="1A1A1A"/>
          <w:sz w:val="20"/>
          <w:szCs w:val="20"/>
        </w:rPr>
        <w:t xml:space="preserve">The official website ageinginnovationexpo.com is now live (WordPress-based). The Business Matching page at ageinginnovationexpo.com/business-matching/ currently exists as a placeholder. The platform must therefore be designed to support two deployment scenarios: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Scenario A (Preferred): Embedded as an iframe or subdomain module within the relaunched official website.</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Scenario B (Interim): Deployed as a standalone web application (e.g., match.ageinginnovationexpo.com) with shared branding, until the main website is ready.</w:t>
      </w:r>
    </w:p>
    <w:p>
      <w:pPr>
        <w:spacing w:before="60" w:after="80"/>
      </w:pPr>
      <w:r>
        <w:rPr>
          <w:rFonts w:ascii="Calibri" w:cs="Calibri" w:eastAsia="Calibri" w:hAnsi="Calibri"/>
          <w:color w:val="1A1A1A"/>
          <w:sz w:val="20"/>
          <w:szCs w:val="20"/>
        </w:rPr>
        <w:t xml:space="preserve">The architecture must be decoupled enough to support both scenarios without re-development.</w:t>
      </w:r>
    </w:p>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3. Stakeholders &amp;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c>
          <w:tcPr>
            <w:tcW w:type="dxa" w:w="2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Who</w:t>
            </w:r>
          </w:p>
        </w:tc>
        <w:tc>
          <w:tcPr>
            <w:tcW w:type="dxa" w:w="48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Primary Actions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Visitor (Public)</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Any member of the public browsing the website</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Browse exhibitors, view profiles, select time slots, book meetings, receive confirmations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Exhibitor</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Companies / organisations registered via ZipEvent</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Appear in directory (auto-synced), manage available time slots, receive booking notifications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Event Organiser</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KRS XPANSION CO.,LTD team</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Manage platform settings, approve/reject sessions (optional), view analytics, send announcements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Platform Admin</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Development/operations team</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Manage API credentials, monitor system health, handle escalations</w:t>
            </w:r>
          </w:p>
        </w:tc>
      </w:tr>
    </w:tbl>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4. Functional Requirements</w:t>
      </w:r>
    </w:p>
    <w:p>
      <w:pPr>
        <w:pStyle w:val="Heading2"/>
        <w:spacing w:before="300" w:after="140"/>
      </w:pPr>
      <w:r>
        <w:rPr>
          <w:rFonts w:ascii="Calibri" w:cs="Calibri" w:eastAsia="Calibri" w:hAnsi="Calibri"/>
          <w:b/>
          <w:bCs/>
          <w:color w:val="1A1A1A"/>
          <w:sz w:val="26"/>
          <w:szCs w:val="26"/>
        </w:rPr>
        <w:t xml:space="preserve">4.1 Exhibitor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200"/>
        <w:gridCol w:w="2860"/>
      </w:tblGrid>
      <w:tr>
        <w:trPr>
          <w:tblHeader/>
        </w:trPr>
        <w:tc>
          <w:tcPr>
            <w:tcW w:type="dxa" w:w="8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4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1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c>
          <w:tcPr>
            <w:tcW w:type="dxa" w:w="28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FR-01</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Display a searchable, filterable list of all exhibitors attending the event</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Data pulled from ZipEvent API</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FR-02</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Each exhibitor listing shows: company name, logo, industry category, short description, booth number</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Fields mapped from ZipEvent data model</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FR-03</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Visitor can click an exhibitor card to view a full profile page</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FR-04</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Filter exhibitors by the 3 official expo pillars: (1) Longevity Health &amp; Care Innovation, (2) Active Ageing &amp; Wellness, (3) Smart Living &amp; Business Transformation — plus sub-category tags within each pillar</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Taxonomy confirmed from ageinginnovationexpo.com exhibitor profiles page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FR-05</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Keyword search across exhibitor names and descriptions</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Client-side or server-side search</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FR-06</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Exhibitor profile page shows available and booked time slots in a visual calendar view</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FR-07</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Pagination or infinite scroll for the exhibitor list</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Performance at 300+ exhibitors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FR-08</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Favourite / shortlist exhibitors for later booking</w:t>
            </w:r>
          </w:p>
        </w:tc>
        <w:tc>
          <w:tcPr>
            <w:tcW w:type="dxa" w:w="1200"/>
            <w:tcBorders>
              <w:top w:val="single" w:color="DDDDDD" w:sz="1"/>
              <w:left w:val="single" w:color="DDDDDD" w:sz="1"/>
              <w:bottom w:val="single" w:color="DDDDDD" w:sz="1"/>
              <w:right w:val="single" w:color="DDDDDD" w:sz="1"/>
            </w:tcBorders>
            <w:shd w:fill="E9F7EF" w:val="clear"/>
            <w:tcMar>
              <w:top w:type="dxa" w:w="80"/>
              <w:left w:type="dxa" w:w="80"/>
              <w:bottom w:type="dxa" w:w="80"/>
              <w:right w:type="dxa" w:w="80"/>
            </w:tcMar>
          </w:tcPr>
          <w:p>
            <w:pPr>
              <w:jc w:val="center"/>
            </w:pPr>
            <w:r>
              <w:rPr>
                <w:rFonts w:ascii="Calibri" w:cs="Calibri" w:eastAsia="Calibri" w:hAnsi="Calibri"/>
                <w:b/>
                <w:bCs/>
                <w:color w:val="27AE60"/>
                <w:sz w:val="17"/>
                <w:szCs w:val="17"/>
              </w:rPr>
              <w:t xml:space="preserve">Nice to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Stored in session/local state</w:t>
            </w:r>
          </w:p>
        </w:tc>
      </w:tr>
    </w:tbl>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4.2 Meeting Booking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200"/>
        <w:gridCol w:w="2860"/>
      </w:tblGrid>
      <w:tr>
        <w:trPr>
          <w:tblHeader/>
        </w:trPr>
        <w:tc>
          <w:tcPr>
            <w:tcW w:type="dxa" w:w="8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4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1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c>
          <w:tcPr>
            <w:tcW w:type="dxa" w:w="28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FR-09</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Visitor selects a time slot from the exhibitor profile page</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Slot duration: 30 minutes (assumption — to confirm)</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FR-10</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Visitor booking/inquiry form (no login required): full name, job title, organisation/company, email, phone number, industry sector, country, meeting objective/topics to discuss</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 no login — form collects all required data at time of booking</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FR-10b</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Form field validation: required fields enforced client-side before submission; email format validation; phone format guidance</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FR-10c</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Upon form submission, visitor inquiry details (name, org, title, topics) are included in the exhibitor notification email — exhibitor can prepare before the meeting</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FR-11</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System checks slot availability in real time before confirming</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Prevents double-booking</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FR-12</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Confirmed booking locks the slot and marks it unavailable to other visitors</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FR-13</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System sends email confirmation to both visitor and exhibitor immediately upon booking</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Visitor email includes: session details, unique QR code (booking ref), .ics calendar attachment, Google Calendar link, Outlook .ics download; Exhibitor email includes: visitor name, org, inquiry topics, session time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FR-13b</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QR code in visitor confirmation email encodes the unique booking reference ID — used for on-site check-in at Business Matching Area desk</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QR scan by staff = no app required for visitor</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FR-13c</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24-hour reminder email to visitor resends session details and QR code</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Confirmed: email reminder + QR is sufficient (no LINE required)</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FR-14</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Confirmation email includes .ics calendar file attachment (Google Calendar, Outlook, Apple Calendar compatible)</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FR-14b</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Confirmation page: Add to Google Calendar link (pre-filled event details via Google Calendar URL)</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FR-14c</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Confirmation page: Download for Outlook button (.ics download)</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FR-15</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LINE notification (to visitor/exhibitor via LINE Messaging API)</w:t>
            </w:r>
          </w:p>
        </w:tc>
        <w:tc>
          <w:tcPr>
            <w:tcW w:type="dxa" w:w="1200"/>
            <w:tcBorders>
              <w:top w:val="single" w:color="DDDDDD" w:sz="1"/>
              <w:left w:val="single" w:color="DDDDDD" w:sz="1"/>
              <w:bottom w:val="single" w:color="DDDDDD" w:sz="1"/>
              <w:right w:val="single" w:color="DDDDDD" w:sz="1"/>
            </w:tcBorders>
            <w:shd w:fill="E9F7EF" w:val="clear"/>
            <w:tcMar>
              <w:top w:type="dxa" w:w="80"/>
              <w:left w:type="dxa" w:w="80"/>
              <w:bottom w:type="dxa" w:w="80"/>
              <w:right w:type="dxa" w:w="80"/>
            </w:tcMar>
          </w:tcPr>
          <w:p>
            <w:pPr>
              <w:jc w:val="center"/>
            </w:pPr>
            <w:r>
              <w:rPr>
                <w:rFonts w:ascii="Calibri" w:cs="Calibri" w:eastAsia="Calibri" w:hAnsi="Calibri"/>
                <w:b/>
                <w:bCs/>
                <w:color w:val="27AE60"/>
                <w:sz w:val="17"/>
                <w:szCs w:val="17"/>
              </w:rPr>
              <w:t xml:space="preserve">Out of Scope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 not required by organiser — removed from scope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FR-16</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Visitor can cancel or reschedule a booking via a link in confirmation email (no login needed)</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Uses secure token in URL</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FR-17</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24-hour reminder email to visitor: session details, QR code re-sent, venue instructions (Business Matching Area location at BITEC Bangna)</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 email + QR sufficient — LINE not required</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FR-18</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Limit bookings per visitor: max 6 sessions per day (assumption — to confirm)</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Prevents monopolisation</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FR-19</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Limit bookings per exhibitor per slot to 1 visitor (one-to-one session)</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bl>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4.3 Exhibitor Availability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200"/>
        <w:gridCol w:w="2860"/>
      </w:tblGrid>
      <w:tr>
        <w:trPr>
          <w:tblHeader/>
        </w:trPr>
        <w:tc>
          <w:tcPr>
            <w:tcW w:type="dxa" w:w="8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4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1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c>
          <w:tcPr>
            <w:tcW w:type="dxa" w:w="28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FR-20</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Organiser inputs exhibitor availability into the admin system (exhibitors submit their available time blocks to the organiser, e.g. via a pre-event Google Form or email)</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Exhibitors do not need a self-serve portal — organiser manages slot input on their behalf</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FR-20b</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(Optional upgrade) Simple exhibitor portal where each exhibitor logs in with a unique link/PIN to set their own available time blocks</w:t>
            </w:r>
          </w:p>
        </w:tc>
        <w:tc>
          <w:tcPr>
            <w:tcW w:type="dxa" w:w="1200"/>
            <w:tcBorders>
              <w:top w:val="single" w:color="DDDDDD" w:sz="1"/>
              <w:left w:val="single" w:color="DDDDDD" w:sz="1"/>
              <w:bottom w:val="single" w:color="DDDDDD" w:sz="1"/>
              <w:right w:val="single" w:color="DDDDDD" w:sz="1"/>
            </w:tcBorders>
            <w:shd w:fill="E9F7EF" w:val="clear"/>
            <w:tcMar>
              <w:top w:type="dxa" w:w="80"/>
              <w:left w:type="dxa" w:w="80"/>
              <w:bottom w:type="dxa" w:w="80"/>
              <w:right w:type="dxa" w:w="80"/>
            </w:tcMar>
          </w:tcPr>
          <w:p>
            <w:pPr>
              <w:jc w:val="center"/>
            </w:pPr>
            <w:r>
              <w:rPr>
                <w:rFonts w:ascii="Calibri" w:cs="Calibri" w:eastAsia="Calibri" w:hAnsi="Calibri"/>
                <w:b/>
                <w:bCs/>
                <w:color w:val="27AE60"/>
                <w:sz w:val="17"/>
                <w:szCs w:val="17"/>
              </w:rPr>
              <w:t xml:space="preserve">Nice to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Reduces manual work for organiser if exhibitor count is high (300+)</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FR-21</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Organiser can set global time slot windows (e.g. 10:00–12:00, 13:00–17:00 on each day)</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Slots generated automatically within these windows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FR-22</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Exhibitor can block specific slots (e.g. scheduled breaks, key sessions)</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FR-23</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Organiser can view all bookings in an admin dashboard</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Exportable to CSV/Excel</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FR-24</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Organiser can cancel any booking and trigger notifications to both parties</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bl>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4.4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200"/>
        <w:gridCol w:w="2860"/>
      </w:tblGrid>
      <w:tr>
        <w:trPr>
          <w:tblHeader/>
        </w:trPr>
        <w:tc>
          <w:tcPr>
            <w:tcW w:type="dxa" w:w="8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4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1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c>
          <w:tcPr>
            <w:tcW w:type="dxa" w:w="28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FR-25</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Organiser admin panel: view all sessions by date/exhibitor/visitor/status in real time</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 admin dashboard in scope for traffic monitoring and client reporting</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FR-25b</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Reschedule management: organiser can reassign a booking to a different time slot (on behalf of visitor or exhibitor) and trigger updated confirmation emails + QR to both parties</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 organiser manages all rescheduling</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FR-25c</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Cancellation management: organiser can cancel any booking and send cancellation notification to both parties</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FR-26</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Export booking data to CSV / Excel</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FR-27</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Dashboard analytics: total sessions booked, completion rate, top exhibitors by bookings</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FR-28</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Ability to manually create or override a booking on behalf of a visitor</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For walk-in assisted bookings at the venue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FR-29</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Venue map or table assignment for Business Matching Area (assign table numbers to bookings)</w:t>
            </w:r>
          </w:p>
        </w:tc>
        <w:tc>
          <w:tcPr>
            <w:tcW w:type="dxa" w:w="1200"/>
            <w:tcBorders>
              <w:top w:val="single" w:color="DDDDDD" w:sz="1"/>
              <w:left w:val="single" w:color="DDDDDD" w:sz="1"/>
              <w:bottom w:val="single" w:color="DDDDDD" w:sz="1"/>
              <w:right w:val="single" w:color="DDDDDD" w:sz="1"/>
            </w:tcBorders>
            <w:shd w:fill="E9F7EF" w:val="clear"/>
            <w:tcMar>
              <w:top w:type="dxa" w:w="80"/>
              <w:left w:type="dxa" w:w="80"/>
              <w:bottom w:type="dxa" w:w="80"/>
              <w:right w:type="dxa" w:w="80"/>
            </w:tcMar>
          </w:tcPr>
          <w:p>
            <w:pPr>
              <w:jc w:val="center"/>
            </w:pPr>
            <w:r>
              <w:rPr>
                <w:rFonts w:ascii="Calibri" w:cs="Calibri" w:eastAsia="Calibri" w:hAnsi="Calibri"/>
                <w:b/>
                <w:bCs/>
                <w:color w:val="27AE60"/>
                <w:sz w:val="17"/>
                <w:szCs w:val="17"/>
              </w:rPr>
              <w:t xml:space="preserve">Nice to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bl>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200"/>
        <w:gridCol w:w="2860"/>
      </w:tblGrid>
      <w:tr>
        <w:trPr>
          <w:tblHeader/>
        </w:trPr>
        <w:tc>
          <w:tcPr>
            <w:tcW w:type="dxa" w:w="8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4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1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c>
          <w:tcPr>
            <w:tcW w:type="dxa" w:w="28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NFR-01</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Platform must handle concurrent load of 500+ simultaneous users without degradation</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Load test before go-live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NFR-02</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Page load time &lt; 3 seconds on 4G mobile connection</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Thailand mobile-first audience</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NFR-03</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Responsive design: fully functional on mobile, tablet, desktop</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NFR-04</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Bilingual interface: Thai and English, user-selectable via toggle in header</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CONFIRMED — both languages required</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NFR-05</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PDPA (Thailand Personal Data Protection Act) compliance for all personal data collected</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Consent checkbox on booking form; data retention policy</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NFR-06</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99.9% uptime during event days (6–8 May 2026)</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Host on scalable cloud (AWS/GCP/Azure or equivalent)</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NFR-07</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All data transmission over HTTPS / TLS 1.2+</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NFR-08</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Accessibility: WCAG 2.1 AA compliance</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NFR-09</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Session booking confirmation must be sent within 30 seconds of form submission</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bl>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6. Technical Architecture</w:t>
      </w:r>
    </w:p>
    <w:p>
      <w:pPr>
        <w:pStyle w:val="Heading2"/>
        <w:spacing w:before="300" w:after="140"/>
      </w:pPr>
      <w:r>
        <w:rPr>
          <w:rFonts w:ascii="Calibri" w:cs="Calibri" w:eastAsia="Calibri" w:hAnsi="Calibri"/>
          <w:b/>
          <w:bCs/>
          <w:color w:val="1A1A1A"/>
          <w:sz w:val="26"/>
          <w:szCs w:val="26"/>
        </w:rPr>
        <w:t xml:space="preserve">6.1 System Components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Frontend Web App — Visitor-facing directory and booking interface (React.js or Next.js recommended). Embeddable via iframe or deployed as standalone subdomain.</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Backend API Server — Node.js / Python FastAPI handling booking logic, availability, notifications, and admin APIs.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Database — PostgreSQL (relational) for bookings, slots, users. Redis for session caching and real-time slot locking.</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Notification Service — Transactional email via SendGrid or AWS SES. Sends booking confirmation with .ics attachment, Google Calendar link, Outlook .ics download link, and 24-hour reminder email.</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Admin Dashboard — Web-based panel for organiser (can be same Next.js app, gated by auth).</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ZipEvent Integration Layer — API client module that syncs exhibitor data from ZipEvent on a scheduled basis (e.g. every 15 minutes) and on-demand.</w:t>
      </w:r>
    </w:p>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6.2 ZipEvent API Integration</w:t>
      </w:r>
    </w:p>
    <w:p>
      <w:pPr>
        <w:spacing w:before="60" w:after="80"/>
      </w:pPr>
      <w:r>
        <w:rPr>
          <w:rFonts w:ascii="Calibri" w:cs="Calibri" w:eastAsia="Calibri" w:hAnsi="Calibri"/>
          <w:color w:val="1A1A1A"/>
          <w:sz w:val="20"/>
          <w:szCs w:val="20"/>
        </w:rPr>
        <w:t xml:space="preserve">The exhibitor data is owned and managed by ZipEvent. The following integration approach is recommended:</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Request API access and credentials from ZipEvent prior to development start.</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Perform an initial full sync of the exhibitor catalogue on deployment.</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Run scheduled delta syncs (every 15–30 minutes) to pull updates (new exhibitors, profile edits, withdrawals).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Implement a webhook endpoint (if supported by ZipEvent) to receive real-time push notifications on exhibitor data changes.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Map ZipEvent's data schema to the platform's internal exhibitor model. Key fields needed: exhibitor ID, company name, logo URL, description, category/industry tags, contact email, booth number.</w:t>
      </w:r>
    </w:p>
    <w:p>
      <w:pPr>
        <w:spacing w:before="0" w:after="60"/>
      </w:pPr>
      <w:r>
        <w:t xml:space="preserve"/>
      </w:r>
    </w:p>
    <w:p>
      <w:pPr>
        <w:spacing w:before="60" w:after="80"/>
      </w:pPr>
      <w:r>
        <w:rPr>
          <w:rFonts w:ascii="Calibri" w:cs="Calibri" w:eastAsia="Calibri" w:hAnsi="Calibri"/>
          <w:b/>
          <w:bCs/>
          <w:color w:val="1A1A1A"/>
          <w:sz w:val="20"/>
          <w:szCs w:val="20"/>
        </w:rPr>
        <w:t xml:space="preserve">Outstanding actions required before development:</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Contact ZipEvent to obtain API documentation</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Request sandbox/test API credentials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Confirm which data fields are exposed via the API</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Clarify rate limits and data refresh frequency</w:t>
      </w:r>
    </w:p>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6.3 Website Integration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Scenario</w:t>
            </w:r>
          </w:p>
        </w:tc>
        <w:tc>
          <w:tcPr>
            <w:tcW w:type="dxa" w:w="30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c>
          <w:tcPr>
            <w:tcW w:type="dxa" w:w="228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Pros</w:t>
            </w:r>
          </w:p>
        </w:tc>
        <w:tc>
          <w:tcPr>
            <w:tcW w:type="dxa" w:w="228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Cons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A: Embedded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Platform embedded within main website via iframe or web component</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Seamless UX, same domain</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Depends on website relaunch timeline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B: Subdomain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Hosted at match.ageinginnovationexpo.com, linked from main site</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Independent deployment, no website dependency</w:t>
            </w:r>
          </w:p>
        </w:tc>
        <w:tc>
          <w:tcPr>
            <w:tcW w:type="dxa" w:w="22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Slight context switching for user</w:t>
            </w:r>
          </w:p>
        </w:tc>
      </w:tr>
    </w:tbl>
    <w:p>
      <w:pPr>
        <w:spacing w:before="0" w:after="60"/>
      </w:pPr>
      <w:r>
        <w:t xml:space="preserve"/>
      </w:r>
    </w:p>
    <w:p>
      <w:pPr>
        <w:spacing w:before="60" w:after="80"/>
      </w:pPr>
      <w:r>
        <w:rPr>
          <w:rFonts w:ascii="Calibri" w:cs="Calibri" w:eastAsia="Calibri" w:hAnsi="Calibri"/>
          <w:color w:val="1A1A1A"/>
          <w:sz w:val="20"/>
          <w:szCs w:val="20"/>
        </w:rPr>
        <w:t xml:space="preserve">Recommendation: Deploy as Scenario B (match.ageinginnovationexpo.com subdomain) and link it directly from the existing Business Matching nav item on ageinginnovationexpo.com. The main site is live on WordPress — Scenario A (iframe embed) can be activated at any time once the client approves the integration.</w:t>
      </w:r>
    </w:p>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7. Visitor User Journey</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1: [Discovery] Visitor lands on the event website or standalone platform URL.</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2: [Browse] Visitor views the Exhibitor Directory — can search by name or filter by category.</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3: [Explore] Visitor clicks on an exhibitor card to view the full company profile.</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4: [Select Slot] Visitor views the exhibitor's available time slots on a visual calendar and selects a preferred slot.</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5: [Book] Visitor completes the booking form (name, org, email, phone, purpose). Agrees to PDPA consent.</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6: [Confirm] System confirms the booking in real time. Visitor receives email confirmation with .ics calendar file.</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7: [Reminder] 24 hours before the session, visitor receives an email reminder with the session details and calendar file re-attached.</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8: [Meet] Visitor arrives at Business Matching Area at BITEC Bangna on the event day for the session.</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Step 9: [Manage] If plans change, visitor uses the cancellation link in their confirmation email to cancel or reschedule.</w:t>
      </w:r>
    </w:p>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8. Data &amp; Privacy Requirements</w:t>
      </w:r>
    </w:p>
    <w:p>
      <w:pPr>
        <w:pStyle w:val="Heading2"/>
        <w:spacing w:before="300" w:after="140"/>
      </w:pPr>
      <w:r>
        <w:rPr>
          <w:rFonts w:ascii="Calibri" w:cs="Calibri" w:eastAsia="Calibri" w:hAnsi="Calibri"/>
          <w:b/>
          <w:bCs/>
          <w:color w:val="1A1A1A"/>
          <w:sz w:val="26"/>
          <w:szCs w:val="26"/>
        </w:rPr>
        <w:t xml:space="preserve">8.1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Data Type</w:t>
            </w:r>
          </w:p>
        </w:tc>
        <w:tc>
          <w:tcPr>
            <w:tcW w:type="dxa" w:w="2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Source</w:t>
            </w:r>
          </w:p>
        </w:tc>
        <w:tc>
          <w:tcPr>
            <w:tcW w:type="dxa" w:w="43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Visitor name, org, email, phone</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Booking form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Session confirmation, reminders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Meeting purpose / notes</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Booking form</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Exhibitor preparation</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Exhibitor profile data</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ZipEvent API</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Directory display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Booking history &amp; session logs</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Platform DB</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Analytics, dispute resolution</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IP address, device/browser</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Server logs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Security, fraud prevention</w:t>
            </w:r>
          </w:p>
        </w:tc>
      </w:tr>
    </w:tbl>
    <w:p>
      <w:pPr>
        <w:spacing w:before="0" w:after="60"/>
      </w:pPr>
      <w:r>
        <w:t xml:space="preserve"/>
      </w:r>
    </w:p>
    <w:p>
      <w:pPr>
        <w:pStyle w:val="Heading2"/>
        <w:spacing w:before="300" w:after="140"/>
      </w:pPr>
      <w:r>
        <w:rPr>
          <w:rFonts w:ascii="Calibri" w:cs="Calibri" w:eastAsia="Calibri" w:hAnsi="Calibri"/>
          <w:b/>
          <w:bCs/>
          <w:color w:val="1A1A1A"/>
          <w:sz w:val="26"/>
          <w:szCs w:val="26"/>
        </w:rPr>
        <w:t xml:space="preserve">8.2 PDPA Compliance</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Explicit consent checkbox on booking form with link to privacy policy.</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Data used only for the purposes stated above.</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Visitor data retained for no longer than 12 months post-event, then purged.</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Visitors can request data deletion via email to the organiser.</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Privacy policy page to be prepared by the legal/communications team and linked from the platform.</w:t>
      </w:r>
    </w:p>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9. Integrations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System</w:t>
            </w:r>
          </w:p>
        </w:tc>
        <w:tc>
          <w:tcPr>
            <w:tcW w:type="dxa" w:w="24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Purpose</w:t>
            </w:r>
          </w:p>
        </w:tc>
        <w:tc>
          <w:tcPr>
            <w:tcW w:type="dxa" w:w="24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Status</w:t>
            </w:r>
          </w:p>
        </w:tc>
        <w:tc>
          <w:tcPr>
            <w:tcW w:type="dxa" w:w="23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Action Required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ZipEvent</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Exhibitor data sync</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TBD — API docs not yet obtained</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Request API docs &amp; credentials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SendGrid / AWS SES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Transactional email</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To be provisioned</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Select provider, set up account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LINE Messaging API</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LINE notifications — OUT OF SCOPE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Not Required</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Confirmed removed from scope by organiser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Google Calendar / Outlook</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Calendar invites via .ics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Standard — no integration needed</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.ics generation in backend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Main Website (WordPress / ageinginnovationexpo.com)</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iframe or navigation embed</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Website live at ageinginnovationexpo.com — Business Matching page exists as placeholder</w:t>
            </w:r>
          </w:p>
        </w:tc>
        <w:tc>
          <w:tcPr>
            <w:tcW w:type="dxa" w:w="2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Coordinate with website team</w:t>
            </w:r>
          </w:p>
        </w:tc>
      </w:tr>
    </w:tbl>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10. UI Mockup Screens (Guide)</w:t>
      </w:r>
    </w:p>
    <w:p>
      <w:pPr>
        <w:spacing w:before="60" w:after="80"/>
      </w:pPr>
      <w:r>
        <w:rPr>
          <w:rFonts w:ascii="Calibri" w:cs="Calibri" w:eastAsia="Calibri" w:hAnsi="Calibri"/>
          <w:color w:val="1A1A1A"/>
          <w:sz w:val="20"/>
          <w:szCs w:val="20"/>
        </w:rPr>
        <w:t xml:space="preserve">The following screens are to be designed and prototyped. Refer to the companion interactive mockup HTML file for visual reference.</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Screen 1 — Exhibitor Directory: Grid/list of exhibitor cards with search bar and category filter chips.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Screen 2 — Exhibitor Profile: Company details, description, and time slot calendar picker.</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Screen 3 — Booking Form: Visitor details form with PDPA consent checkbox and submit button.</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Screen 4 — Booking Confirmation: Success screen with session summary, add-to-calendar buttons, and copy/share options.</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Screen 5 — Admin Dashboard: Booking table with filter, export, and session status management.</w:t>
      </w:r>
    </w:p>
    <w:p>
      <w:pPr>
        <w:pStyle w:val="ListParagraph"/>
        <w:numPr>
          <w:ilvl w:val="0"/>
          <w:numId w:val="2"/>
        </w:numPr>
        <w:spacing w:before="40" w:after="40"/>
      </w:pPr>
      <w:r>
        <w:rPr>
          <w:rFonts w:ascii="Calibri" w:cs="Calibri" w:eastAsia="Calibri" w:hAnsi="Calibri"/>
          <w:b w:val="false"/>
          <w:bCs w:val="false"/>
          <w:color w:val="1A1A1A"/>
          <w:sz w:val="20"/>
          <w:szCs w:val="20"/>
        </w:rPr>
        <w:t xml:space="preserve">Screen 6 — Exhibitor Availability Portal: Exhibitor login, calendar with slot toggle, block-out controls.</w:t>
      </w:r>
    </w:p>
    <w:p>
      <w:pPr>
        <w:spacing w:before="60" w:after="80"/>
      </w:pPr>
      <w:r>
        <w:rPr>
          <w:rFonts w:ascii="Calibri" w:cs="Calibri" w:eastAsia="Calibri" w:hAnsi="Calibri"/>
          <w:color w:val="1A1A1A"/>
          <w:sz w:val="20"/>
          <w:szCs w:val="20"/>
        </w:rPr>
        <w:t xml:space="preserve">Design guidelines: Use Ageing Innovation Expo Thailand 2026 brand colours (primary orange #E8610A, white, dark charcoal). Support Thai/English language toggle. Mobile-first responsive layout.</w:t>
      </w:r>
    </w:p>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11. Suggested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Phase</w:t>
            </w:r>
          </w:p>
        </w:tc>
        <w:tc>
          <w:tcPr>
            <w:tcW w:type="dxa" w:w="2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Timeline</w:t>
            </w:r>
          </w:p>
        </w:tc>
        <w:tc>
          <w:tcPr>
            <w:tcW w:type="dxa" w:w="52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Deliverables</w:t>
            </w:r>
          </w:p>
        </w:tc>
      </w:tr>
      <w:tr>
        <w:tc>
          <w:tcPr>
            <w:tcW w:type="dxa" w:w="16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8"/>
                <w:szCs w:val="18"/>
              </w:rPr>
              <w:t xml:space="preserve">Phase 0</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Now → Mar 2026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Finalise requirements, obtain ZipEvent API credentials, confirm slot parameters, select tech stack</w:t>
            </w:r>
          </w:p>
        </w:tc>
      </w:tr>
      <w:tr>
        <w:tc>
          <w:tcPr>
            <w:tcW w:type="dxa" w:w="16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8"/>
                <w:szCs w:val="18"/>
              </w:rPr>
              <w:t xml:space="preserve">Phase 1</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Mar – Apr 2026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Core platform development: directory, booking engine, email notifications, exhibitor portal</w:t>
            </w:r>
          </w:p>
        </w:tc>
      </w:tr>
      <w:tr>
        <w:tc>
          <w:tcPr>
            <w:tcW w:type="dxa" w:w="16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8"/>
                <w:szCs w:val="18"/>
              </w:rPr>
              <w:t xml:space="preserve">Phase 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Apr 2026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Admin dashboard, bilingual (TH/EN) support, Google/Outlook calendar integration, PDPA compliance, UAT</w:t>
            </w:r>
          </w:p>
        </w:tc>
      </w:tr>
      <w:tr>
        <w:tc>
          <w:tcPr>
            <w:tcW w:type="dxa" w:w="16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8"/>
                <w:szCs w:val="18"/>
              </w:rPr>
              <w:t xml:space="preserve">Phase 3</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Late Apr 2026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Load testing, staging deployment, training for organiser team</w:t>
            </w:r>
          </w:p>
        </w:tc>
      </w:tr>
      <w:tr>
        <w:tc>
          <w:tcPr>
            <w:tcW w:type="dxa" w:w="16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8"/>
                <w:szCs w:val="18"/>
              </w:rPr>
              <w:t xml:space="preserve">Go-Live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1 May 2026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Production launch (1 week before event as buffer)</w:t>
            </w:r>
          </w:p>
        </w:tc>
      </w:tr>
      <w:tr>
        <w:tc>
          <w:tcPr>
            <w:tcW w:type="dxa" w:w="16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8"/>
                <w:szCs w:val="18"/>
              </w:rPr>
              <w:t xml:space="preserve">Event Support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6–8 May 2026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On-call support, real-time monitoring during event days</w:t>
            </w:r>
          </w:p>
        </w:tc>
      </w:tr>
      <w:tr>
        <w:tc>
          <w:tcPr>
            <w:tcW w:type="dxa" w:w="1600"/>
            <w:tcBorders>
              <w:top w:val="single" w:color="DDDDDD" w:sz="1"/>
              <w:left w:val="single" w:color="DDDDDD" w:sz="1"/>
              <w:bottom w:val="single" w:color="DDDDDD" w:sz="1"/>
              <w:right w:val="single" w:color="DDDDDD" w:sz="1"/>
            </w:tcBorders>
            <w:shd w:fill="FDF0E6" w:val="clear"/>
            <w:tcMar>
              <w:top w:type="dxa" w:w="80"/>
              <w:left w:type="dxa" w:w="120"/>
              <w:bottom w:type="dxa" w:w="80"/>
              <w:right w:type="dxa" w:w="120"/>
            </w:tcMar>
          </w:tcPr>
          <w:p>
            <w:r>
              <w:rPr>
                <w:rFonts w:ascii="Calibri" w:cs="Calibri" w:eastAsia="Calibri" w:hAnsi="Calibri"/>
                <w:b/>
                <w:bCs/>
                <w:color w:val="E8610A"/>
                <w:sz w:val="18"/>
                <w:szCs w:val="18"/>
              </w:rPr>
              <w:t xml:space="preserve">Post-Event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May 2026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Analytics report, data export, platform archive</w:t>
            </w:r>
          </w:p>
        </w:tc>
      </w:tr>
    </w:tbl>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12. Open Items &amp; Outstanding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200"/>
        <w:gridCol w:w="2860"/>
      </w:tblGrid>
      <w:tr>
        <w:trPr>
          <w:tblHeader/>
        </w:trPr>
        <w:tc>
          <w:tcPr>
            <w:tcW w:type="dxa" w:w="8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45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1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Priority</w:t>
            </w:r>
          </w:p>
        </w:tc>
        <w:tc>
          <w:tcPr>
            <w:tcW w:type="dxa" w:w="286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OQ-01</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Session slot duration: 30–45 minutes (TBC with client). Platform architecture supports configurable slot length. Recommend confirming before dev start as this affects total slot capacity per day.</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TBC — 30 or 45 min</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OQ-02</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Exact operating hours of Business Matching Area: full event hours 10:00–18:00 assumed, but confirm if area has a lunch break or restricted window</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Confirm with venue team — affects slot generation</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OQ-03</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Is organiser approval required before a booking is confirmed, or is it instant?</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Affects UX flow significantly</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OQ-04</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Should registered visitors (ZipEvent) be auto-identified when booking?</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Requires ZipEvent visitor API</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OQ-05</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Will the Business Matching Area have numbered/assigned tables? Who assigns them?</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Affects confirmation email content</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OQ-06</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Maximum bookings per visitor per day? (6 assumed)</w:t>
            </w:r>
          </w:p>
        </w:tc>
        <w:tc>
          <w:tcPr>
            <w:tcW w:type="dxa" w:w="1200"/>
            <w:tcBorders>
              <w:top w:val="single" w:color="DDDDDD" w:sz="1"/>
              <w:left w:val="single" w:color="DDDDDD" w:sz="1"/>
              <w:bottom w:val="single" w:color="DDDDDD" w:sz="1"/>
              <w:right w:val="single" w:color="DDDDDD" w:sz="1"/>
            </w:tcBorders>
            <w:shd w:fill="FDECEA" w:val="clear"/>
            <w:tcMar>
              <w:top w:type="dxa" w:w="80"/>
              <w:left w:type="dxa" w:w="80"/>
              <w:bottom w:type="dxa" w:w="80"/>
              <w:right w:type="dxa" w:w="80"/>
            </w:tcMar>
          </w:tcPr>
          <w:p>
            <w:pPr>
              <w:jc w:val="center"/>
            </w:pPr>
            <w:r>
              <w:rPr>
                <w:rFonts w:ascii="Calibri" w:cs="Calibri" w:eastAsia="Calibri" w:hAnsi="Calibri"/>
                <w:b/>
                <w:bCs/>
                <w:color w:val="C0392B"/>
                <w:sz w:val="17"/>
                <w:szCs w:val="17"/>
              </w:rPr>
              <w:t xml:space="preserve">Must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Confirm with organiser</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OQ-07</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Can exhibitors initiate a matching request to a visitor (two-way)?</w:t>
            </w:r>
          </w:p>
        </w:tc>
        <w:tc>
          <w:tcPr>
            <w:tcW w:type="dxa" w:w="1200"/>
            <w:tcBorders>
              <w:top w:val="single" w:color="DDDDDD" w:sz="1"/>
              <w:left w:val="single" w:color="DDDDDD" w:sz="1"/>
              <w:bottom w:val="single" w:color="DDDDDD" w:sz="1"/>
              <w:right w:val="single" w:color="DDDDDD" w:sz="1"/>
            </w:tcBorders>
            <w:shd w:fill="E9F7EF" w:val="clear"/>
            <w:tcMar>
              <w:top w:type="dxa" w:w="80"/>
              <w:left w:type="dxa" w:w="80"/>
              <w:bottom w:type="dxa" w:w="80"/>
              <w:right w:type="dxa" w:w="80"/>
            </w:tcMar>
          </w:tcPr>
          <w:p>
            <w:pPr>
              <w:jc w:val="center"/>
            </w:pPr>
            <w:r>
              <w:rPr>
                <w:rFonts w:ascii="Calibri" w:cs="Calibri" w:eastAsia="Calibri" w:hAnsi="Calibri"/>
                <w:b/>
                <w:bCs/>
                <w:color w:val="27AE60"/>
                <w:sz w:val="17"/>
                <w:szCs w:val="17"/>
              </w:rPr>
              <w:t xml:space="preserve">Nice to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Requires visitor consent mechanism</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OQ-08</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Calendar invite language — should .ics/Google Calendar invite be in Thai, English, or follow the user's selected language?</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OQ-09</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Google Calendar integration: Should the platform use Google Calendar API OAuth (requires GCP setup) or simple pre-filled URL links? Pre-filled URLs are simpler and require no authentication.</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Recommend pre-filled URL approach for MVP</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b/>
                <w:bCs/>
                <w:color w:val="555555"/>
                <w:sz w:val="18"/>
                <w:szCs w:val="18"/>
              </w:rPr>
              <w:t xml:space="preserve">OQ-10</w:t>
            </w:r>
          </w:p>
        </w:tc>
        <w:tc>
          <w:tcPr>
            <w:tcW w:type="dxa" w:w="4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1A1A1A"/>
                <w:sz w:val="18"/>
                <w:szCs w:val="18"/>
              </w:rPr>
              <w:t xml:space="preserve">Who is responsible for content moderation (e.g. inappropriate meeting purposes)?</w:t>
            </w:r>
          </w:p>
        </w:tc>
        <w:tc>
          <w:tcPr>
            <w:tcW w:type="dxa" w:w="1200"/>
            <w:tcBorders>
              <w:top w:val="single" w:color="DDDDDD" w:sz="1"/>
              <w:left w:val="single" w:color="DDDDDD" w:sz="1"/>
              <w:bottom w:val="single" w:color="DDDDDD" w:sz="1"/>
              <w:right w:val="single" w:color="DDDDDD" w:sz="1"/>
            </w:tcBorders>
            <w:shd w:fill="FEF3E2" w:val="clear"/>
            <w:tcMar>
              <w:top w:type="dxa" w:w="80"/>
              <w:left w:type="dxa" w:w="80"/>
              <w:bottom w:type="dxa" w:w="80"/>
              <w:right w:type="dxa" w:w="80"/>
            </w:tcMar>
          </w:tcPr>
          <w:p>
            <w:pPr>
              <w:jc w:val="center"/>
            </w:pPr>
            <w:r>
              <w:rPr>
                <w:rFonts w:ascii="Calibri" w:cs="Calibri" w:eastAsia="Calibri" w:hAnsi="Calibri"/>
                <w:b/>
                <w:bCs/>
                <w:color w:val="E67E22"/>
                <w:sz w:val="17"/>
                <w:szCs w:val="17"/>
              </w:rPr>
              <w:t xml:space="preserve">Should Have</w:t>
            </w:r>
          </w:p>
        </w:tc>
        <w:tc>
          <w:tcPr>
            <w:tcW w:type="dxa" w:w="2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alibri" w:cs="Calibri" w:eastAsia="Calibri" w:hAnsi="Calibri"/>
                <w:color w:val="555555"/>
                <w:sz w:val="17"/>
                <w:szCs w:val="17"/>
              </w:rPr>
              <w:t xml:space="preserve">Define moderation policy</w:t>
            </w:r>
          </w:p>
        </w:tc>
      </w:tr>
    </w:tbl>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13. Development Tool Recommendation</w:t>
      </w:r>
    </w:p>
    <w:p>
      <w:pPr>
        <w:pStyle w:val="Heading2"/>
        <w:spacing w:before="300" w:after="140"/>
      </w:pPr>
      <w:r>
        <w:rPr>
          <w:rFonts w:ascii="Calibri" w:cs="Calibri" w:eastAsia="Calibri" w:hAnsi="Calibri"/>
          <w:b/>
          <w:bCs/>
          <w:color w:val="1A1A1A"/>
          <w:sz w:val="26"/>
          <w:szCs w:val="26"/>
        </w:rPr>
        <w:t xml:space="preserve">Claude Code vs Claude Cowork — Which Should You Use?</w:t>
      </w:r>
    </w:p>
    <w:p>
      <w:pPr>
        <w:spacing w:before="60" w:after="80"/>
      </w:pPr>
      <w:r>
        <w:rPr>
          <w:rFonts w:ascii="Calibri" w:cs="Calibri" w:eastAsia="Calibri" w:hAnsi="Calibri"/>
          <w:color w:val="1A1A1A"/>
          <w:sz w:val="20"/>
          <w:szCs w:val="20"/>
        </w:rPr>
        <w:t xml:space="preserve">Based on the scope of this project, here is a clear recommendation: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
            </w:r>
          </w:p>
        </w:tc>
        <w:tc>
          <w:tcPr>
            <w:tcW w:type="dxa" w:w="358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Claude Code</w:t>
            </w:r>
          </w:p>
        </w:tc>
        <w:tc>
          <w:tcPr>
            <w:tcW w:type="dxa" w:w="3580"/>
            <w:tcBorders>
              <w:top w:val="single" w:color="DDDDDD" w:sz="1"/>
              <w:left w:val="single" w:color="DDDDDD" w:sz="1"/>
              <w:bottom w:val="single" w:color="DDDDDD" w:sz="1"/>
              <w:right w:val="single" w:color="DDDDDD" w:sz="1"/>
            </w:tcBorders>
            <w:shd w:fill="E8610A" w:val="clear"/>
            <w:tcMar>
              <w:top w:type="dxa" w:w="80"/>
              <w:left w:type="dxa" w:w="120"/>
              <w:bottom w:type="dxa" w:w="80"/>
              <w:right w:type="dxa" w:w="120"/>
            </w:tcMar>
          </w:tcPr>
          <w:p>
            <w:r>
              <w:rPr>
                <w:rFonts w:ascii="Calibri" w:cs="Calibri" w:eastAsia="Calibri" w:hAnsi="Calibri"/>
                <w:b/>
                <w:bCs/>
                <w:color w:val="FFFFFF"/>
                <w:sz w:val="19"/>
                <w:szCs w:val="19"/>
              </w:rPr>
              <w:t xml:space="preserve">Claude Cowork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18"/>
                <w:szCs w:val="18"/>
              </w:rPr>
              <w:t xml:space="preserve">Best for</w:t>
            </w:r>
          </w:p>
        </w:tc>
        <w:tc>
          <w:tcPr>
            <w:tcW w:type="dxa" w:w="3580"/>
            <w:tcBorders>
              <w:top w:val="single" w:color="DDDDDD" w:sz="1"/>
              <w:left w:val="single" w:color="DDDDDD" w:sz="1"/>
              <w:bottom w:val="single" w:color="DDDDDD" w:sz="1"/>
              <w:right w:val="single" w:color="DDDDDD" w:sz="1"/>
            </w:tcBorders>
            <w:shd w:fill="E9F7EF" w:val="clear"/>
            <w:tcMar>
              <w:top w:type="dxa" w:w="80"/>
              <w:left w:type="dxa" w:w="120"/>
              <w:bottom w:type="dxa" w:w="80"/>
              <w:right w:type="dxa" w:w="120"/>
            </w:tcMar>
          </w:tcPr>
          <w:p>
            <w:r>
              <w:rPr>
                <w:rFonts w:ascii="Calibri" w:cs="Calibri" w:eastAsia="Calibri" w:hAnsi="Calibri"/>
                <w:color w:val="1A1A1A"/>
                <w:sz w:val="18"/>
                <w:szCs w:val="18"/>
              </w:rPr>
              <w:t xml:space="preserve">Developers building web applications, APIs, and integrations</w:t>
            </w:r>
          </w:p>
        </w:tc>
        <w:tc>
          <w:tcPr>
            <w:tcW w:type="dxa" w:w="358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Calibri" w:cs="Calibri" w:eastAsia="Calibri" w:hAnsi="Calibri"/>
                <w:color w:val="1A1A1A"/>
                <w:sz w:val="18"/>
                <w:szCs w:val="18"/>
              </w:rPr>
              <w:t xml:space="preserve">Non-developers automating file and task management workflows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18"/>
                <w:szCs w:val="18"/>
              </w:rPr>
              <w:t xml:space="preserve">Fits this project?</w:t>
            </w:r>
          </w:p>
        </w:tc>
        <w:tc>
          <w:tcPr>
            <w:tcW w:type="dxa" w:w="3580"/>
            <w:tcBorders>
              <w:top w:val="single" w:color="DDDDDD" w:sz="1"/>
              <w:left w:val="single" w:color="DDDDDD" w:sz="1"/>
              <w:bottom w:val="single" w:color="DDDDDD" w:sz="1"/>
              <w:right w:val="single" w:color="DDDDDD" w:sz="1"/>
            </w:tcBorders>
            <w:shd w:fill="E9F7EF" w:val="clear"/>
            <w:tcMar>
              <w:top w:type="dxa" w:w="80"/>
              <w:left w:type="dxa" w:w="120"/>
              <w:bottom w:type="dxa" w:w="80"/>
              <w:right w:type="dxa" w:w="120"/>
            </w:tcMar>
          </w:tcPr>
          <w:p>
            <w:r>
              <w:rPr>
                <w:rFonts w:ascii="Calibri" w:cs="Calibri" w:eastAsia="Calibri" w:hAnsi="Calibri"/>
                <w:color w:val="1A1A1A"/>
                <w:sz w:val="18"/>
                <w:szCs w:val="18"/>
              </w:rPr>
              <w:t xml:space="preserve">YES — full platform development, REST APIs, database design, ZipEvent integration</w:t>
            </w:r>
          </w:p>
        </w:tc>
        <w:tc>
          <w:tcPr>
            <w:tcW w:type="dxa" w:w="358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Calibri" w:cs="Calibri" w:eastAsia="Calibri" w:hAnsi="Calibri"/>
                <w:color w:val="1A1A1A"/>
                <w:sz w:val="18"/>
                <w:szCs w:val="18"/>
              </w:rPr>
              <w:t xml:space="preserve">NO — not designed for custom web platform development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alibri" w:cs="Calibri" w:eastAsia="Calibri" w:hAnsi="Calibri"/>
                <w:color w:val="1A1A1A"/>
                <w:sz w:val="18"/>
                <w:szCs w:val="18"/>
              </w:rPr>
              <w:t xml:space="preserve">Use for</w:t>
            </w:r>
          </w:p>
        </w:tc>
        <w:tc>
          <w:tcPr>
            <w:tcW w:type="dxa" w:w="3580"/>
            <w:tcBorders>
              <w:top w:val="single" w:color="DDDDDD" w:sz="1"/>
              <w:left w:val="single" w:color="DDDDDD" w:sz="1"/>
              <w:bottom w:val="single" w:color="DDDDDD" w:sz="1"/>
              <w:right w:val="single" w:color="DDDDDD" w:sz="1"/>
            </w:tcBorders>
            <w:shd w:fill="E9F7EF" w:val="clear"/>
            <w:tcMar>
              <w:top w:type="dxa" w:w="80"/>
              <w:left w:type="dxa" w:w="120"/>
              <w:bottom w:type="dxa" w:w="80"/>
              <w:right w:type="dxa" w:w="120"/>
            </w:tcMar>
          </w:tcPr>
          <w:p>
            <w:r>
              <w:rPr>
                <w:rFonts w:ascii="Calibri" w:cs="Calibri" w:eastAsia="Calibri" w:hAnsi="Calibri"/>
                <w:color w:val="1A1A1A"/>
                <w:sz w:val="18"/>
                <w:szCs w:val="18"/>
              </w:rPr>
              <w:t xml:space="preserve">Building the booking engine, Next.js frontend, backend API, ZipEvent connector, admin dashboard</w:t>
            </w:r>
          </w:p>
        </w:tc>
        <w:tc>
          <w:tcPr>
            <w:tcW w:type="dxa" w:w="3580"/>
            <w:tcBorders>
              <w:top w:val="single" w:color="DDDDDD" w:sz="1"/>
              <w:left w:val="single" w:color="DDDDDD" w:sz="1"/>
              <w:bottom w:val="single" w:color="DDDDDD" w:sz="1"/>
              <w:right w:val="single" w:color="DDDDDD" w:sz="1"/>
            </w:tcBorders>
            <w:shd w:fill="FEF3E2" w:val="clear"/>
            <w:tcMar>
              <w:top w:type="dxa" w:w="80"/>
              <w:left w:type="dxa" w:w="120"/>
              <w:bottom w:type="dxa" w:w="80"/>
              <w:right w:type="dxa" w:w="120"/>
            </w:tcMar>
          </w:tcPr>
          <w:p>
            <w:r>
              <w:rPr>
                <w:rFonts w:ascii="Calibri" w:cs="Calibri" w:eastAsia="Calibri" w:hAnsi="Calibri"/>
                <w:color w:val="1A1A1A"/>
                <w:sz w:val="18"/>
                <w:szCs w:val="18"/>
              </w:rPr>
              <w:t xml:space="preserve">Document creation, spreadsheet automation, file management tasks</w:t>
            </w:r>
          </w:p>
        </w:tc>
      </w:tr>
    </w:tbl>
    <w:p>
      <w:pPr>
        <w:spacing w:before="0" w:after="60"/>
      </w:pPr>
      <w:r>
        <w:t xml:space="preserve"/>
      </w:r>
    </w:p>
    <w:p>
      <w:pPr>
        <w:spacing w:before="60" w:after="80"/>
      </w:pPr>
      <w:r>
        <w:rPr>
          <w:rFonts w:ascii="Calibri" w:cs="Calibri" w:eastAsia="Calibri" w:hAnsi="Calibri"/>
          <w:color w:val="1A1A1A"/>
          <w:sz w:val="20"/>
          <w:szCs w:val="20"/>
        </w:rPr>
        <w:t xml:space="preserve">Recommendation: Use Claude Code for this project. It is a command-line agentic coding tool that will help your development team build, iterate, and debug the platform efficiently. The overall development should be conducted in a proper software engineering environment (VS Code, Git, cloud deployment pipeline).</w:t>
      </w:r>
    </w:p>
    <w:p>
      <w:pPr>
        <w:spacing w:before="0" w:after="120"/>
      </w:pPr>
      <w:r>
        <w:t xml:space="preserve"/>
      </w:r>
    </w:p>
    <w:p>
      <w:pPr>
        <w:pStyle w:val="Heading1"/>
        <w:pBdr>
          <w:bottom w:val="single" w:color="E8610A" w:sz="4" w:space="6"/>
        </w:pBdr>
        <w:spacing w:before="400" w:after="200"/>
      </w:pPr>
      <w:r>
        <w:rPr>
          <w:rFonts w:ascii="Calibri" w:cs="Calibri" w:eastAsia="Calibri" w:hAnsi="Calibri"/>
          <w:b/>
          <w:bCs/>
          <w:color w:val="E8610A"/>
          <w:sz w:val="32"/>
          <w:szCs w:val="32"/>
        </w:rPr>
        <w:t xml:space="preserve">Appendix A: Glossary</w:t>
      </w:r>
    </w:p>
    <w:p>
      <w:pPr>
        <w:spacing w:before="60" w:after="60"/>
      </w:pPr>
      <w:r>
        <w:rPr>
          <w:rFonts w:ascii="Calibri" w:cs="Calibri" w:eastAsia="Calibri" w:hAnsi="Calibri"/>
          <w:b/>
          <w:bCs/>
          <w:color w:val="1A1A1A"/>
          <w:sz w:val="19"/>
          <w:szCs w:val="19"/>
        </w:rPr>
        <w:t xml:space="preserve">Business Matching: </w:t>
      </w:r>
      <w:r>
        <w:rPr>
          <w:rFonts w:ascii="Calibri" w:cs="Calibri" w:eastAsia="Calibri" w:hAnsi="Calibri"/>
          <w:color w:val="555555"/>
          <w:sz w:val="19"/>
          <w:szCs w:val="19"/>
        </w:rPr>
        <w:t xml:space="preserve">A structured process where event visitors book pre-scheduled meetings with exhibitors at a designated venue area.</w:t>
      </w:r>
    </w:p>
    <w:p>
      <w:pPr>
        <w:spacing w:before="60" w:after="60"/>
      </w:pPr>
      <w:r>
        <w:rPr>
          <w:rFonts w:ascii="Calibri" w:cs="Calibri" w:eastAsia="Calibri" w:hAnsi="Calibri"/>
          <w:b/>
          <w:bCs/>
          <w:color w:val="1A1A1A"/>
          <w:sz w:val="19"/>
          <w:szCs w:val="19"/>
        </w:rPr>
        <w:t xml:space="preserve">ZipEvent: </w:t>
      </w:r>
      <w:r>
        <w:rPr>
          <w:rFonts w:ascii="Calibri" w:cs="Calibri" w:eastAsia="Calibri" w:hAnsi="Calibri"/>
          <w:color w:val="555555"/>
          <w:sz w:val="19"/>
          <w:szCs w:val="19"/>
        </w:rPr>
        <w:t xml:space="preserve">Third-party event registration and exhibitor management platform used by Ageing Innovation Expo Thailand 2026.</w:t>
      </w:r>
    </w:p>
    <w:p>
      <w:pPr>
        <w:spacing w:before="60" w:after="60"/>
      </w:pPr>
      <w:r>
        <w:rPr>
          <w:rFonts w:ascii="Calibri" w:cs="Calibri" w:eastAsia="Calibri" w:hAnsi="Calibri"/>
          <w:b/>
          <w:bCs/>
          <w:color w:val="1A1A1A"/>
          <w:sz w:val="19"/>
          <w:szCs w:val="19"/>
        </w:rPr>
        <w:t xml:space="preserve">PDPA: </w:t>
      </w:r>
      <w:r>
        <w:rPr>
          <w:rFonts w:ascii="Calibri" w:cs="Calibri" w:eastAsia="Calibri" w:hAnsi="Calibri"/>
          <w:color w:val="555555"/>
          <w:sz w:val="19"/>
          <w:szCs w:val="19"/>
        </w:rPr>
        <w:t xml:space="preserve">Thailand Personal Data Protection Act — Thailand's primary data privacy regulation, effective 2022.</w:t>
      </w:r>
    </w:p>
    <w:p>
      <w:pPr>
        <w:spacing w:before="60" w:after="60"/>
      </w:pPr>
      <w:r>
        <w:rPr>
          <w:rFonts w:ascii="Calibri" w:cs="Calibri" w:eastAsia="Calibri" w:hAnsi="Calibri"/>
          <w:b/>
          <w:bCs/>
          <w:color w:val="1A1A1A"/>
          <w:sz w:val="19"/>
          <w:szCs w:val="19"/>
        </w:rPr>
        <w:t xml:space="preserve">.ics: </w:t>
      </w:r>
      <w:r>
        <w:rPr>
          <w:rFonts w:ascii="Calibri" w:cs="Calibri" w:eastAsia="Calibri" w:hAnsi="Calibri"/>
          <w:color w:val="555555"/>
          <w:sz w:val="19"/>
          <w:szCs w:val="19"/>
        </w:rPr>
        <w:t xml:space="preserve">iCalendar file format used to deliver calendar event invites compatible with Google Calendar, Outlook, and Apple Calendar.</w:t>
      </w:r>
    </w:p>
    <w:p>
      <w:pPr>
        <w:spacing w:before="60" w:after="60"/>
      </w:pPr>
      <w:r>
        <w:rPr>
          <w:rFonts w:ascii="Calibri" w:cs="Calibri" w:eastAsia="Calibri" w:hAnsi="Calibri"/>
          <w:b/>
          <w:bCs/>
          <w:color w:val="1A1A1A"/>
          <w:sz w:val="19"/>
          <w:szCs w:val="19"/>
        </w:rPr>
        <w:t xml:space="preserve">BITEC Bangna: </w:t>
      </w:r>
      <w:r>
        <w:rPr>
          <w:rFonts w:ascii="Calibri" w:cs="Calibri" w:eastAsia="Calibri" w:hAnsi="Calibri"/>
          <w:color w:val="555555"/>
          <w:sz w:val="19"/>
          <w:szCs w:val="19"/>
        </w:rPr>
        <w:t xml:space="preserve">Bangkok International Trade &amp; Exhibition Centre — venue for Ageing Innovation Expo Thailand 2026.</w:t>
      </w:r>
    </w:p>
    <w:p>
      <w:pPr>
        <w:spacing w:before="60" w:after="60"/>
      </w:pPr>
      <w:r>
        <w:rPr>
          <w:rFonts w:ascii="Calibri" w:cs="Calibri" w:eastAsia="Calibri" w:hAnsi="Calibri"/>
          <w:b/>
          <w:bCs/>
          <w:color w:val="1A1A1A"/>
          <w:sz w:val="19"/>
          <w:szCs w:val="19"/>
        </w:rPr>
        <w:t xml:space="preserve">UAT: </w:t>
      </w:r>
      <w:r>
        <w:rPr>
          <w:rFonts w:ascii="Calibri" w:cs="Calibri" w:eastAsia="Calibri" w:hAnsi="Calibri"/>
          <w:color w:val="555555"/>
          <w:sz w:val="19"/>
          <w:szCs w:val="19"/>
        </w:rPr>
        <w:t xml:space="preserve">User Acceptance Testing — a phase of testing where the client validates that the system meets requirements before go-live.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r>
            <w:rPr>
              <w:rFonts w:ascii="Calibri" w:cs="Calibri" w:eastAsia="Calibri" w:hAnsi="Calibri"/>
              <w:b/>
              <w:bCs/>
              <w:color w:val="E8610A"/>
              <w:sz w:val="18"/>
              <w:szCs w:val="18"/>
            </w:rPr>
            <w:t xml:space="preserve">Business Matching Platform — Requirements Document</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right"/>
          </w:pPr>
          <w:r>
            <w:rPr>
              <w:rFonts w:ascii="Calibri" w:cs="Calibri" w:eastAsia="Calibri" w:hAnsi="Calibri"/>
              <w:color w:val="555555"/>
              <w:sz w:val="16"/>
              <w:szCs w:val="16"/>
            </w:rPr>
            <w:t xml:space="preserve">Ageing Innovation Expo Thailand 2026  |  Confidential</w:t>
          </w:r>
        </w:p>
      </w:tc>
    </w:tr>
  </w:tbl>
  <w:p>
    <w:pPr>
      <w:pBdr>
        <w:bottom w:val="single" w:color="E8610A"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E8610A"/>
      <w:sz w:val="32"/>
      <w:szCs w:val="32"/>
    </w:rPr>
  </w:style>
  <w:style w:type="paragraph" w:styleId="Heading2">
    <w:name w:val="Heading 2"/>
    <w:basedOn w:val="Normal"/>
    <w:next w:val="Normal"/>
    <w:qFormat/>
    <w:pPr>
      <w:spacing w:before="300" w:after="140"/>
      <w:outlineLvl w:val="1"/>
    </w:pPr>
    <w:rPr>
      <w:rFonts w:ascii="Calibri" w:cs="Calibri" w:eastAsia="Calibri" w:hAnsi="Calibri"/>
      <w:b/>
      <w:bCs/>
      <w:color w:val="1A1A1A"/>
      <w:sz w:val="26"/>
      <w:szCs w:val="26"/>
    </w:rPr>
  </w:style>
  <w:style w:type="paragraph" w:styleId="Heading3">
    <w:name w:val="Heading 3"/>
    <w:basedOn w:val="Normal"/>
    <w:next w:val="Normal"/>
    <w:qFormat/>
    <w:pPr>
      <w:spacing w:before="200" w:after="10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2026-03-04T09:36:35.068Z</dcterms:created>
  <dcterms:modified xsi:type="dcterms:W3CDTF">2026-03-04T09:36:35.069Z</dcterms:modified>
</cp:coreProperties>
</file>

<file path=docProps/custom.xml><?xml version="1.0" encoding="utf-8"?>
<Properties xmlns="http://schemas.openxmlformats.org/officeDocument/2006/custom-properties" xmlns:vt="http://schemas.openxmlformats.org/officeDocument/2006/docPropsVTypes"/>
</file>