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5C1" w14:textId="4A3B0F1F" w:rsidR="005E5561" w:rsidRPr="003F527D" w:rsidRDefault="00332D45" w:rsidP="003F527D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 w:rsidRPr="003F527D">
        <w:rPr>
          <w:rFonts w:ascii="宋体" w:eastAsia="宋体" w:hAnsi="宋体" w:hint="eastAsia"/>
          <w:b/>
          <w:bCs/>
          <w:sz w:val="44"/>
          <w:szCs w:val="44"/>
        </w:rPr>
        <w:t>高处独</w:t>
      </w:r>
      <w:proofErr w:type="gramEnd"/>
      <w:r w:rsidRPr="003F527D">
        <w:rPr>
          <w:rFonts w:ascii="宋体" w:eastAsia="宋体" w:hAnsi="宋体" w:hint="eastAsia"/>
          <w:b/>
          <w:bCs/>
          <w:sz w:val="44"/>
          <w:szCs w:val="44"/>
        </w:rPr>
        <w:t>起舞</w:t>
      </w:r>
    </w:p>
    <w:p w14:paraId="56BFE4C3" w14:textId="5E38E680" w:rsidR="00F93D31" w:rsidRPr="003F527D" w:rsidRDefault="003F527D" w:rsidP="003F527D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/>
          <w:sz w:val="32"/>
          <w:szCs w:val="32"/>
        </w:rPr>
        <w:t xml:space="preserve">                  </w:t>
      </w:r>
      <w:r w:rsidR="00F93D31" w:rsidRPr="003F527D">
        <w:rPr>
          <w:rFonts w:ascii="仿宋" w:eastAsia="仿宋" w:hAnsi="仿宋" w:hint="eastAsia"/>
          <w:sz w:val="32"/>
          <w:szCs w:val="32"/>
        </w:rPr>
        <w:t>——《苏东坡传》读书笔记</w:t>
      </w:r>
    </w:p>
    <w:p w14:paraId="44DAE269" w14:textId="6F708F07" w:rsidR="00362B7D" w:rsidRPr="003F527D" w:rsidRDefault="00F93D31" w:rsidP="003F527D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“吾上可陪玉皇大帝，下可陪卑田院乞儿。眼前见天下无一个</w:t>
      </w:r>
      <w:proofErr w:type="gramStart"/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不</w:t>
      </w:r>
      <w:proofErr w:type="gramEnd"/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好人。”</w:t>
      </w:r>
      <w:r w:rsidR="00362B7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苏轼</w:t>
      </w:r>
      <w:r w:rsidR="00C968E9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r w:rsidR="00362B7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字子瞻，号铁冠道人、东坡居士，</w:t>
      </w:r>
      <w:proofErr w:type="gramStart"/>
      <w:r w:rsidR="00362B7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世</w:t>
      </w:r>
      <w:proofErr w:type="gramEnd"/>
      <w:r w:rsidR="00362B7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称苏东坡</w:t>
      </w:r>
      <w:r w:rsidR="00362B7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</w:t>
      </w:r>
      <w:hyperlink r:id="rId6" w:tgtFrame="_blank" w:history="1">
        <w:r w:rsidR="00362B7D" w:rsidRPr="003F527D">
          <w:rPr>
            <w:rFonts w:ascii="仿宋" w:eastAsia="仿宋" w:hAnsi="仿宋" w:cs="Helvetica"/>
            <w:color w:val="333333"/>
            <w:sz w:val="32"/>
            <w:szCs w:val="32"/>
            <w:shd w:val="clear" w:color="auto" w:fill="FFFFFF"/>
          </w:rPr>
          <w:t>北宋</w:t>
        </w:r>
      </w:hyperlink>
      <w:r w:rsidR="00362B7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文学家、书法家、美食家、画家，历史治水名人。</w:t>
      </w:r>
    </w:p>
    <w:p w14:paraId="1428702C" w14:textId="77777777" w:rsidR="003F6877" w:rsidRPr="003F527D" w:rsidRDefault="00A67E75" w:rsidP="003F527D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林语堂在序言中说： 我们未尝不可说，苏东坡是个秉性难改的乐天派，是悲天悯人的道德家，是黎民百姓的好朋友，是散文作家，是新派的画家，是伟大的书法家，是酿酒的实验者，是工程师，是假道学的反对派，是瑜伽术的修炼者，是佛教徒，是士大夫，是皇帝的秘书，是饮酒成癖者，是心肠慈悲的法官，是政治上的坚持己见者，是月下的漫步者，是诗人，是生性诙谐爱开玩笑的人。</w:t>
      </w:r>
    </w:p>
    <w:p w14:paraId="1EB5DD19" w14:textId="6E6400A1" w:rsidR="00A67E75" w:rsidRPr="003F527D" w:rsidRDefault="00A67E75" w:rsidP="003F527D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可是这些也许还不足以勾绘出苏东坡的全貌</w:t>
      </w:r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，在我看来，他是那个</w:t>
      </w:r>
      <w:r w:rsidR="003F6877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存在离我们最远，但心又最贴近的那个人。</w:t>
      </w:r>
    </w:p>
    <w:p w14:paraId="0D79069E" w14:textId="2AD71C29" w:rsidR="003F6877" w:rsidRPr="003F527D" w:rsidRDefault="003F6877" w:rsidP="003F527D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存在之远，是他一生被迫卷入无休无止的政治漩涡，</w:t>
      </w:r>
      <w:r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但是他却光风霁月，高高超越于</w:t>
      </w:r>
      <w:proofErr w:type="gramStart"/>
      <w:r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苟</w:t>
      </w:r>
      <w:proofErr w:type="gramEnd"/>
      <w:r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苟营营的政治勾当之上</w:t>
      </w:r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。心之贴近，是他</w:t>
      </w:r>
      <w:r w:rsidR="000170C3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有着天才般的才华与头脑，却愿</w:t>
      </w:r>
      <w:r w:rsidR="004D2B51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“俯下身去，亲近泥土”真正的</w:t>
      </w:r>
      <w:r w:rsidR="000170C3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心系黎民百姓并愿付诸行动。</w:t>
      </w:r>
      <w:r w:rsidR="007564C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苏轼孑孓闪光在中国古代文人中的原因正是其对“出世”、“入世”的把握</w:t>
      </w:r>
      <w:r w:rsidR="00F7637C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。受古代中国大环境影响</w:t>
      </w:r>
      <w:r w:rsidR="00F7637C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,</w:t>
      </w:r>
      <w:r w:rsidR="00CA5297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“居庙堂之高”来施展自己的抱负是每一个读书人的愿望，但真正的政治</w:t>
      </w:r>
      <w:r w:rsidR="00CA5297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lastRenderedPageBreak/>
        <w:t>官场却是自视清高的文人们极其厌弃的。</w:t>
      </w:r>
      <w:proofErr w:type="gramStart"/>
      <w:r w:rsidR="004A6BD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集</w:t>
      </w:r>
      <w:r w:rsidR="00CA5297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儒释道</w:t>
      </w:r>
      <w:proofErr w:type="gramEnd"/>
      <w:r w:rsidR="00CA5297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三家一体</w:t>
      </w:r>
      <w:r w:rsidR="00362B7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的东坡先生</w:t>
      </w:r>
      <w:r w:rsidR="00C968E9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用一生完成一道关于哲学的证明题——一旦一个文人学会了吸收各种可能对自己</w:t>
      </w:r>
      <w:r w:rsidR="002035E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有效的文化，他自然会消解掉学说之间的矛盾：在屈原那里，入不得则死 ；到了陶渊明，不能</w:t>
      </w:r>
      <w:proofErr w:type="gramStart"/>
      <w:r w:rsidR="002035E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仕</w:t>
      </w:r>
      <w:proofErr w:type="gramEnd"/>
      <w:r w:rsidR="002035E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则隐；李白入过朝廷后终离开，纵情山水实不忘有为；典型儒家代表杜甫，一粥一饭</w:t>
      </w:r>
      <w:proofErr w:type="gramStart"/>
      <w:r w:rsidR="002035E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未尝忘君</w:t>
      </w:r>
      <w:proofErr w:type="gramEnd"/>
      <w:r w:rsidR="002035ED" w:rsidRPr="003F527D"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  <w:t>……</w:t>
      </w:r>
      <w:r w:rsidR="002035ED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中国知识分子有许多人</w:t>
      </w:r>
      <w:r w:rsidR="008F7010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都同时具备儒家的入世精神与释道的出世精神，用朱光潜先生的话来说，就是以出世的精神做入世的事业。真正具备这样精神的人才能平衡得失，苏东坡无疑做到了。</w:t>
      </w:r>
    </w:p>
    <w:p w14:paraId="1960220B" w14:textId="196D6AEA" w:rsidR="008F7010" w:rsidRPr="003F527D" w:rsidRDefault="008F7010" w:rsidP="003F527D">
      <w:pPr>
        <w:ind w:firstLineChars="200" w:firstLine="640"/>
        <w:jc w:val="left"/>
        <w:rPr>
          <w:rFonts w:ascii="仿宋" w:eastAsia="仿宋" w:hAnsi="仿宋" w:cs="Helvetica"/>
          <w:color w:val="333333"/>
          <w:sz w:val="32"/>
          <w:szCs w:val="32"/>
          <w:shd w:val="clear" w:color="auto" w:fill="FFFFFF"/>
        </w:rPr>
      </w:pPr>
      <w:r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同《史记》有着异曲同工的小小缺憾，与人物生平事迹有关的著作都不可避免地带有作者的主观情感，纵使名为“苏东坡传”，但其中引用的</w:t>
      </w:r>
      <w:r w:rsidR="00357B58" w:rsidRPr="003F527D">
        <w:rPr>
          <w:rFonts w:ascii="仿宋" w:eastAsia="仿宋" w:hAnsi="仿宋" w:cs="Helvetica" w:hint="eastAsia"/>
          <w:color w:val="333333"/>
          <w:sz w:val="32"/>
          <w:szCs w:val="32"/>
          <w:shd w:val="clear" w:color="auto" w:fill="FFFFFF"/>
        </w:rPr>
        <w:t>史实典故也并非件件属实，作者对苏轼的解读也是千百个角度中的一种。不可否认苏轼的人品与才华为中华数千年之难得，林语堂先生也不应带着偏见刻画其他人物来衬托他心目中的苏子瞻。</w:t>
      </w:r>
    </w:p>
    <w:p w14:paraId="0B5F630A" w14:textId="77777777" w:rsidR="00362B7D" w:rsidRDefault="00362B7D"/>
    <w:sectPr w:rsidR="00362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8D309" w14:textId="77777777" w:rsidR="00A92A90" w:rsidRDefault="00A92A90" w:rsidP="00332D45">
      <w:r>
        <w:separator/>
      </w:r>
    </w:p>
  </w:endnote>
  <w:endnote w:type="continuationSeparator" w:id="0">
    <w:p w14:paraId="2CD134C1" w14:textId="77777777" w:rsidR="00A92A90" w:rsidRDefault="00A92A90" w:rsidP="0033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30E6" w14:textId="77777777" w:rsidR="00A92A90" w:rsidRDefault="00A92A90" w:rsidP="00332D45">
      <w:r>
        <w:separator/>
      </w:r>
    </w:p>
  </w:footnote>
  <w:footnote w:type="continuationSeparator" w:id="0">
    <w:p w14:paraId="3EE28A95" w14:textId="77777777" w:rsidR="00A92A90" w:rsidRDefault="00A92A90" w:rsidP="00332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0D"/>
    <w:rsid w:val="000170C3"/>
    <w:rsid w:val="002035ED"/>
    <w:rsid w:val="00332D45"/>
    <w:rsid w:val="00357B58"/>
    <w:rsid w:val="00362B7D"/>
    <w:rsid w:val="003A3287"/>
    <w:rsid w:val="003F527D"/>
    <w:rsid w:val="003F6877"/>
    <w:rsid w:val="004A6BDD"/>
    <w:rsid w:val="004D2B51"/>
    <w:rsid w:val="005E5561"/>
    <w:rsid w:val="005E62BE"/>
    <w:rsid w:val="007564CD"/>
    <w:rsid w:val="008F7010"/>
    <w:rsid w:val="00A67E75"/>
    <w:rsid w:val="00A92A90"/>
    <w:rsid w:val="00C75B0D"/>
    <w:rsid w:val="00C968E9"/>
    <w:rsid w:val="00CA5297"/>
    <w:rsid w:val="00CB1823"/>
    <w:rsid w:val="00F7637C"/>
    <w:rsid w:val="00F9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3626C"/>
  <w15:chartTrackingRefBased/>
  <w15:docId w15:val="{4F57CBFF-6B69-4FC2-B549-D5FF3496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D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D4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62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C%97%E5%AE%8B/39606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芯懿</dc:creator>
  <cp:keywords/>
  <dc:description/>
  <cp:lastModifiedBy>温 芯懿</cp:lastModifiedBy>
  <cp:revision>3</cp:revision>
  <dcterms:created xsi:type="dcterms:W3CDTF">2022-02-03T03:09:00Z</dcterms:created>
  <dcterms:modified xsi:type="dcterms:W3CDTF">2022-02-04T02:00:00Z</dcterms:modified>
</cp:coreProperties>
</file>