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pPr>
      <w:r>
        <w:rPr/>
        <w:tab/>
      </w:r>
      <w:r>
        <w:rPr>
          <w:b/>
          <w:bCs/>
          <w:sz w:val="20"/>
          <w:szCs w:val="20"/>
        </w:rPr>
        <w:t>ANÁLISIS DEL DATASET INSURANCE</w:t>
      </w:r>
    </w:p>
    <w:p>
      <w:pPr>
        <w:pStyle w:val="LOnormal"/>
        <w:jc w:val="both"/>
        <w:rPr>
          <w:sz w:val="14"/>
          <w:szCs w:val="14"/>
        </w:rPr>
      </w:pPr>
      <w:r>
        <w:rPr>
          <w:sz w:val="14"/>
          <w:szCs w:val="14"/>
        </w:rPr>
      </w:r>
    </w:p>
    <w:p>
      <w:pPr>
        <w:pStyle w:val="LOnormal"/>
        <w:jc w:val="both"/>
        <w:rPr>
          <w:sz w:val="18"/>
          <w:szCs w:val="18"/>
        </w:rPr>
      </w:pPr>
      <w:r>
        <w:rPr>
          <w:sz w:val="18"/>
          <w:szCs w:val="18"/>
        </w:rPr>
        <w:t xml:space="preserve">En esta oportunidad se analiza el dataset de cargos de seguro médico en EEUU, dominio público [1]. El dataset cuenta con un total de 1338 datos y 7 variables, de las cuales 4 son categóricas: sex, smoker, children y region. La variable charges es la dependiente y el resto son las independientes, por lo tanto, se podrían graficar todas las variables en función de </w:t>
      </w:r>
      <w:r>
        <w:rPr>
          <w:color w:val="000000"/>
          <w:sz w:val="18"/>
          <w:szCs w:val="18"/>
        </w:rPr>
        <w:t>charges. Por ejemplo, se podría graficar como varían los costos del seguro en función de la edad. Probablemente, exista una dependencia en el costo del seguro para personas de riesgo, como personas fumadoras o que se encuentren fuera de los parámetros estándar de BMI, por lo cual puede ser interesante incorporarlas al gráfico en distintos colores o formas de los puntos.</w:t>
      </w:r>
    </w:p>
    <w:p>
      <w:pPr>
        <w:pStyle w:val="LOnormal"/>
        <w:jc w:val="both"/>
        <w:rPr>
          <w:color w:val="000000"/>
        </w:rPr>
      </w:pPr>
      <w:r>
        <w:rPr>
          <w:sz w:val="14"/>
          <w:szCs w:val="14"/>
        </w:rPr>
      </w:r>
    </w:p>
    <w:p>
      <w:pPr>
        <w:pStyle w:val="LOnormal"/>
        <w:ind w:left="0" w:hanging="0"/>
        <w:jc w:val="both"/>
        <w:rPr>
          <w:sz w:val="18"/>
          <w:szCs w:val="18"/>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28657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865755"/>
                    </a:xfrm>
                    <a:prstGeom prst="rect">
                      <a:avLst/>
                    </a:prstGeom>
                  </pic:spPr>
                </pic:pic>
              </a:graphicData>
            </a:graphic>
          </wp:anchor>
        </w:drawing>
      </w:r>
      <w:r>
        <w:rPr>
          <w:color w:val="000000"/>
          <w:sz w:val="18"/>
          <w:szCs w:val="18"/>
        </w:rPr>
        <w:t>E</w:t>
      </w:r>
      <w:r>
        <w:rPr>
          <w:sz w:val="18"/>
          <w:szCs w:val="18"/>
        </w:rPr>
        <w:t xml:space="preserve">n la gráfica </w:t>
      </w:r>
      <w:r>
        <w:rPr>
          <w:sz w:val="18"/>
          <w:szCs w:val="18"/>
        </w:rPr>
        <w:t xml:space="preserve">superior </w:t>
      </w:r>
      <w:r>
        <w:rPr>
          <w:sz w:val="18"/>
          <w:szCs w:val="18"/>
        </w:rPr>
        <w:t xml:space="preserve">se observa que el costo del seguro aumenta con la edad. Incluso se logran apreciar tres agrupaciones de puntos distintos, asociadas a otras variables. Debido a esto se decide incorporar en el siguiente gráfico </w:t>
      </w:r>
      <w:r>
        <w:rPr>
          <w:sz w:val="18"/>
          <w:szCs w:val="18"/>
        </w:rPr>
        <w:t xml:space="preserve">otras variables en </w:t>
      </w:r>
      <w:r>
        <w:rPr>
          <w:rFonts w:eastAsia="Arial" w:cs="Arial"/>
          <w:color w:val="auto"/>
          <w:kern w:val="0"/>
          <w:sz w:val="18"/>
          <w:szCs w:val="18"/>
          <w:lang w:val="es-ES" w:eastAsia="zh-CN" w:bidi="hi-IN"/>
        </w:rPr>
        <w:t>otra dimensión, color</w:t>
      </w:r>
      <w:r>
        <w:rPr>
          <w:sz w:val="18"/>
          <w:szCs w:val="18"/>
        </w:rPr>
        <w:t>.</w:t>
      </w:r>
    </w:p>
    <w:p>
      <w:pPr>
        <w:pStyle w:val="LOnormal"/>
        <w:ind w:left="0" w:hanging="0"/>
        <w:jc w:val="both"/>
        <w:rPr>
          <w:sz w:val="14"/>
          <w:szCs w:val="14"/>
        </w:rPr>
      </w:pPr>
      <w:r>
        <w:rPr>
          <w:sz w:val="14"/>
          <w:szCs w:val="14"/>
        </w:rPr>
      </w:r>
    </w:p>
    <w:p>
      <w:pPr>
        <w:pStyle w:val="LOnormal"/>
        <w:ind w:left="0" w:hanging="0"/>
        <w:jc w:val="both"/>
        <w:rPr>
          <w:sz w:val="18"/>
          <w:szCs w:val="1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28657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2865755"/>
                    </a:xfrm>
                    <a:prstGeom prst="rect">
                      <a:avLst/>
                    </a:prstGeom>
                  </pic:spPr>
                </pic:pic>
              </a:graphicData>
            </a:graphic>
          </wp:anchor>
        </w:drawing>
      </w:r>
      <w:r>
        <w:rPr>
          <w:sz w:val="18"/>
          <w:szCs w:val="18"/>
        </w:rPr>
        <w:t xml:space="preserve">En </w:t>
      </w:r>
      <w:r>
        <w:rPr>
          <w:sz w:val="18"/>
          <w:szCs w:val="18"/>
        </w:rPr>
        <w:t>est</w:t>
      </w:r>
      <w:r>
        <w:rPr>
          <w:sz w:val="18"/>
          <w:szCs w:val="18"/>
        </w:rPr>
        <w:t xml:space="preserve">a figura se puede apreciar cómo se distribuyen principalmente las personas en grupos de riesgo como tabaquismo y BMI altos hacia seguros de mayor costo. Los fumadores se aprecian </w:t>
      </w:r>
      <w:r>
        <w:rPr>
          <w:sz w:val="18"/>
          <w:szCs w:val="18"/>
        </w:rPr>
        <w:t>principalmente</w:t>
      </w:r>
      <w:r>
        <w:rPr>
          <w:sz w:val="18"/>
          <w:szCs w:val="18"/>
        </w:rPr>
        <w:t xml:space="preserve"> en </w:t>
      </w:r>
      <w:r>
        <w:rPr>
          <w:sz w:val="18"/>
          <w:szCs w:val="18"/>
        </w:rPr>
        <w:t>el</w:t>
      </w:r>
      <w:r>
        <w:rPr>
          <w:sz w:val="18"/>
          <w:szCs w:val="18"/>
        </w:rPr>
        <w:t xml:space="preserve"> grupo del medio y </w:t>
      </w:r>
      <w:r>
        <w:rPr>
          <w:sz w:val="18"/>
          <w:szCs w:val="18"/>
        </w:rPr>
        <w:t>en el</w:t>
      </w:r>
      <w:r>
        <w:rPr>
          <w:sz w:val="18"/>
          <w:szCs w:val="18"/>
        </w:rPr>
        <w:t xml:space="preserve"> </w:t>
      </w:r>
      <w:r>
        <w:rPr>
          <w:sz w:val="18"/>
          <w:szCs w:val="18"/>
        </w:rPr>
        <w:t xml:space="preserve">superior </w:t>
      </w:r>
      <w:r>
        <w:rPr>
          <w:sz w:val="18"/>
          <w:szCs w:val="18"/>
        </w:rPr>
        <w:t xml:space="preserve">los </w:t>
      </w:r>
      <w:r>
        <w:rPr>
          <w:sz w:val="18"/>
          <w:szCs w:val="18"/>
        </w:rPr>
        <w:t>fumadores con</w:t>
      </w:r>
      <w:r>
        <w:rPr>
          <w:sz w:val="18"/>
          <w:szCs w:val="18"/>
        </w:rPr>
        <w:t xml:space="preserve"> valores </w:t>
      </w:r>
      <w:r>
        <w:rPr>
          <w:sz w:val="18"/>
          <w:szCs w:val="18"/>
        </w:rPr>
        <w:t>de BMI elevados</w:t>
      </w:r>
      <w:r>
        <w:rPr>
          <w:sz w:val="18"/>
          <w:szCs w:val="18"/>
        </w:rPr>
        <w:t xml:space="preserve">, </w:t>
      </w:r>
      <w:r>
        <w:rPr>
          <w:sz w:val="18"/>
          <w:szCs w:val="18"/>
        </w:rPr>
        <w:t>que sufren obesidad,</w:t>
      </w:r>
      <w:r>
        <w:rPr>
          <w:sz w:val="18"/>
          <w:szCs w:val="18"/>
        </w:rPr>
        <w:t xml:space="preserve"> </w:t>
      </w:r>
      <w:r>
        <w:rPr>
          <w:sz w:val="18"/>
          <w:szCs w:val="18"/>
        </w:rPr>
        <w:t>as</w:t>
      </w:r>
      <w:r>
        <w:rPr>
          <w:rFonts w:eastAsia="Arial" w:cs="Arial"/>
          <w:color w:val="auto"/>
          <w:kern w:val="0"/>
          <w:sz w:val="18"/>
          <w:szCs w:val="18"/>
          <w:lang w:val="es-ES" w:eastAsia="zh-CN" w:bidi="hi-IN"/>
        </w:rPr>
        <w:t>í como en el inferior estos últimos junto a los presuntos sanos.</w:t>
      </w:r>
    </w:p>
    <w:p>
      <w:pPr>
        <w:pStyle w:val="LOnormal"/>
        <w:ind w:left="0" w:hanging="0"/>
        <w:jc w:val="both"/>
        <w:rPr>
          <w:sz w:val="14"/>
          <w:szCs w:val="14"/>
        </w:rPr>
      </w:pPr>
      <w:r>
        <w:rPr>
          <w:sz w:val="14"/>
          <w:szCs w:val="14"/>
        </w:rPr>
      </w:r>
    </w:p>
    <w:p>
      <w:pPr>
        <w:pStyle w:val="LOnormal"/>
        <w:ind w:left="0" w:hanging="0"/>
        <w:jc w:val="both"/>
        <w:rPr>
          <w:sz w:val="18"/>
          <w:szCs w:val="18"/>
        </w:rPr>
      </w:pPr>
      <w:r>
        <w:rPr>
          <w:b/>
          <w:bCs/>
          <w:sz w:val="18"/>
          <w:szCs w:val="18"/>
        </w:rPr>
        <w:t>REFERENCIAS</w:t>
      </w:r>
    </w:p>
    <w:p>
      <w:pPr>
        <w:pStyle w:val="LOnormal"/>
        <w:numPr>
          <w:ilvl w:val="0"/>
          <w:numId w:val="1"/>
        </w:numPr>
        <w:rPr/>
      </w:pPr>
      <w:r>
        <w:rPr>
          <w:sz w:val="18"/>
          <w:szCs w:val="18"/>
        </w:rPr>
        <w:t>US Health Insurance Dataset, https://www.kaggle.com/datasets/teertha/ushealthinsurancedataset</w:t>
      </w:r>
    </w:p>
    <w:sectPr>
      <w:footerReference w:type="default" r:id="rId4"/>
      <w:type w:val="nextPage"/>
      <w:pgSz w:w="11906" w:h="16838"/>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sz w:val="18"/>
        <w:szCs w:val="18"/>
      </w:rPr>
    </w:lvl>
    <w:lvl w:ilvl="1">
      <w:start w:val="1"/>
      <w:numFmt w:val="decimal"/>
      <w:lvlText w:val="%2."/>
      <w:lvlJc w:val="left"/>
      <w:pPr>
        <w:tabs>
          <w:tab w:val="num" w:pos="1080"/>
        </w:tabs>
        <w:ind w:left="1080" w:hanging="360"/>
      </w:pPr>
      <w:rPr>
        <w:sz w:val="20"/>
        <w:szCs w:val="20"/>
      </w:rPr>
    </w:lvl>
    <w:lvl w:ilvl="2">
      <w:start w:val="1"/>
      <w:numFmt w:val="decimal"/>
      <w:lvlText w:val="%3."/>
      <w:lvlJc w:val="left"/>
      <w:pPr>
        <w:tabs>
          <w:tab w:val="num" w:pos="1440"/>
        </w:tabs>
        <w:ind w:left="1440" w:hanging="360"/>
      </w:pPr>
      <w:rPr>
        <w:sz w:val="20"/>
        <w:szCs w:val="20"/>
      </w:rPr>
    </w:lvl>
    <w:lvl w:ilvl="3">
      <w:start w:val="1"/>
      <w:numFmt w:val="decimal"/>
      <w:lvlText w:val="%4."/>
      <w:lvlJc w:val="left"/>
      <w:pPr>
        <w:tabs>
          <w:tab w:val="num" w:pos="1800"/>
        </w:tabs>
        <w:ind w:left="1800" w:hanging="360"/>
      </w:pPr>
      <w:rPr>
        <w:sz w:val="20"/>
        <w:szCs w:val="20"/>
      </w:rPr>
    </w:lvl>
    <w:lvl w:ilvl="4">
      <w:start w:val="1"/>
      <w:numFmt w:val="decimal"/>
      <w:lvlText w:val="%5."/>
      <w:lvlJc w:val="left"/>
      <w:pPr>
        <w:tabs>
          <w:tab w:val="num" w:pos="2160"/>
        </w:tabs>
        <w:ind w:left="2160" w:hanging="360"/>
      </w:pPr>
      <w:rPr>
        <w:sz w:val="20"/>
        <w:szCs w:val="20"/>
      </w:rPr>
    </w:lvl>
    <w:lvl w:ilvl="5">
      <w:start w:val="1"/>
      <w:numFmt w:val="decimal"/>
      <w:lvlText w:val="%6."/>
      <w:lvlJc w:val="left"/>
      <w:pPr>
        <w:tabs>
          <w:tab w:val="num" w:pos="2520"/>
        </w:tabs>
        <w:ind w:left="2520" w:hanging="360"/>
      </w:pPr>
      <w:rPr>
        <w:sz w:val="20"/>
        <w:szCs w:val="20"/>
      </w:rPr>
    </w:lvl>
    <w:lvl w:ilvl="6">
      <w:start w:val="1"/>
      <w:numFmt w:val="decimal"/>
      <w:lvlText w:val="%7."/>
      <w:lvlJc w:val="left"/>
      <w:pPr>
        <w:tabs>
          <w:tab w:val="num" w:pos="2880"/>
        </w:tabs>
        <w:ind w:left="2880" w:hanging="360"/>
      </w:pPr>
      <w:rPr>
        <w:sz w:val="20"/>
        <w:szCs w:val="20"/>
      </w:rPr>
    </w:lvl>
    <w:lvl w:ilvl="7">
      <w:start w:val="1"/>
      <w:numFmt w:val="decimal"/>
      <w:lvlText w:val="%8."/>
      <w:lvlJc w:val="left"/>
      <w:pPr>
        <w:tabs>
          <w:tab w:val="num" w:pos="3240"/>
        </w:tabs>
        <w:ind w:left="3240" w:hanging="360"/>
      </w:pPr>
      <w:rPr>
        <w:sz w:val="20"/>
        <w:szCs w:val="20"/>
      </w:rPr>
    </w:lvl>
    <w:lvl w:ilvl="8">
      <w:start w:val="1"/>
      <w:numFmt w:val="decimal"/>
      <w:lvlText w:val="%9."/>
      <w:lvlJc w:val="left"/>
      <w:pPr>
        <w:tabs>
          <w:tab w:val="num" w:pos="3600"/>
        </w:tabs>
        <w:ind w:left="3600" w:hanging="360"/>
      </w:pPr>
      <w:rPr>
        <w:sz w:val="20"/>
        <w:szCs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NumberingSymbols">
    <w:name w:val="Numbering Symbols"/>
    <w:qFormat/>
    <w:rPr>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1</Pages>
  <Words>242</Words>
  <Characters>1281</Characters>
  <CharactersWithSpaces>1517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2023-03-20T00:45:55Z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