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ANÁLISIS EXPLORATORIO DE DATOS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 este trabajo usamos diferentes datasets que contienen los precios históricos de diferentes activos por cada un (1) día, pero enfocándonos principalmente en el Bitcoin (BTC).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Trabajamos con varios datasets: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BTC-USD (Yahoo Finance)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Petróleo BRENT (Yahoo Finance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, EIA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Petróleo WTI (Yahoo Finance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, EIA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ORO (Yahoo Finance)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Precio bolsa NASDAQ </w:t>
      </w:r>
      <w:r w:rsidDel="00000000" w:rsidR="00000000" w:rsidRPr="00000000">
        <w:rPr>
          <w:rtl w:val="0"/>
        </w:rPr>
        <w:t xml:space="preserve">(Yahoo Finance)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Precio índice S&amp;P 500 </w:t>
      </w:r>
      <w:r w:rsidDel="00000000" w:rsidR="00000000" w:rsidRPr="00000000">
        <w:rPr>
          <w:rtl w:val="0"/>
        </w:rPr>
        <w:t xml:space="preserve">(Yahoo Finance)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También trabajamos</w:t>
      </w:r>
      <w:r w:rsidDel="00000000" w:rsidR="00000000" w:rsidRPr="00000000">
        <w:rPr>
          <w:rtl w:val="0"/>
        </w:rPr>
        <w:t xml:space="preserve">OPEN_BTC​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con algunas variables macroeconómicas de EEUU: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Tasa referencia de la FED [OK] (Federal Reserve)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PBI (GDP) [OK] (Federal Reserve)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% desempleo [OK] (Federal Reserve)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Unimos los datasets en uno solo donde nos quedamos con estas variables: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65"/>
        <w:gridCol w:w="1755"/>
        <w:gridCol w:w="1695"/>
        <w:gridCol w:w="1725"/>
        <w:gridCol w:w="1890"/>
        <w:gridCol w:w="2190"/>
        <w:tblGridChange w:id="0">
          <w:tblGrid>
            <w:gridCol w:w="765"/>
            <w:gridCol w:w="1755"/>
            <w:gridCol w:w="1695"/>
            <w:gridCol w:w="1725"/>
            <w:gridCol w:w="1890"/>
            <w:gridCol w:w="2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OPEN_ORO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HIGH_ORO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LOW_ORO​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CLOSE_ORO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VOLUME_ORO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OPEN_BRENT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HIGH_BRENT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LOW_BRENT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CLOSE_BRENT​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VOLUME_BRENT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OPEN_WTI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HIGH_WTI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LOW_WTI​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CLOSE_WTI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VOLUME_WTI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OPEN_SP500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HIGH_SP500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LOW_SP500​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CLOSE_SP500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VOLUME_SP500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85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530"/>
        <w:tblGridChange w:id="0">
          <w:tblGrid>
            <w:gridCol w:w="145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2190</w:t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Excepto la variable “date” que tiene valores de tipo datetime.date, las demás variables son todas de tipo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, ósea, contienen valores numéricos decimales. 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En el dataset final nos quedaron 31 variables y 2190 datos que van desde el año 2014 hasta el año 2023 inclusive.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Podemos ver que en las variables se repite el patrón con cada activo financiero, lo que significan las variables son: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Open: el precio que tuvo tal activo financiero al principio del día.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High: el precio más alto que tuvo tal activo financiero durante todo el día.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Low: el precio más bajo que tuvo tal activo financiero durante todo el día.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Close: el precio que tuvo tal activo financiero al final del día.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Volumen: es la cantidad de operaciones o transacciones realizadas durante el día.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nuestras variables: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b w:val="1"/>
          <w:u w:val="single"/>
          <w:rtl w:val="0"/>
        </w:rPr>
        <w:t xml:space="preserve">BITCOIN (btc)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 una criptomoneda descentralizada y digital que permite realizar transacciones en línea sin intermediarios como bancos y anonimas. ¿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Qué es una criptomoneda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Son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formas de dinero digital que utilizan criptografía (datos cifrados) para garantizar la seguridad de las transacciones. Operan en redes descentralizadas y son utilizadas como medio de intercambio, almacenamiento de valor e inversiones.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Petróleo BRENT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un tipo de petróleo crudo de alta calidad que se extrae del mar del norte y es considerado uno de los principales puntos de referencia en el comercio de petróleo.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Petróleo WTI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un tipo de petróleo crudo de alta calidad que se extrae en los Estados Unidos.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Ambas tipos son utilizados como referencia para fijar precios en los mercados internacionales de petróleo y los siguen de cerca inversores y operadores de energía en todo el mundo.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Oro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un metal precioso utilizado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 joyería 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como una forma de acumular riqueza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Bolsa NASDAQ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la principal bolsa de valores de Estados Unidos, enfocada en acciones de empresas tecnológicas y de crecimiento. Conocida por su alta liquidez y por albergar empresas innovadoras.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Índice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SP500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Valor de referencia que mide el desempeño del mercado de valores de Estados Unidos. Compuesto por las 500 mayores empresas, refleja las fluctuaciones en el precio de las acciones.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u w:val="single"/>
          <w:rtl w:val="0"/>
        </w:rPr>
        <w:t xml:space="preserve">Tasa referencia de la FED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Tipo de interés al que los bancos prestan dinero entre sí. Establecida por la Reserva Federal de Estados Unidos, guía las tasas de interés para préstamos y créditos.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u w:val="single"/>
          <w:rtl w:val="0"/>
        </w:rPr>
        <w:t xml:space="preserve">PBI, Producto Bruto Interno (o GDP en inglés)</w:t>
      </w: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Medida del valor total de bienes y servicios producidos en un país durante un período determinado. Es un indicador que se utiliza para evaluar la salud y tamaño de una economía.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Tasa de desempleo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el porcentaje de personas que se encuentran desempleadas y buscando trabajo, se mide respecto a la fuerza laboral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 de este trabajo es analizar estos siguientes aspectos con respecto al bitcoin: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 hubo incremento en el uso de BTC a lo largo del tiempo (precio vs volumen).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 el BTC se puede considerar un activo de respaldo, como es el oro, o de especulación financiera (volatilidad de precio).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Cómo afectan los precios de distintos activos financieros al precio del BTC.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Cómo afectan las variables macroeconómicas de la principal economía del mundo (EEUU) al precio del BTC.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