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ixo35tmv24i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¿Cómo afectan los precios de distintos activos financieros al precio del BTC?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ver si el BTC es considerado como reserva de valor comparamos su volatilidad con la de los activos SP500, NASDAQ, Oro, WTI y Brent. La volatilidad se toma como la diferencia entre el precio mayor vs el menor/ close * (100):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Mediana(Diferencia [High - Low] / close) 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695.431216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7.247238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NASDAQ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1.976673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11.244944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Petróleo WTI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2.057372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Petróleo Brent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1.976673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bien la mediana de la Diferencia entre el precio en alta y en baja es muy grande con respecto a los demás activos, no demuestra la volatilidad real que sería dividiéndola por el precio de cierre en ese dia que sigue siendo mayor pero no tanto comparado al petróleo.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 queremos ver si existe una tendencia entre estos activos mediante una  matriz de correlación. Podemos 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tendencia de movimiento similar entre el NASDAQ, S&amp;P 500, Oro y BTC. Sin embargo, es importante tener en cuenta que la correlación no implica causalidad, es decir, significa que un aumento en el NASDAQ o el S&amp;P 500 cause directamente un aumento en el precio del BTC.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 veremos cuanto peso tienen los activos con respecto al BTC.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