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color w:val="1155cc"/>
          <w:sz w:val="32"/>
          <w:szCs w:val="32"/>
          <w:rtl w:val="0"/>
        </w:rPr>
        <w:t xml:space="preserve">Introdução e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Este trabalho integra uma iniciação científica no IDOR cujo tema é </w:t>
      </w:r>
      <w:r w:rsidDel="00000000" w:rsidR="00000000" w:rsidRPr="00000000">
        <w:rPr>
          <w:i w:val="1"/>
          <w:iCs w:val="1"/>
          <w:rtl w:val="0"/>
        </w:rPr>
        <w:t xml:space="preserve">encoding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decoding</w:t>
      </w:r>
      <w:r w:rsidDel="00000000" w:rsidR="00000000" w:rsidRPr="00000000">
        <w:rPr>
          <w:rtl w:val="0"/>
        </w:rPr>
        <w:t xml:space="preserve"> de fMRI, isto é, inferir a partir da atividade cerebral qual estímulo visual o indivíduo está percebendo. Equipamentos de 7 Teslas (7T) constituem o padrão ouro da área por oferecerem melhor relação sinal-ruído (SNR), mas a custos elevados; o IDOR opera com máquinas de 3 Teslas (3T). Surgiu, portanto, a demanda de </w:t>
      </w:r>
      <w:r w:rsidDel="00000000" w:rsidR="00000000" w:rsidRPr="00000000">
        <w:rPr>
          <w:b w:val="1"/>
          <w:bCs w:val="1"/>
          <w:rtl w:val="0"/>
        </w:rPr>
        <w:t xml:space="preserve">quantificar numericamente a discrepância de desempenho entre 3T e 7T</w:t>
      </w:r>
      <w:r w:rsidDel="00000000" w:rsidR="00000000" w:rsidRPr="00000000">
        <w:rPr>
          <w:rtl w:val="0"/>
        </w:rPr>
        <w:t xml:space="preserve"> em duas tarefas: classificação e reconstrução de imagem. Como objetivo adicional, investigou-se o uso de </w:t>
      </w:r>
      <w:r w:rsidDel="00000000" w:rsidR="00000000" w:rsidRPr="00000000">
        <w:rPr>
          <w:i w:val="1"/>
          <w:iCs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 para mitigar essa diferença.</w:t>
      </w:r>
    </w:p>
    <w:p w:rsidR="00000000" w:rsidDel="00000000" w:rsidP="00000000" w:rsidRDefault="00000000" w:rsidRPr="00000000" w14:paraId="00000003">
      <w:pPr>
        <w:jc w:val="center"/>
        <w:rPr>
          <w:color w:val="1155cc"/>
          <w:sz w:val="32"/>
          <w:szCs w:val="32"/>
        </w:rPr>
      </w:pPr>
      <w:r w:rsidDel="00000000" w:rsidR="00000000" w:rsidRPr="00000000">
        <w:rPr>
          <w:color w:val="1155cc"/>
          <w:sz w:val="32"/>
          <w:szCs w:val="32"/>
          <w:rtl w:val="0"/>
        </w:rPr>
        <w:t xml:space="preserve">Desenvolvimento</w:t>
      </w:r>
    </w:p>
    <w:p w:rsidR="00000000" w:rsidDel="00000000" w:rsidP="00000000" w:rsidRDefault="00000000" w:rsidRPr="00000000" w14:paraId="0000000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Seguindo orientação do Prof. Ganacim, adotou-se uma estratégia incremental: construir um classificador robusto para o dataset de maior qualidade antes de avançar para o de menor qualidade e, só então, abordar a reconstrução. O trabalho cobre, portanto, a </w:t>
      </w:r>
      <w:r w:rsidDel="00000000" w:rsidR="00000000" w:rsidRPr="00000000">
        <w:rPr>
          <w:b w:val="1"/>
          <w:bCs w:val="1"/>
          <w:rtl w:val="0"/>
        </w:rPr>
        <w:t xml:space="preserve">classificação a partir do NSD</w:t>
      </w:r>
      <w:r w:rsidDel="00000000" w:rsidR="00000000" w:rsidRPr="00000000">
        <w:rPr>
          <w:rtl w:val="0"/>
        </w:rPr>
        <w:t xml:space="preserve"> (7T) </w:t>
      </w:r>
      <w:r w:rsidDel="00000000" w:rsidR="00000000" w:rsidRPr="00000000">
        <w:rPr>
          <w:b w:val="1"/>
          <w:bCs w:val="1"/>
          <w:rtl w:val="0"/>
        </w:rPr>
        <w:t xml:space="preserve">e do BOLD5000</w:t>
      </w:r>
      <w:r w:rsidDel="00000000" w:rsidR="00000000" w:rsidRPr="00000000">
        <w:rPr>
          <w:rtl w:val="0"/>
        </w:rPr>
        <w:t xml:space="preserve"> (3T), além de uma exploração inicial de </w:t>
      </w:r>
      <w:r w:rsidDel="00000000" w:rsidR="00000000" w:rsidRPr="00000000">
        <w:rPr>
          <w:i w:val="1"/>
          <w:iCs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principal desafio do trabalho foi o </w:t>
      </w:r>
      <w:r w:rsidDel="00000000" w:rsidR="00000000" w:rsidRPr="00000000">
        <w:rPr>
          <w:b w:val="1"/>
          <w:bCs w:val="1"/>
          <w:rtl w:val="0"/>
        </w:rPr>
        <w:t xml:space="preserve">Processamento de dados,</w:t>
      </w:r>
      <w:r w:rsidDel="00000000" w:rsidR="00000000" w:rsidRPr="00000000">
        <w:rPr>
          <w:rtl w:val="0"/>
        </w:rPr>
        <w:t xml:space="preserve"> pois os problemas só emergiam após longos ciclos de teste, sendo os principais: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Vanishing gradient:</w:t>
      </w:r>
      <w:r w:rsidDel="00000000" w:rsidR="00000000" w:rsidRPr="00000000">
        <w:rPr>
          <w:rtl w:val="0"/>
        </w:rPr>
        <w:t xml:space="preserve"> voxels com valor </w:t>
      </w:r>
      <w:r w:rsidDel="00000000" w:rsidR="00000000" w:rsidRPr="00000000">
        <w:rPr>
          <w:rtl w:val="0"/>
        </w:rPr>
        <w:t xml:space="preserve">NaN</w:t>
      </w:r>
      <w:r w:rsidDel="00000000" w:rsidR="00000000" w:rsidRPr="00000000">
        <w:rPr>
          <w:rtl w:val="0"/>
        </w:rPr>
        <w:t xml:space="preserve"> propagavam gradientes nulos. Solução: substituição por zero e z-score voxel a voxel por sessão.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Loss Flat (off-by-one):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matriz de design experimental usa indexação 1-based, enquanto o dicionário nsdId → cocoId é 0-based. A ausência de correção mapeava cada trial para a imagem errada sem gerar erro de execução, resultando em perda próxima ao acaso.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Classificação inadequada:</w:t>
      </w:r>
      <w:r w:rsidDel="00000000" w:rsidR="00000000" w:rsidRPr="00000000">
        <w:rPr>
          <w:rtl w:val="0"/>
        </w:rPr>
        <w:t xml:space="preserve"> o critério original rotulava qualquer imagem com presença mínima de pessoa como "Pessoa". Como as imagens provêm do COCO (com anotações de segmentação), foi adicionado um </w:t>
      </w:r>
      <w:r w:rsidDel="00000000" w:rsidR="00000000" w:rsidRPr="00000000">
        <w:rPr>
          <w:i w:val="1"/>
          <w:iCs w:val="1"/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 de área mínima, 5% para "Pessoa" e 2% para "Animal" escolhidos após verificação, e a classe "Outro" foi restrita a supercategorias semanticamente coerentes (veículos, mobiliário e elementos externos “outdoors”).</w:t>
      </w:r>
    </w:p>
    <w:p w:rsidR="00000000" w:rsidDel="00000000" w:rsidP="00000000" w:rsidRDefault="00000000" w:rsidRPr="00000000" w14:paraId="00000009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Duas modificações no pipeline do NSD, embora introduzidas com outro propósito, demonstraram efeito positivo: aplicação da </w:t>
      </w:r>
      <w:r w:rsidDel="00000000" w:rsidR="00000000" w:rsidRPr="00000000">
        <w:rPr>
          <w:b w:val="1"/>
          <w:bCs w:val="1"/>
          <w:rtl w:val="0"/>
        </w:rPr>
        <w:t xml:space="preserve">máscara ROI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nsdgeneral”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média dos betas </w:t>
      </w:r>
      <w:r w:rsidDel="00000000" w:rsidR="00000000" w:rsidRPr="00000000">
        <w:rPr>
          <w:rtl w:val="0"/>
        </w:rPr>
        <w:t xml:space="preserve"> entre as três repetições de cada imagem, isto é, utilizar a média das ativações cerebrais por imagem visualizada.</w:t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Os dados assumem formatos distintos conforme o pipeline: tensor </w:t>
      </w:r>
      <w:r w:rsidDel="00000000" w:rsidR="00000000" w:rsidRPr="00000000">
        <w:rPr>
          <w:rtl w:val="0"/>
        </w:rPr>
        <w:t xml:space="preserve">(C, 91, 109, 91)</w:t>
      </w:r>
      <w:r w:rsidDel="00000000" w:rsidR="00000000" w:rsidRPr="00000000">
        <w:rPr>
          <w:rtl w:val="0"/>
        </w:rPr>
        <w:t xml:space="preserve"> para NSD volumétrico/padrão e BOLD5000, e vetor 1D de ~15 k elementos para NSD com máscara. Isso motiva arquiteturas diferentes: CNN3D para os dados volumétricos (exploram vizinhança espacial) e MLP para os dados com máscara (sem estrutura espacial residual). Foram avaliados 8 modelos:</w:t>
      </w:r>
    </w:p>
    <w:tbl>
      <w:tblPr>
        <w:tblStyle w:val="Table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1980"/>
        <w:gridCol w:w="4650"/>
        <w:tblGridChange w:id="0">
          <w:tblGrid>
            <w:gridCol w:w="2520"/>
            <w:gridCol w:w="1980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Arquitetura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NSD-ROI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rasa (2 camadas), padrão (3), profunda 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CNN 3D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NSD-vol e BOLD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rasa (2 camadas), padrão (3), profunda 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ResNet (pré-treinada)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NSD-vol e BOLD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Resnet10 e Resnet18</w:t>
            </w:r>
          </w:p>
        </w:tc>
      </w:tr>
    </w:tbl>
    <w:p w:rsidR="00000000" w:rsidDel="00000000" w:rsidP="00000000" w:rsidRDefault="00000000" w:rsidRPr="00000000" w14:paraId="00000017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Foram testados os otimizadores Adam e SGD, com e sem regularização. Para lidar com o forte desequilíbrio de classes (predominância de "Pessoa"), foram avaliadas </w:t>
      </w:r>
      <w:r w:rsidDel="00000000" w:rsidR="00000000" w:rsidRPr="00000000">
        <w:rPr>
          <w:i w:val="1"/>
          <w:iCs w:val="1"/>
          <w:rtl w:val="0"/>
        </w:rPr>
        <w:t xml:space="preserve">focal loss</w:t>
      </w:r>
      <w:r w:rsidDel="00000000" w:rsidR="00000000" w:rsidRPr="00000000">
        <w:rPr>
          <w:rtl w:val="0"/>
        </w:rPr>
        <w:t xml:space="preserve"> e pesos de classe. Para os NSD-ROI foram conduzidas 20 configurações e para os demais 25 (20 na CNN3D e 5 na ResNet) para busca de hiperparâmetros.</w:t>
        <w:br w:type="textWrapping"/>
        <w:tab/>
        <w:t xml:space="preserve">Próximo ao fim do trabalho, iniciou-se uma exploração de técnicas de </w:t>
      </w:r>
      <w:r w:rsidDel="00000000" w:rsidR="00000000" w:rsidRPr="00000000">
        <w:rPr>
          <w:i w:val="1"/>
          <w:iCs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, utilizando ruído gaussiano aditivo nos vetores de voxel. Por estar em estágio inicial, ainda não há conclusões, sendo planejada uma investigação mais aprofundada futuramente.</w:t>
      </w:r>
    </w:p>
    <w:p w:rsidR="00000000" w:rsidDel="00000000" w:rsidP="00000000" w:rsidRDefault="00000000" w:rsidRPr="00000000" w14:paraId="00000018">
      <w:pPr>
        <w:jc w:val="center"/>
        <w:rPr>
          <w:color w:val="1155cc"/>
          <w:sz w:val="32"/>
          <w:szCs w:val="32"/>
        </w:rPr>
      </w:pPr>
      <w:r w:rsidDel="00000000" w:rsidR="00000000" w:rsidRPr="00000000">
        <w:rPr>
          <w:color w:val="1155cc"/>
          <w:sz w:val="32"/>
          <w:szCs w:val="32"/>
          <w:rtl w:val="0"/>
        </w:rPr>
        <w:t xml:space="preserve">Resultados </w:t>
      </w:r>
    </w:p>
    <w:p w:rsidR="00000000" w:rsidDel="00000000" w:rsidP="00000000" w:rsidRDefault="00000000" w:rsidRPr="00000000" w14:paraId="00000019">
      <w:pPr>
        <w:jc w:val="center"/>
        <w:rPr>
          <w:color w:val="1155cc"/>
          <w:sz w:val="32"/>
          <w:szCs w:val="32"/>
        </w:rPr>
      </w:pPr>
      <w:r w:rsidDel="00000000" w:rsidR="00000000" w:rsidRPr="00000000">
        <w:rPr>
          <w:color w:val="1155cc"/>
          <w:sz w:val="32"/>
          <w:szCs w:val="32"/>
        </w:rPr>
        <w:drawing>
          <wp:inline distB="114300" distT="114300" distL="114300" distR="114300">
            <wp:extent cx="5734050" cy="25138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13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curva em laranja é o melhor modelo de NSD subdimensionado e em azul o do BOLD, via F1-score</w:t>
      </w:r>
    </w:p>
    <w:p w:rsidR="00000000" w:rsidDel="00000000" w:rsidP="00000000" w:rsidRDefault="00000000" w:rsidRPr="00000000" w14:paraId="0000001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Os resultados do NSD foram satisfatórios, principalmente ao utilizar a máscara e a média dos betas, onde o modelo quase alcançou acurácia e F1-score na casa de 0,9, onde, inclusive, muitos dos erros são facilmente explicáveis,  tornando o classificador ainda mais consistente e robusto. Por outro lado, os resultados do BOLD foram insatisfatórios. O modelo não conseguiu aprender nada de forma consistente, aproximando-se de um classificador aleatório. Mesmo reduzindo o volume de dados do NSD ao mesmo tamanho do BOLD, os resultados permaneceram muito destoantes.</w:t>
      </w:r>
    </w:p>
    <w:p w:rsidR="00000000" w:rsidDel="00000000" w:rsidP="00000000" w:rsidRDefault="00000000" w:rsidRPr="00000000" w14:paraId="0000001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Dois pontos merecem destaque: o uso de </w:t>
      </w:r>
      <w:r w:rsidDel="00000000" w:rsidR="00000000" w:rsidRPr="00000000">
        <w:rPr>
          <w:i w:val="1"/>
          <w:iCs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 com ruído gaussiano no ROI-AVG, ainda que em estágio inicial, não demonstrou melhora nem piora em relação ao baseline; e o modelo distinguiu a classe "Outro" tão bem quanto "Pessoa", ficando "Animal" levemente abaixo, o que sugere que o número de amostras por classe é um fator determinante, uma vez que animais era a classe minoritária.</w:t>
      </w:r>
    </w:p>
    <w:p w:rsidR="00000000" w:rsidDel="00000000" w:rsidP="00000000" w:rsidRDefault="00000000" w:rsidRPr="00000000" w14:paraId="0000001D">
      <w:pPr>
        <w:jc w:val="center"/>
        <w:rPr>
          <w:color w:val="1155cc"/>
          <w:sz w:val="32"/>
          <w:szCs w:val="32"/>
        </w:rPr>
      </w:pPr>
      <w:r w:rsidDel="00000000" w:rsidR="00000000" w:rsidRPr="00000000">
        <w:rPr>
          <w:color w:val="1155cc"/>
          <w:sz w:val="32"/>
          <w:szCs w:val="32"/>
          <w:rtl w:val="0"/>
        </w:rPr>
        <w:t xml:space="preserve">Conclusões</w:t>
      </w:r>
    </w:p>
    <w:p w:rsidR="00000000" w:rsidDel="00000000" w:rsidP="00000000" w:rsidRDefault="00000000" w:rsidRPr="00000000" w14:paraId="0000001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máquina de 3T não se mostrou competitiva em primeira instância para os fins avaliados. Além disso, a prática de utilizar a média dos betas entre múltiplas repetições da mesma imagem demonstrou impacto expressivo nos resultados, elevando as métricas de aproximadamente 0,84 para 0,89.</w:t>
      </w:r>
    </w:p>
    <w:p w:rsidR="00000000" w:rsidDel="00000000" w:rsidP="00000000" w:rsidRDefault="00000000" w:rsidRPr="00000000" w14:paraId="0000001F">
      <w:pPr>
        <w:jc w:val="center"/>
        <w:rPr>
          <w:color w:val="1155cc"/>
          <w:sz w:val="32"/>
          <w:szCs w:val="32"/>
        </w:rPr>
      </w:pPr>
      <w:r w:rsidDel="00000000" w:rsidR="00000000" w:rsidRPr="00000000">
        <w:rPr>
          <w:color w:val="1155cc"/>
          <w:sz w:val="32"/>
          <w:szCs w:val="32"/>
          <w:rtl w:val="0"/>
        </w:rPr>
        <w:t xml:space="preserve">Referências</w:t>
      </w:r>
    </w:p>
    <w:p w:rsidR="00000000" w:rsidDel="00000000" w:rsidP="00000000" w:rsidRDefault="00000000" w:rsidRPr="00000000" w14:paraId="00000020">
      <w:pPr>
        <w:rPr>
          <w:color w:val="1155cc"/>
          <w:sz w:val="32"/>
          <w:szCs w:val="32"/>
        </w:rPr>
      </w:pPr>
      <w:r w:rsidDel="00000000" w:rsidR="00000000" w:rsidRPr="00000000">
        <w:rPr>
          <w:rtl w:val="0"/>
        </w:rPr>
        <w:t xml:space="preserve">Repositório base: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https://github.com/harsharaman/bold5000_fmri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color w:val="1155cc"/>
          <w:sz w:val="32"/>
          <w:szCs w:val="32"/>
          <w:rtl w:val="0"/>
        </w:rPr>
        <w:t xml:space="preserve">Objetivos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A curto prazo, pretende-se aprofundar a exploração de técnicas de </w:t>
      </w:r>
      <w:r w:rsidDel="00000000" w:rsidR="00000000" w:rsidRPr="00000000">
        <w:rPr>
          <w:i w:val="1"/>
          <w:iCs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 particular: contraste, </w:t>
      </w:r>
      <w:r w:rsidDel="00000000" w:rsidR="00000000" w:rsidRPr="00000000">
        <w:rPr>
          <w:i w:val="1"/>
          <w:iCs w:val="1"/>
          <w:rtl w:val="0"/>
        </w:rPr>
        <w:t xml:space="preserve">multi-sample</w:t>
      </w:r>
      <w:r w:rsidDel="00000000" w:rsidR="00000000" w:rsidRPr="00000000">
        <w:rPr>
          <w:rtl w:val="0"/>
        </w:rPr>
        <w:t xml:space="preserve"> (combinação de sessões de diferentes sujeitos) e </w:t>
      </w:r>
      <w:r w:rsidDel="00000000" w:rsidR="00000000" w:rsidRPr="00000000">
        <w:rPr>
          <w:i w:val="1"/>
          <w:iCs w:val="1"/>
          <w:rtl w:val="0"/>
        </w:rPr>
        <w:t xml:space="preserve">erase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E, uma vez concluída a etapa de classificação, iniciar o trabalho de reconstrução de imagens a partir de sinais cerebrais.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harsharaman/bold5000_fm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