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Freight Rate Prediction — Machine Learning Assessment</w:t>
      </w:r>
    </w:p>
    <w:p>
      <w:pPr>
        <w:pStyle w:val="Heading1"/>
      </w:pPr>
      <w:r>
        <w:rPr>
          <w:rFonts w:ascii="Calibri" w:hAnsi="Calibri"/>
          <w:sz w:val="28"/>
        </w:rPr>
        <w:t>1. Executive Summary</w:t>
      </w:r>
    </w:p>
    <w:p>
      <w:r>
        <w:rPr>
          <w:b w:val="0"/>
        </w:rPr>
        <w:t>This project predicts freight load rates (posted_rate in USD) from shipment attributes. The development dataset contains 48,000 labeled loads (Jan–Oct 2025); the final inference holdout contains 12,000 unlabeled loads (Nov–Dec 2025).</w:t>
      </w:r>
    </w:p>
    <w:p>
      <w:r>
        <w:rPr>
          <w:b w:val="0"/>
        </w:rPr>
        <w:t>The final model is HistGradientBoostingRegressor with feature set Q and a log1p target transform. Development chronological validation MAE is 106.83 (primary split) and 113.29 (sensitivity split). These are NOT Nov–Dec holdout scores — validation.csv has no local ground truth.</w:t>
      </w:r>
    </w:p>
    <w:p>
      <w:r>
        <w:rPr>
          <w:b w:val="0"/>
        </w:rPr>
        <w:t>Final predictions were generated for all 12,000 holdout loads and passed score.py format validation (exit code 0). Official accuracy, if any, is determined by Spotter after external submission.</w:t>
      </w:r>
    </w:p>
    <w:p>
      <w:pPr>
        <w:pStyle w:val="Heading1"/>
      </w:pPr>
      <w:r>
        <w:rPr>
          <w:rFonts w:ascii="Calibri" w:hAnsi="Calibri"/>
          <w:sz w:val="28"/>
        </w:rPr>
        <w:t>2. Problem Definition</w:t>
      </w:r>
    </w:p>
    <w:p>
      <w:pPr>
        <w:pStyle w:val="ListBullet"/>
      </w:pPr>
      <w:r>
        <w:t>Input: load attributes (distance, equipment, weight, market context, etc.)</w:t>
      </w:r>
    </w:p>
    <w:p>
      <w:pPr>
        <w:pStyle w:val="ListBullet"/>
      </w:pPr>
      <w:r>
        <w:t>Target: posted_rate (USD freight rate)</w:t>
      </w:r>
    </w:p>
    <w:p>
      <w:pPr>
        <w:pStyle w:val="ListBullet"/>
      </w:pPr>
      <w:r>
        <w:t>Identifier: load_id (TR-* train, TE-* validation) — never used as a feature</w:t>
      </w:r>
    </w:p>
    <w:p>
      <w:pPr>
        <w:pStyle w:val="ListBullet"/>
      </w:pPr>
      <w:r>
        <w:t>Task: regression — predict posted_rate for each validation load</w:t>
      </w:r>
    </w:p>
    <w:p>
      <w:pPr>
        <w:pStyle w:val="ListBullet"/>
      </w:pPr>
      <w:r>
        <w:t>Final holdout: validation.csv (12,000 rows, Nov–Dec 2025, no labels locally)</w:t>
      </w:r>
    </w:p>
    <w:p>
      <w:pPr>
        <w:pStyle w:val="Heading1"/>
      </w:pPr>
      <w:r>
        <w:rPr>
          <w:rFonts w:ascii="Calibri" w:hAnsi="Calibri"/>
          <w:sz w:val="28"/>
        </w:rPr>
        <w:t>3. Dataset Overview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File</w:t>
            </w:r>
          </w:p>
        </w:tc>
        <w:tc>
          <w:tcPr>
            <w:tcW w:type="dxa" w:w="2160"/>
          </w:tcPr>
          <w:p>
            <w:r>
              <w:t>Rows</w:t>
            </w:r>
          </w:p>
        </w:tc>
        <w:tc>
          <w:tcPr>
            <w:tcW w:type="dxa" w:w="2160"/>
          </w:tcPr>
          <w:p>
            <w:r>
              <w:t>Period</w:t>
            </w:r>
          </w:p>
        </w:tc>
        <w:tc>
          <w:tcPr>
            <w:tcW w:type="dxa" w:w="2160"/>
          </w:tcPr>
          <w:p>
            <w:r>
              <w:t>Labels</w:t>
            </w:r>
          </w:p>
        </w:tc>
      </w:tr>
      <w:tr>
        <w:tc>
          <w:tcPr>
            <w:tcW w:type="dxa" w:w="2160"/>
          </w:tcPr>
          <w:p>
            <w:r>
              <w:t>train-test.csv</w:t>
            </w:r>
          </w:p>
        </w:tc>
        <w:tc>
          <w:tcPr>
            <w:tcW w:type="dxa" w:w="2160"/>
          </w:tcPr>
          <w:p>
            <w:r>
              <w:t>48,000</w:t>
            </w:r>
          </w:p>
        </w:tc>
        <w:tc>
          <w:tcPr>
            <w:tcW w:type="dxa" w:w="2160"/>
          </w:tcPr>
          <w:p>
            <w:r>
              <w:t>Jan–Oct 2025</w:t>
            </w:r>
          </w:p>
        </w:tc>
        <w:tc>
          <w:tcPr>
            <w:tcW w:type="dxa" w:w="2160"/>
          </w:tcPr>
          <w:p>
            <w:r>
              <w:t>posted_rate present</w:t>
            </w:r>
          </w:p>
        </w:tc>
      </w:tr>
      <w:tr>
        <w:tc>
          <w:tcPr>
            <w:tcW w:type="dxa" w:w="2160"/>
          </w:tcPr>
          <w:p>
            <w:r>
              <w:t>validation.csv</w:t>
            </w:r>
          </w:p>
        </w:tc>
        <w:tc>
          <w:tcPr>
            <w:tcW w:type="dxa" w:w="2160"/>
          </w:tcPr>
          <w:p>
            <w:r>
              <w:t>12,000</w:t>
            </w:r>
          </w:p>
        </w:tc>
        <w:tc>
          <w:tcPr>
            <w:tcW w:type="dxa" w:w="2160"/>
          </w:tcPr>
          <w:p>
            <w:r>
              <w:t>Nov–Dec 2025</w:t>
            </w:r>
          </w:p>
        </w:tc>
        <w:tc>
          <w:tcPr>
            <w:tcW w:type="dxa" w:w="2160"/>
          </w:tcPr>
          <w:p>
            <w:r>
              <w:t>unlabeled holdout</w:t>
            </w:r>
          </w:p>
        </w:tc>
      </w:tr>
      <w:tr>
        <w:tc>
          <w:tcPr>
            <w:tcW w:type="dxa" w:w="2160"/>
          </w:tcPr>
          <w:p>
            <w:r>
              <w:t>validation_predictions.csv</w:t>
            </w:r>
          </w:p>
        </w:tc>
        <w:tc>
          <w:tcPr>
            <w:tcW w:type="dxa" w:w="2160"/>
          </w:tcPr>
          <w:p>
            <w:r>
              <w:t>12,000</w:t>
            </w:r>
          </w:p>
        </w:tc>
        <w:tc>
          <w:tcPr>
            <w:tcW w:type="dxa" w:w="2160"/>
          </w:tcPr>
          <w:p>
            <w:r>
              <w:t>Nov–Dec 2025</w:t>
            </w:r>
          </w:p>
        </w:tc>
        <w:tc>
          <w:tcPr>
            <w:tcW w:type="dxa" w:w="2160"/>
          </w:tcPr>
          <w:p>
            <w:r>
              <w:t>model output</w:t>
            </w:r>
          </w:p>
        </w:tc>
      </w:tr>
    </w:tbl>
    <w:p>
      <w:r>
        <w:rPr>
          <w:b/>
        </w:rPr>
        <w:t>Key columns: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Column</w:t>
            </w:r>
          </w:p>
        </w:tc>
        <w:tc>
          <w:tcPr>
            <w:tcW w:type="dxa" w:w="4320"/>
          </w:tcPr>
          <w:p>
            <w:r>
              <w:t>Role</w:t>
            </w:r>
          </w:p>
        </w:tc>
      </w:tr>
      <w:tr>
        <w:tc>
          <w:tcPr>
            <w:tcW w:type="dxa" w:w="4320"/>
          </w:tcPr>
          <w:p>
            <w:r>
              <w:t>distance</w:t>
            </w:r>
          </w:p>
        </w:tc>
        <w:tc>
          <w:tcPr>
            <w:tcW w:type="dxa" w:w="4320"/>
          </w:tcPr>
          <w:p>
            <w:r>
              <w:t>Numeric — strongest predictor (r ≈ 0.91)</w:t>
            </w:r>
          </w:p>
        </w:tc>
      </w:tr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Categorical — Dry Van, Reefer, Flatbed</w:t>
            </w:r>
          </w:p>
        </w:tc>
      </w:tr>
      <w:tr>
        <w:tc>
          <w:tcPr>
            <w:tcW w:type="dxa" w:w="4320"/>
          </w:tcPr>
          <w:p>
            <w:r>
              <w:t>weight</w:t>
            </w:r>
          </w:p>
        </w:tc>
        <w:tc>
          <w:tcPr>
            <w:tcW w:type="dxa" w:w="4320"/>
          </w:tcPr>
          <w:p>
            <w:r>
              <w:t>Numeric — missing/negative values require cleaning</w:t>
            </w:r>
          </w:p>
        </w:tc>
      </w:tr>
      <w:tr>
        <w:tc>
          <w:tcPr>
            <w:tcW w:type="dxa" w:w="4320"/>
          </w:tcPr>
          <w:p>
            <w:r>
              <w:t>market_index</w:t>
            </w:r>
          </w:p>
        </w:tc>
        <w:tc>
          <w:tcPr>
            <w:tcW w:type="dxa" w:w="4320"/>
          </w:tcPr>
          <w:p>
            <w:r>
              <w:t>Numeric — tested but excluded from final model</w:t>
            </w:r>
          </w:p>
        </w:tc>
      </w:tr>
      <w:tr>
        <w:tc>
          <w:tcPr>
            <w:tcW w:type="dxa" w:w="4320"/>
          </w:tcPr>
          <w:p>
            <w:r>
              <w:t>quote_signal</w:t>
            </w:r>
          </w:p>
        </w:tc>
        <w:tc>
          <w:tcPr>
            <w:tcW w:type="dxa" w:w="4320"/>
          </w:tcPr>
          <w:p>
            <w:r>
              <w:t>Numeric — retained in final feature set Q</w:t>
            </w:r>
          </w:p>
        </w:tc>
      </w:tr>
      <w:tr>
        <w:tc>
          <w:tcPr>
            <w:tcW w:type="dxa" w:w="4320"/>
          </w:tcPr>
          <w:p>
            <w:r>
              <w:t>date</w:t>
            </w:r>
          </w:p>
        </w:tc>
        <w:tc>
          <w:tcPr>
            <w:tcW w:type="dxa" w:w="4320"/>
          </w:tcPr>
          <w:p>
            <w:r>
              <w:t>Used for preprocessing; not in final Q features</w:t>
            </w:r>
          </w:p>
        </w:tc>
      </w:tr>
    </w:tbl>
    <w:p>
      <w:pPr>
        <w:pStyle w:val="Heading1"/>
      </w:pPr>
      <w:r>
        <w:rPr>
          <w:rFonts w:ascii="Calibri" w:hAnsi="Calibri"/>
          <w:sz w:val="28"/>
        </w:rPr>
        <w:t>4. Exploratory Data Analysis</w:t>
      </w:r>
    </w:p>
    <w:p>
      <w:r>
        <w:rPr>
          <w:b w:val="0"/>
        </w:rPr>
        <w:t>posted_rate is right-skewed (mean $2,374 vs median $2,031) with a heavy upper tail driven by legitimate long-haul loads. Distance dominates the linear relationship with target. Equipment types show different rate levels (Reefer highest on average). market_index shows temporal drift across the full training period but Sep–Oct training aligns with Nov–Dec validation regime.</w:t>
      </w:r>
    </w:p>
    <w:p>
      <w:r>
        <w:drawing>
          <wp:inline xmlns:a="http://schemas.openxmlformats.org/drawingml/2006/main" xmlns:pic="http://schemas.openxmlformats.org/drawingml/2006/picture">
            <wp:extent cx="5029200" cy="2514600"/>
            <wp:docPr id="1" name="Picture 1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1_posted_rate_distribution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5146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1: posted_rate distribution</w:t>
      </w:r>
    </w:p>
    <w:p>
      <w:r>
        <w:drawing>
          <wp:inline xmlns:a="http://schemas.openxmlformats.org/drawingml/2006/main" xmlns:pic="http://schemas.openxmlformats.org/drawingml/2006/picture">
            <wp:extent cx="5029200" cy="3143250"/>
            <wp:docPr id="2" name="Picture 2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4_distance_vs_posted_rate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14325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2: Distance vs posted_rate</w:t>
      </w:r>
    </w:p>
    <w:p>
      <w:r>
        <w:drawing>
          <wp:inline xmlns:a="http://schemas.openxmlformats.org/drawingml/2006/main" xmlns:pic="http://schemas.openxmlformats.org/drawingml/2006/picture">
            <wp:extent cx="5029200" cy="3352800"/>
            <wp:docPr id="3" name="Picture 3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9_equipment_vs_posted_rate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335280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3: Rate by equipment type</w:t>
      </w:r>
    </w:p>
    <w:p>
      <w:r>
        <w:drawing>
          <wp:inline xmlns:a="http://schemas.openxmlformats.org/drawingml/2006/main" xmlns:pic="http://schemas.openxmlformats.org/drawingml/2006/picture">
            <wp:extent cx="5029200" cy="2011680"/>
            <wp:docPr id="4" name="Picture 4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03_posted_rate_by_month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029200" cy="2011680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4: Monthly target behavior</w:t>
      </w:r>
    </w:p>
    <w:p>
      <w:pPr>
        <w:pStyle w:val="Heading1"/>
      </w:pPr>
      <w:r>
        <w:rPr>
          <w:rFonts w:ascii="Calibri" w:hAnsi="Calibri"/>
          <w:sz w:val="28"/>
        </w:rPr>
        <w:t>5. Data Quality</w:t>
      </w:r>
    </w:p>
    <w:p>
      <w:r>
        <w:rPr>
          <w:b w:val="0"/>
        </w:rPr>
        <w:t>Missing weight: 300 train / 165 validation rows. Negative weight: 292 train / 145 validation — treated as invalid and converted to missing.</w:t>
      </w:r>
    </w:p>
    <w:p>
      <w:r>
        <w:rPr>
          <w:b w:val="0"/>
        </w:rPr>
        <w:t>Weight imputation: equipment median with global median fallback (fit on training fold only; full Jan–Oct for final model).</w:t>
      </w:r>
    </w:p>
    <w:p>
      <w:r>
        <w:rPr>
          <w:b w:val="0"/>
        </w:rPr>
        <w:t>Missing market_index: 374 train / 249 validation. Imputed by month during preprocessing, but raw market_index was excluded from the final model after harming validation performance.</w:t>
      </w:r>
    </w:p>
    <w:p>
      <w:r>
        <w:rPr>
          <w:b w:val="0"/>
        </w:rPr>
        <w:t>Unseen cities: 8 cities appear in validation but not training (~6% of rows). Final feature set Q avoids city/route identity, using equipment + distance + quote_signal instead.</w:t>
      </w:r>
    </w:p>
    <w:p>
      <w:pPr>
        <w:pStyle w:val="Heading1"/>
      </w:pPr>
      <w:r>
        <w:rPr>
          <w:rFonts w:ascii="Calibri" w:hAnsi="Calibri"/>
          <w:sz w:val="28"/>
        </w:rPr>
        <w:t>6. Feature Engineering — Final Feature Set Q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Feature</w:t>
            </w:r>
          </w:p>
        </w:tc>
        <w:tc>
          <w:tcPr>
            <w:tcW w:type="dxa" w:w="4320"/>
          </w:tcPr>
          <w:p>
            <w:r>
              <w:t>Rationale</w:t>
            </w:r>
          </w:p>
        </w:tc>
      </w:tr>
      <w:tr>
        <w:tc>
          <w:tcPr>
            <w:tcW w:type="dxa" w:w="4320"/>
          </w:tcPr>
          <w:p>
            <w:r>
              <w:t>distance</w:t>
            </w:r>
          </w:p>
        </w:tc>
        <w:tc>
          <w:tcPr>
            <w:tcW w:type="dxa" w:w="4320"/>
          </w:tcPr>
          <w:p>
            <w:r>
              <w:t>Primary rate driver</w:t>
            </w:r>
          </w:p>
        </w:tc>
      </w:tr>
      <w:tr>
        <w:tc>
          <w:tcPr>
            <w:tcW w:type="dxa" w:w="4320"/>
          </w:tcPr>
          <w:p>
            <w:r>
              <w:t>log_distance</w:t>
            </w:r>
          </w:p>
        </w:tc>
        <w:tc>
          <w:tcPr>
            <w:tcW w:type="dxa" w:w="4320"/>
          </w:tcPr>
          <w:p>
            <w:r>
              <w:t>Nonlinear distance scaling</w:t>
            </w:r>
          </w:p>
        </w:tc>
      </w:tr>
      <w:tr>
        <w:tc>
          <w:tcPr>
            <w:tcW w:type="dxa" w:w="4320"/>
          </w:tcPr>
          <w:p>
            <w:r>
              <w:t>distance_bin</w:t>
            </w:r>
          </w:p>
        </w:tc>
        <w:tc>
          <w:tcPr>
            <w:tcW w:type="dxa" w:w="4320"/>
          </w:tcPr>
          <w:p>
            <w:r>
              <w:t>Bucketed distance effects</w:t>
            </w:r>
          </w:p>
        </w:tc>
      </w:tr>
      <w:tr>
        <w:tc>
          <w:tcPr>
            <w:tcW w:type="dxa" w:w="4320"/>
          </w:tcPr>
          <w:p>
            <w:r>
              <w:t>weight / weight_is_missing</w:t>
            </w:r>
          </w:p>
        </w:tc>
        <w:tc>
          <w:tcPr>
            <w:tcW w:type="dxa" w:w="4320"/>
          </w:tcPr>
          <w:p>
            <w:r>
              <w:t>Load size signal with missingness indicator</w:t>
            </w:r>
          </w:p>
        </w:tc>
      </w:tr>
      <w:tr>
        <w:tc>
          <w:tcPr>
            <w:tcW w:type="dxa" w:w="4320"/>
          </w:tcPr>
          <w:p>
            <w:r>
              <w:t>quote_signal</w:t>
            </w:r>
          </w:p>
        </w:tc>
        <w:tc>
          <w:tcPr>
            <w:tcW w:type="dxa" w:w="4320"/>
          </w:tcPr>
          <w:p>
            <w:r>
              <w:t>Strongest additive feature in ablation (+9 MAE improvement vs base)</w:t>
            </w:r>
          </w:p>
        </w:tc>
      </w:tr>
      <w:tr>
        <w:tc>
          <w:tcPr>
            <w:tcW w:type="dxa" w:w="4320"/>
          </w:tcPr>
          <w:p>
            <w:r>
              <w:t>equipment</w:t>
            </w:r>
          </w:p>
        </w:tc>
        <w:tc>
          <w:tcPr>
            <w:tcW w:type="dxa" w:w="4320"/>
          </w:tcPr>
          <w:p>
            <w:r>
              <w:t>Equipment-type rate differences (3 levels)</w:t>
            </w:r>
          </w:p>
        </w:tc>
      </w:tr>
    </w:tbl>
    <w:p>
      <w:r>
        <w:rPr>
          <w:b w:val="0"/>
        </w:rPr>
        <w:t>Excluded after testing: raw market_index (+23 MAE when added), route/city OHE, geographic extras (FULL set had +22 sensitivity gap).</w:t>
      </w:r>
    </w:p>
    <w:p>
      <w:pPr>
        <w:pStyle w:val="Heading1"/>
      </w:pPr>
      <w:r>
        <w:rPr>
          <w:rFonts w:ascii="Calibri" w:hAnsi="Calibri"/>
          <w:sz w:val="28"/>
        </w:rPr>
        <w:t>7. Validation Strategy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Split</w:t>
            </w:r>
          </w:p>
        </w:tc>
        <w:tc>
          <w:tcPr>
            <w:tcW w:type="dxa" w:w="2160"/>
          </w:tcPr>
          <w:p>
            <w:r>
              <w:t>Train</w:t>
            </w:r>
          </w:p>
        </w:tc>
        <w:tc>
          <w:tcPr>
            <w:tcW w:type="dxa" w:w="2160"/>
          </w:tcPr>
          <w:p>
            <w:r>
              <w:t>Validate</w:t>
            </w:r>
          </w:p>
        </w:tc>
        <w:tc>
          <w:tcPr>
            <w:tcW w:type="dxa" w:w="2160"/>
          </w:tcPr>
          <w:p>
            <w:r>
              <w:t>Purpose</w:t>
            </w:r>
          </w:p>
        </w:tc>
      </w:tr>
      <w:tr>
        <w:tc>
          <w:tcPr>
            <w:tcW w:type="dxa" w:w="2160"/>
          </w:tcPr>
          <w:p>
            <w:r>
              <w:t>Primary</w:t>
            </w:r>
          </w:p>
        </w:tc>
        <w:tc>
          <w:tcPr>
            <w:tcW w:type="dxa" w:w="2160"/>
          </w:tcPr>
          <w:p>
            <w:r>
              <w:t>Jan–Aug 2025</w:t>
            </w:r>
          </w:p>
        </w:tc>
        <w:tc>
          <w:tcPr>
            <w:tcW w:type="dxa" w:w="2160"/>
          </w:tcPr>
          <w:p>
            <w:r>
              <w:t>Sep–Oct 2025</w:t>
            </w:r>
          </w:p>
        </w:tc>
        <w:tc>
          <w:tcPr>
            <w:tcW w:type="dxa" w:w="2160"/>
          </w:tcPr>
          <w:p>
            <w:r>
              <w:t>Main model selection</w:t>
            </w:r>
          </w:p>
        </w:tc>
      </w:tr>
      <w:tr>
        <w:tc>
          <w:tcPr>
            <w:tcW w:type="dxa" w:w="2160"/>
          </w:tcPr>
          <w:p>
            <w:r>
              <w:t>Sensitivity</w:t>
            </w:r>
          </w:p>
        </w:tc>
        <w:tc>
          <w:tcPr>
            <w:tcW w:type="dxa" w:w="2160"/>
          </w:tcPr>
          <w:p>
            <w:r>
              <w:t>Jan–Sep 2025</w:t>
            </w:r>
          </w:p>
        </w:tc>
        <w:tc>
          <w:tcPr>
            <w:tcW w:type="dxa" w:w="2160"/>
          </w:tcPr>
          <w:p>
            <w:r>
              <w:t>Oct 2025</w:t>
            </w:r>
          </w:p>
        </w:tc>
        <w:tc>
          <w:tcPr>
            <w:tcW w:type="dxa" w:w="2160"/>
          </w:tcPr>
          <w:p>
            <w:r>
              <w:t>Stability check</w:t>
            </w:r>
          </w:p>
        </w:tc>
      </w:tr>
    </w:tbl>
    <w:p>
      <w:r>
        <w:rPr>
          <w:b w:val="0"/>
        </w:rPr>
        <w:t>Random shuffling was avoided to simulate forecasting future periods. All preprocessing statistics are fit on the training fold only. validation.csv was never used for tuning.</w:t>
      </w:r>
    </w:p>
    <w:p>
      <w:pPr>
        <w:pStyle w:val="Heading1"/>
      </w:pPr>
      <w:r>
        <w:rPr>
          <w:rFonts w:ascii="Calibri" w:hAnsi="Calibri"/>
          <w:sz w:val="28"/>
        </w:rPr>
        <w:t>8. Model Experiments</w:t>
      </w:r>
    </w:p>
    <w:p>
      <w:r>
        <w:rPr>
          <w:b w:val="0"/>
        </w:rPr>
        <w:t>Primary split MAE unless noted (Phase 2–3 development validation):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2160"/>
        <w:gridCol w:w="2160"/>
        <w:gridCol w:w="2160"/>
        <w:gridCol w:w="2160"/>
      </w:tblGrid>
      <w:tr>
        <w:tc>
          <w:tcPr>
            <w:tcW w:type="dxa" w:w="2160"/>
          </w:tcPr>
          <w:p>
            <w:r>
              <w:t>Model / Config</w:t>
            </w:r>
          </w:p>
        </w:tc>
        <w:tc>
          <w:tcPr>
            <w:tcW w:type="dxa" w:w="2160"/>
          </w:tcPr>
          <w:p>
            <w:r>
              <w:t>Primary MAE</w:t>
            </w:r>
          </w:p>
        </w:tc>
        <w:tc>
          <w:tcPr>
            <w:tcW w:type="dxa" w:w="2160"/>
          </w:tcPr>
          <w:p>
            <w:r>
              <w:t>Sensitivity MAE</w:t>
            </w:r>
          </w:p>
        </w:tc>
        <w:tc>
          <w:tcPr>
            <w:tcW w:type="dxa" w:w="2160"/>
          </w:tcPr>
          <w:p>
            <w:r>
              <w:t>Phase</w:t>
            </w:r>
          </w:p>
        </w:tc>
      </w:tr>
      <w:tr>
        <w:tc>
          <w:tcPr>
            <w:tcW w:type="dxa" w:w="2160"/>
          </w:tcPr>
          <w:p>
            <w:r>
              <w:t>Global median</w:t>
            </w:r>
          </w:p>
        </w:tc>
        <w:tc>
          <w:tcPr>
            <w:tcW w:type="dxa" w:w="2160"/>
          </w:tcPr>
          <w:p>
            <w:r>
              <w:t>1148.92</w:t>
            </w:r>
          </w:p>
        </w:tc>
        <w:tc>
          <w:tcPr>
            <w:tcW w:type="dxa" w:w="2160"/>
          </w:tcPr>
          <w:p>
            <w:r>
              <w:t>1146.79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</w:tr>
      <w:tr>
        <w:tc>
          <w:tcPr>
            <w:tcW w:type="dxa" w:w="2160"/>
          </w:tcPr>
          <w:p>
            <w:r>
              <w:t>Distance linear</w:t>
            </w:r>
          </w:p>
        </w:tc>
        <w:tc>
          <w:tcPr>
            <w:tcW w:type="dxa" w:w="2160"/>
          </w:tcPr>
          <w:p>
            <w:r>
              <w:t>196.95</w:t>
            </w:r>
          </w:p>
        </w:tc>
        <w:tc>
          <w:tcPr>
            <w:tcW w:type="dxa" w:w="2160"/>
          </w:tcPr>
          <w:p>
            <w:r>
              <w:t>192.77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</w:tr>
      <w:tr>
        <w:tc>
          <w:tcPr>
            <w:tcW w:type="dxa" w:w="2160"/>
          </w:tcPr>
          <w:p>
            <w:r>
              <w:t>Distance + equipment linear</w:t>
            </w:r>
          </w:p>
        </w:tc>
        <w:tc>
          <w:tcPr>
            <w:tcW w:type="dxa" w:w="2160"/>
          </w:tcPr>
          <w:p>
            <w:r>
              <w:t>155.68</w:t>
            </w:r>
          </w:p>
        </w:tc>
        <w:tc>
          <w:tcPr>
            <w:tcW w:type="dxa" w:w="2160"/>
          </w:tcPr>
          <w:p>
            <w:r>
              <w:t>157.47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</w:tr>
      <w:tr>
        <w:tc>
          <w:tcPr>
            <w:tcW w:type="dxa" w:w="2160"/>
          </w:tcPr>
          <w:p>
            <w:r>
              <w:t>Ridge (FULL features)</w:t>
            </w:r>
          </w:p>
        </w:tc>
        <w:tc>
          <w:tcPr>
            <w:tcW w:type="dxa" w:w="2160"/>
          </w:tcPr>
          <w:p>
            <w:r>
              <w:t>148.06</w:t>
            </w:r>
          </w:p>
        </w:tc>
        <w:tc>
          <w:tcPr>
            <w:tcW w:type="dxa" w:w="2160"/>
          </w:tcPr>
          <w:p>
            <w:r>
              <w:t>148.92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</w:tr>
      <w:tr>
        <w:tc>
          <w:tcPr>
            <w:tcW w:type="dxa" w:w="2160"/>
          </w:tcPr>
          <w:p>
            <w:r>
              <w:t>HistGB FULL normal</w:t>
            </w:r>
          </w:p>
        </w:tc>
        <w:tc>
          <w:tcPr>
            <w:tcW w:type="dxa" w:w="2160"/>
          </w:tcPr>
          <w:p>
            <w:r>
              <w:t>129.69</w:t>
            </w:r>
          </w:p>
        </w:tc>
        <w:tc>
          <w:tcPr>
            <w:tcW w:type="dxa" w:w="2160"/>
          </w:tcPr>
          <w:p>
            <w:r>
              <w:t>151.99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</w:tr>
      <w:tr>
        <w:tc>
          <w:tcPr>
            <w:tcW w:type="dxa" w:w="2160"/>
          </w:tcPr>
          <w:p>
            <w:r>
              <w:t>ExtraTrees FULL</w:t>
            </w:r>
          </w:p>
        </w:tc>
        <w:tc>
          <w:tcPr>
            <w:tcW w:type="dxa" w:w="2160"/>
          </w:tcPr>
          <w:p>
            <w:r>
              <w:t>142.86</w:t>
            </w:r>
          </w:p>
        </w:tc>
        <w:tc>
          <w:tcPr>
            <w:tcW w:type="dxa" w:w="2160"/>
          </w:tcPr>
          <w:p>
            <w:r>
              <w:t>146.42</w:t>
            </w:r>
          </w:p>
        </w:tc>
        <w:tc>
          <w:tcPr>
            <w:tcW w:type="dxa" w:w="2160"/>
          </w:tcPr>
          <w:p>
            <w:r>
              <w:t>Phase 2</w:t>
            </w:r>
          </w:p>
        </w:tc>
      </w:tr>
      <w:tr>
        <w:tc>
          <w:tcPr>
            <w:tcW w:type="dxa" w:w="2160"/>
          </w:tcPr>
          <w:p>
            <w:r>
              <w:t>HistGB FULL log1p</w:t>
            </w:r>
          </w:p>
        </w:tc>
        <w:tc>
          <w:tcPr>
            <w:tcW w:type="dxa" w:w="2160"/>
          </w:tcPr>
          <w:p>
            <w:r>
              <w:t>118.83</w:t>
            </w:r>
          </w:p>
        </w:tc>
        <w:tc>
          <w:tcPr>
            <w:tcW w:type="dxa" w:w="2160"/>
          </w:tcPr>
          <w:p>
            <w:r>
              <w:t>115.45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</w:tr>
      <w:tr>
        <w:tc>
          <w:tcPr>
            <w:tcW w:type="dxa" w:w="2160"/>
          </w:tcPr>
          <w:p>
            <w:r>
              <w:t>HistGB Q normal</w:t>
            </w:r>
          </w:p>
        </w:tc>
        <w:tc>
          <w:tcPr>
            <w:tcW w:type="dxa" w:w="2160"/>
          </w:tcPr>
          <w:p>
            <w:r>
              <w:t>118.95</w:t>
            </w:r>
          </w:p>
        </w:tc>
        <w:tc>
          <w:tcPr>
            <w:tcW w:type="dxa" w:w="2160"/>
          </w:tcPr>
          <w:p>
            <w:r>
              <w:t>123.91</w:t>
            </w:r>
          </w:p>
        </w:tc>
        <w:tc>
          <w:tcPr>
            <w:tcW w:type="dxa" w:w="2160"/>
          </w:tcPr>
          <w:p>
            <w:r>
              <w:t>Phase 3</w:t>
            </w:r>
          </w:p>
        </w:tc>
      </w:tr>
      <w:tr>
        <w:tc>
          <w:tcPr>
            <w:tcW w:type="dxa" w:w="2160"/>
          </w:tcPr>
          <w:p>
            <w:r>
              <w:t>HistGB Q log1p (final)</w:t>
            </w:r>
          </w:p>
        </w:tc>
        <w:tc>
          <w:tcPr>
            <w:tcW w:type="dxa" w:w="2160"/>
          </w:tcPr>
          <w:p>
            <w:r>
              <w:t>106.83</w:t>
            </w:r>
          </w:p>
        </w:tc>
        <w:tc>
          <w:tcPr>
            <w:tcW w:type="dxa" w:w="2160"/>
          </w:tcPr>
          <w:p>
            <w:r>
              <w:t>113.29</w:t>
            </w:r>
          </w:p>
        </w:tc>
        <w:tc>
          <w:tcPr>
            <w:tcW w:type="dxa" w:w="2160"/>
          </w:tcPr>
          <w:p>
            <w:r>
              <w:t>Phase 3.5</w:t>
            </w:r>
          </w:p>
        </w:tc>
      </w:tr>
    </w:tbl>
    <w:p>
      <w:pPr>
        <w:pStyle w:val="Heading1"/>
      </w:pPr>
      <w:r>
        <w:rPr>
          <w:rFonts w:ascii="Calibri" w:hAnsi="Calibri"/>
          <w:sz w:val="28"/>
        </w:rPr>
        <w:t>9. Final Model Selection</w:t>
      </w:r>
    </w:p>
    <w:p>
      <w:r>
        <w:rPr>
          <w:b w:val="0"/>
        </w:rPr>
        <w:t>Selected: HistGradientBoostingRegressor + feature set Q + log1p target.</w:t>
      </w:r>
    </w:p>
    <w:p>
      <w:pPr>
        <w:pStyle w:val="ListBullet"/>
      </w:pPr>
      <w:r>
        <w:t>Strongest development MAE on both chronological splits</w:t>
      </w:r>
    </w:p>
    <w:p>
      <w:pPr>
        <w:pStyle w:val="ListBullet"/>
      </w:pPr>
      <w:r>
        <w:t>Stable sensitivity performance (gap +6.5 vs +22 for FULL normal)</w:t>
      </w:r>
    </w:p>
    <w:p>
      <w:pPr>
        <w:pStyle w:val="ListBullet"/>
      </w:pPr>
      <w:r>
        <w:t>Improved long-haul MAE vs alternatives</w:t>
      </w:r>
    </w:p>
    <w:p>
      <w:pPr>
        <w:pStyle w:val="ListBullet"/>
      </w:pPr>
      <w:r>
        <w:t>Simple feature set — no target encoding, no route OHE</w:t>
      </w:r>
    </w:p>
    <w:p>
      <w:pPr>
        <w:pStyle w:val="ListBullet"/>
      </w:pPr>
      <w:r>
        <w:t>Leakage-safe preprocessing</w:t>
      </w:r>
    </w:p>
    <w:p>
      <w:r>
        <w:rPr>
          <w:b w:val="0"/>
        </w:rPr>
        <w:t>Hyperparameters: max_depth=6, l2_regularization=0.1, learning_rate=0.08, max_iter=300, random_state=42</w:t>
      </w:r>
    </w:p>
    <w:p>
      <w:pPr>
        <w:pStyle w:val="Heading1"/>
      </w:pPr>
      <w:r>
        <w:rPr>
          <w:rFonts w:ascii="Calibri" w:hAnsi="Calibri"/>
          <w:sz w:val="28"/>
        </w:rPr>
        <w:t>10. Error Analysis</w:t>
      </w:r>
    </w:p>
    <w:p>
      <w:r>
        <w:rPr>
          <w:b w:val="0"/>
        </w:rPr>
        <w:t>Long-haul loads (2000+ miles) remain the hardest segment — systematic underprediction persists on top-1% and rate&gt;$5,000 loads. Reefer equipment shows slightly higher residuals. log1p improves overall MAE but does not eliminate tail bias.</w:t>
      </w:r>
    </w:p>
    <w:p>
      <w:pPr>
        <w:pStyle w:val="Heading1"/>
      </w:pPr>
      <w:r>
        <w:rPr>
          <w:rFonts w:ascii="Calibri" w:hAnsi="Calibri"/>
          <w:sz w:val="28"/>
        </w:rPr>
        <w:t>11. Final Training</w:t>
      </w:r>
    </w:p>
    <w:p>
      <w:r>
        <w:rPr>
          <w:b w:val="0"/>
        </w:rPr>
        <w:t>Final model trained on all 48,000 Jan–Oct labeled rows. validation.csv not used for fitting. Target: log1p(posted_rate); predictions: expm1(model output).</w:t>
      </w:r>
    </w:p>
    <w:p>
      <w:pPr>
        <w:pStyle w:val="Heading1"/>
      </w:pPr>
      <w:r>
        <w:rPr>
          <w:rFonts w:ascii="Calibri" w:hAnsi="Calibri"/>
          <w:sz w:val="28"/>
        </w:rPr>
        <w:t>12. Final Predictions</w:t>
      </w:r>
    </w:p>
    <w:p>
      <w:r>
        <w:rPr>
          <w:b w:val="0"/>
        </w:rPr>
        <w:t>12,000 Nov–Dec predictions in validation_predictions.csv. Distribution summary (not accuracy metrics):</w:t>
      </w:r>
    </w:p>
    <w:tbl>
      <w:tblPr>
        <w:tblStyle w:val="TableGrid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Statistic</w:t>
            </w:r>
          </w:p>
        </w:tc>
        <w:tc>
          <w:tcPr>
            <w:tcW w:type="dxa" w:w="4320"/>
          </w:tcPr>
          <w:p>
            <w:r>
              <w:t>Value</w:t>
            </w:r>
          </w:p>
        </w:tc>
      </w:tr>
      <w:tr>
        <w:tc>
          <w:tcPr>
            <w:tcW w:type="dxa" w:w="4320"/>
          </w:tcPr>
          <w:p>
            <w:r>
              <w:t>Mean</w:t>
            </w:r>
          </w:p>
        </w:tc>
        <w:tc>
          <w:tcPr>
            <w:tcW w:type="dxa" w:w="4320"/>
          </w:tcPr>
          <w:p>
            <w:r>
              <w:t>$2,345.93</w:t>
            </w:r>
          </w:p>
        </w:tc>
      </w:tr>
      <w:tr>
        <w:tc>
          <w:tcPr>
            <w:tcW w:type="dxa" w:w="4320"/>
          </w:tcPr>
          <w:p>
            <w:r>
              <w:t>Median</w:t>
            </w:r>
          </w:p>
        </w:tc>
        <w:tc>
          <w:tcPr>
            <w:tcW w:type="dxa" w:w="4320"/>
          </w:tcPr>
          <w:p>
            <w:r>
              <w:t>$2,026.45</w:t>
            </w:r>
          </w:p>
        </w:tc>
      </w:tr>
      <w:tr>
        <w:tc>
          <w:tcPr>
            <w:tcW w:type="dxa" w:w="4320"/>
          </w:tcPr>
          <w:p>
            <w:r>
              <w:t>Min</w:t>
            </w:r>
          </w:p>
        </w:tc>
        <w:tc>
          <w:tcPr>
            <w:tcW w:type="dxa" w:w="4320"/>
          </w:tcPr>
          <w:p>
            <w:r>
              <w:t>$210.94</w:t>
            </w:r>
          </w:p>
        </w:tc>
      </w:tr>
      <w:tr>
        <w:tc>
          <w:tcPr>
            <w:tcW w:type="dxa" w:w="4320"/>
          </w:tcPr>
          <w:p>
            <w:r>
              <w:t>Max</w:t>
            </w:r>
          </w:p>
        </w:tc>
        <w:tc>
          <w:tcPr>
            <w:tcW w:type="dxa" w:w="4320"/>
          </w:tcPr>
          <w:p>
            <w:r>
              <w:t>$6,548.41</w:t>
            </w:r>
          </w:p>
        </w:tc>
      </w:tr>
      <w:tr>
        <w:tc>
          <w:tcPr>
            <w:tcW w:type="dxa" w:w="4320"/>
          </w:tcPr>
          <w:p>
            <w:r>
              <w:t>Invalid predictions</w:t>
            </w:r>
          </w:p>
        </w:tc>
        <w:tc>
          <w:tcPr>
            <w:tcW w:type="dxa" w:w="4320"/>
          </w:tcPr>
          <w:p>
            <w:r>
              <w:t>0</w:t>
            </w:r>
          </w:p>
        </w:tc>
      </w:tr>
    </w:tbl>
    <w:p>
      <w:pPr>
        <w:pStyle w:val="Heading1"/>
      </w:pPr>
      <w:r>
        <w:rPr>
          <w:rFonts w:ascii="Calibri" w:hAnsi="Calibri"/>
          <w:sz w:val="28"/>
        </w:rPr>
        <w:t>13. Official score.py Validation</w:t>
      </w:r>
    </w:p>
    <w:p>
      <w:r>
        <w:rPr>
          <w:b w:val="0"/>
        </w:rPr>
        <w:t>Command: python score.py --predictions validation_predictions.csv --december-predictions december-chart-inputs.csv</w:t>
      </w:r>
    </w:p>
    <w:p>
      <w:r>
        <w:rPr>
          <w:b w:val="0"/>
        </w:rPr>
        <w:t>Exit code: 0. score.py validates file format and generates the December chart. It does NOT compute prediction accuracy.</w:t>
      </w:r>
    </w:p>
    <w:p>
      <w:r>
        <w:drawing>
          <wp:inline xmlns:a="http://schemas.openxmlformats.org/drawingml/2006/main" xmlns:pic="http://schemas.openxmlformats.org/drawingml/2006/picture">
            <wp:extent cx="5486400" cy="1809529"/>
            <wp:docPr id="5" name="Picture 5"/>
            <wp:cNvGraphicFramePr>
              <a:graphicFrameLocks noChangeAspect="1"/>
            </wp:cNvGraphicFramePr>
            <a:graphic>
              <a:graphicData uri="http://schemas.openxmlformats.org/drawingml/2006/picture">
                <pic:pic>
                  <pic:nvPicPr>
                    <pic:cNvPr id="0" name="candidate_december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1809529"/>
                    </a:xfrm>
                    <a:prstGeom prst="rect"/>
                  </pic:spPr>
                </pic:pic>
              </a:graphicData>
            </a:graphic>
          </wp:inline>
        </w:drawing>
      </w:r>
    </w:p>
    <w:p>
      <w:r>
        <w:rPr>
          <w:i/>
        </w:rPr>
        <w:t>Figure 5: Fixed December 2025 Candidate Prediction — flat at $841.48 because feature set Q excludes calendar features; only date changes in the scenario.</w:t>
      </w:r>
    </w:p>
    <w:p>
      <w:pPr>
        <w:pStyle w:val="Heading1"/>
      </w:pPr>
      <w:r>
        <w:rPr>
          <w:rFonts w:ascii="Calibri" w:hAnsi="Calibri"/>
          <w:sz w:val="28"/>
        </w:rPr>
        <w:t>14. Limitations</w:t>
      </w:r>
    </w:p>
    <w:p>
      <w:pPr>
        <w:pStyle w:val="ListBullet"/>
      </w:pPr>
      <w:r>
        <w:t>No local ground truth for Nov–Dec holdout</w:t>
      </w:r>
    </w:p>
    <w:p>
      <w:pPr>
        <w:pStyle w:val="ListBullet"/>
      </w:pPr>
      <w:r>
        <w:t>Official Spotter metric unavailable locally</w:t>
      </w:r>
    </w:p>
    <w:p>
      <w:pPr>
        <w:pStyle w:val="ListBullet"/>
      </w:pPr>
      <w:r>
        <w:t>Long-tail underprediction remains</w:t>
      </w:r>
    </w:p>
    <w:p>
      <w:pPr>
        <w:pStyle w:val="ListBullet"/>
      </w:pPr>
      <w:r>
        <w:t>CatBoost not evaluated (not installed in environment)</w:t>
      </w:r>
    </w:p>
    <w:p>
      <w:pPr>
        <w:pStyle w:val="ListBullet"/>
      </w:pPr>
      <w:r>
        <w:t>Development MAE may differ from final holdout performance</w:t>
      </w:r>
    </w:p>
    <w:p>
      <w:pPr>
        <w:pStyle w:val="Heading1"/>
      </w:pPr>
      <w:r>
        <w:rPr>
          <w:rFonts w:ascii="Calibri" w:hAnsi="Calibri"/>
          <w:sz w:val="28"/>
        </w:rPr>
        <w:t>15. Reproducibility</w:t>
      </w:r>
    </w:p>
    <w:p>
      <w:r>
        <w:rPr>
          <w:b/>
        </w:rPr>
        <w:t>Setup:</w:t>
      </w:r>
    </w:p>
    <w:p>
      <w:pPr>
        <w:pStyle w:val="ListBullet"/>
      </w:pPr>
      <w:r>
        <w:t>python -m venv venv</w:t>
      </w:r>
    </w:p>
    <w:p>
      <w:pPr>
        <w:pStyle w:val="ListBullet"/>
      </w:pPr>
      <w:r>
        <w:t>.\venv\Scripts\Activate.ps1</w:t>
      </w:r>
    </w:p>
    <w:p>
      <w:pPr>
        <w:pStyle w:val="ListBullet"/>
      </w:pPr>
      <w:r>
        <w:t>python -m pip install -r requirements.txt</w:t>
      </w:r>
    </w:p>
    <w:p>
      <w:r>
        <w:rPr>
          <w:b/>
        </w:rPr>
        <w:t>Pipeline commands:</w:t>
      </w:r>
    </w:p>
    <w:p>
      <w:pPr>
        <w:pStyle w:val="ListBullet"/>
      </w:pPr>
      <w:r>
        <w:t>python scripts/run_phase1_eda.py</w:t>
      </w:r>
    </w:p>
    <w:p>
      <w:pPr>
        <w:pStyle w:val="ListBullet"/>
      </w:pPr>
      <w:r>
        <w:t>python scripts/run_phase2_validation.py</w:t>
      </w:r>
    </w:p>
    <w:p>
      <w:pPr>
        <w:pStyle w:val="ListBullet"/>
      </w:pPr>
      <w:r>
        <w:t>python scripts/run_phase3.py</w:t>
      </w:r>
    </w:p>
    <w:p>
      <w:pPr>
        <w:pStyle w:val="ListBullet"/>
      </w:pPr>
      <w:r>
        <w:t>python scripts/run_phase3_verification.py</w:t>
      </w:r>
    </w:p>
    <w:p>
      <w:pPr>
        <w:pStyle w:val="ListBullet"/>
      </w:pPr>
      <w:r>
        <w:t>python scripts/train_final.py</w:t>
      </w:r>
    </w:p>
    <w:p>
      <w:pPr>
        <w:pStyle w:val="ListBullet"/>
      </w:pPr>
      <w:r>
        <w:t>python score.py --predictions validation_predictions.csv --december-predictions december-chart-inputs.csv</w:t>
      </w:r>
    </w:p>
    <w:p>
      <w:r>
        <w:rPr>
          <w:b w:val="0"/>
        </w:rPr>
        <w:t>Report generation (optional): pip install python-docx &amp;&amp; python scripts/generate_report.py</w:t>
      </w:r>
    </w:p>
    <w:p>
      <w:pPr>
        <w:pStyle w:val="Heading1"/>
      </w:pPr>
      <w:r>
        <w:rPr>
          <w:rFonts w:ascii="Calibri" w:hAnsi="Calibri"/>
          <w:sz w:val="28"/>
        </w:rPr>
        <w:t>16. Conclusion</w:t>
      </w:r>
    </w:p>
    <w:p>
      <w:r>
        <w:rPr>
          <w:b w:val="0"/>
        </w:rPr>
        <w:t>HistGradientBoosting with feature set Q and log1p target was selected through leakage-safe chronological validation. Final Nov–Dec predictions were generated and passed score.py validation. External Spotter evaluation determines any official accuracy.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image" Target="media/image1.png"/><Relationship Id="rId10" Type="http://schemas.openxmlformats.org/officeDocument/2006/relationships/image" Target="media/image2.png"/><Relationship Id="rId11" Type="http://schemas.openxmlformats.org/officeDocument/2006/relationships/image" Target="media/image3.png"/><Relationship Id="rId12" Type="http://schemas.openxmlformats.org/officeDocument/2006/relationships/image" Target="media/image4.png"/><Relationship Id="rId13" Type="http://schemas.openxmlformats.org/officeDocument/2006/relationships/image" Target="media/image5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