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 Africa‑Focused Demo Data Pack (JSE/SARS) — ESOP Platform</w:t>
      </w:r>
    </w:p>
    <w:p>
      <w:pPr>
        <w:pStyle w:val="Subtitle"/>
      </w:pPr>
      <w:r>
        <w:t>Use this to populate a realistic demo and keep the talk track in South African terms (JSE, SENS, SARS, ZAR).</w:t>
      </w:r>
    </w:p>
    <w:p>
      <w:r>
        <w:rPr>
          <w:i/>
        </w:rPr>
        <w:t>Note: All names and numbers below are fictional examples. This is not tax advice.</w:t>
      </w:r>
    </w:p>
    <w:p>
      <w:pPr>
        <w:pStyle w:val="Heading1"/>
      </w:pPr>
      <w:r>
        <w:t>1) Currency + formatting</w:t>
      </w:r>
    </w:p>
    <w:p>
      <w:pPr>
        <w:pStyle w:val="ListBullet"/>
      </w:pPr>
      <w:r>
        <w:t>Currency: ZAR (Rand), shown as “R”.</w:t>
      </w:r>
    </w:p>
    <w:p>
      <w:pPr>
        <w:pStyle w:val="ListBullet"/>
      </w:pPr>
      <w:r>
        <w:t>Amounts: 2 decimal places (e.g. R27,500.00).</w:t>
      </w:r>
    </w:p>
    <w:p>
      <w:pPr>
        <w:pStyle w:val="ListBullet"/>
      </w:pPr>
      <w:r>
        <w:t>Rates: stored as decimals (e.g. 0.2000 = 20%).</w:t>
      </w:r>
    </w:p>
    <w:p>
      <w:pPr>
        <w:pStyle w:val="ListBullet"/>
      </w:pPr>
      <w:r>
        <w:t>Share price: 4 decimals (e.g. 150.0000).</w:t>
      </w:r>
    </w:p>
    <w:p>
      <w:pPr>
        <w:pStyle w:val="Heading1"/>
      </w:pPr>
      <w:r>
        <w:t>2) South Africa tax terms (CEO‑level)</w:t>
      </w:r>
    </w:p>
    <w:p>
      <w:pPr>
        <w:pStyle w:val="ListBullet"/>
      </w:pPr>
      <w:r>
        <w:t>DWT (Dividends Withholding Tax): withholding on dividends (demo rate: 0.2000 = 20%).</w:t>
      </w:r>
    </w:p>
    <w:p>
      <w:pPr>
        <w:pStyle w:val="ListBullet"/>
      </w:pPr>
      <w:r>
        <w:t>SARS tax directive: an instruction/approval from SARS to apply a specific tax rate for a transaction (often used for share sales / vesting flows).</w:t>
      </w:r>
    </w:p>
    <w:p>
      <w:pPr>
        <w:pStyle w:val="ListBullet"/>
      </w:pPr>
      <w:r>
        <w:t>Section 8C (common ESOP term): equity instrument vesting can trigger income tax; many admin workflows revolve around correct taxable values + evidence.</w:t>
      </w:r>
    </w:p>
    <w:p>
      <w:pPr>
        <w:pStyle w:val="ListBullet"/>
      </w:pPr>
      <w:r>
        <w:t>PAYE / IRP5 (integration-adjacent terms): payroll reporting artifacts commonly needed for employee tax reporting.</w:t>
      </w:r>
    </w:p>
    <w:p>
      <w:pPr>
        <w:pStyle w:val="ListBullet"/>
      </w:pPr>
      <w:r>
        <w:t>POPIA: sensitive personal data handling (e.g., SA ID numbers, bank details) must be secured and auditable.</w:t>
      </w:r>
    </w:p>
    <w:p>
      <w:pPr>
        <w:pStyle w:val="Heading1"/>
      </w:pPr>
      <w:r>
        <w:t>3) Example company (tenant)</w:t>
      </w:r>
    </w:p>
    <w:p>
      <w:pPr>
        <w:pStyle w:val="ListBullet"/>
      </w:pPr>
      <w:r>
        <w:t>Name: Ubuntu Industrial Holdings (Pty) Ltd (demo)</w:t>
      </w:r>
    </w:p>
    <w:p>
      <w:pPr>
        <w:pStyle w:val="ListBullet"/>
      </w:pPr>
      <w:r>
        <w:t>CIPC registration number: 2010/012345/07 (demo format)</w:t>
      </w:r>
    </w:p>
    <w:p>
      <w:pPr>
        <w:pStyle w:val="ListBullet"/>
      </w:pPr>
      <w:r>
        <w:t>SARS income tax number: 9876543210 (demo)</w:t>
      </w:r>
    </w:p>
    <w:p>
      <w:pPr>
        <w:pStyle w:val="ListBullet"/>
      </w:pPr>
      <w:r>
        <w:t>Scheme name: Ubuntu ESOP Trust</w:t>
      </w:r>
    </w:p>
    <w:p>
      <w:pPr>
        <w:pStyle w:val="ListBullet"/>
      </w:pPr>
      <w:r>
        <w:t>Trust name: Ubuntu Employee Share Trust</w:t>
      </w:r>
    </w:p>
    <w:p>
      <w:pPr>
        <w:pStyle w:val="ListBullet"/>
      </w:pPr>
      <w:r>
        <w:t>Trust bank account: 000123456789 (demo)</w:t>
      </w:r>
    </w:p>
    <w:p>
      <w:pPr>
        <w:pStyle w:val="ListBullet"/>
      </w:pPr>
      <w:r>
        <w:t>JSE fields (optional): use the in‑app JSE search to auto‑fill ticker/ISIN/sector from reference data.</w:t>
      </w:r>
    </w:p>
    <w:p>
      <w:pPr>
        <w:pStyle w:val="Heading1"/>
      </w:pPr>
      <w:r>
        <w:t>4) Example beneficiaries (register)</w:t>
      </w:r>
    </w:p>
    <w:p>
      <w:r>
        <w:t>Tip: Leave SA ID numbers blank in demos to avoid handling personal identifiers on video. Use an invalid ID only if you want to show validation errors.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Emp #</w:t>
            </w:r>
          </w:p>
        </w:tc>
        <w:tc>
          <w:tcPr>
            <w:tcW w:type="dxa" w:w="960"/>
          </w:tcPr>
          <w:p>
            <w:r>
              <w:t>First name</w:t>
            </w:r>
          </w:p>
        </w:tc>
        <w:tc>
          <w:tcPr>
            <w:tcW w:type="dxa" w:w="960"/>
          </w:tcPr>
          <w:p>
            <w:r>
              <w:t>Last name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Total</w:t>
            </w:r>
          </w:p>
        </w:tc>
        <w:tc>
          <w:tcPr>
            <w:tcW w:type="dxa" w:w="960"/>
          </w:tcPr>
          <w:p>
            <w:r>
              <w:t>Vested</w:t>
            </w:r>
          </w:p>
        </w:tc>
        <w:tc>
          <w:tcPr>
            <w:tcW w:type="dxa" w:w="960"/>
          </w:tcPr>
          <w:p>
            <w:r>
              <w:t>Unvested</w:t>
            </w:r>
          </w:p>
        </w:tc>
        <w:tc>
          <w:tcPr>
            <w:tcW w:type="dxa" w:w="960"/>
          </w:tcPr>
          <w:p>
            <w:r>
              <w:t>Bank</w:t>
            </w:r>
          </w:p>
        </w:tc>
        <w:tc>
          <w:tcPr>
            <w:tcW w:type="dxa" w:w="960"/>
          </w:tcPr>
          <w:p>
            <w:r>
              <w:t>Account # (demo)</w:t>
            </w:r>
          </w:p>
        </w:tc>
      </w:tr>
      <w:tr>
        <w:tc>
          <w:tcPr>
            <w:tcW w:type="dxa" w:w="960"/>
          </w:tcPr>
          <w:p>
            <w:r>
              <w:t>EMP-1001</w:t>
            </w:r>
          </w:p>
        </w:tc>
        <w:tc>
          <w:tcPr>
            <w:tcW w:type="dxa" w:w="960"/>
          </w:tcPr>
          <w:p>
            <w:r>
              <w:t>Zinhle</w:t>
            </w:r>
          </w:p>
        </w:tc>
        <w:tc>
          <w:tcPr>
            <w:tcW w:type="dxa" w:w="960"/>
          </w:tcPr>
          <w:p>
            <w:r>
              <w:t>Dlamini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1200</w:t>
            </w:r>
          </w:p>
        </w:tc>
        <w:tc>
          <w:tcPr>
            <w:tcW w:type="dxa" w:w="960"/>
          </w:tcPr>
          <w:p>
            <w:r>
              <w:t>300</w:t>
            </w:r>
          </w:p>
        </w:tc>
        <w:tc>
          <w:tcPr>
            <w:tcW w:type="dxa" w:w="960"/>
          </w:tcPr>
          <w:p>
            <w:r>
              <w:t>900</w:t>
            </w:r>
          </w:p>
        </w:tc>
        <w:tc>
          <w:tcPr>
            <w:tcW w:type="dxa" w:w="960"/>
          </w:tcPr>
          <w:p>
            <w:r>
              <w:t>Standard Bank</w:t>
            </w:r>
          </w:p>
        </w:tc>
        <w:tc>
          <w:tcPr>
            <w:tcW w:type="dxa" w:w="960"/>
          </w:tcPr>
          <w:p>
            <w:r>
              <w:t>000123456789</w:t>
            </w:r>
          </w:p>
        </w:tc>
      </w:tr>
      <w:tr>
        <w:tc>
          <w:tcPr>
            <w:tcW w:type="dxa" w:w="960"/>
          </w:tcPr>
          <w:p>
            <w:r>
              <w:t>EMP-1002</w:t>
            </w:r>
          </w:p>
        </w:tc>
        <w:tc>
          <w:tcPr>
            <w:tcW w:type="dxa" w:w="960"/>
          </w:tcPr>
          <w:p>
            <w:r>
              <w:t>Thabo</w:t>
            </w:r>
          </w:p>
        </w:tc>
        <w:tc>
          <w:tcPr>
            <w:tcW w:type="dxa" w:w="960"/>
          </w:tcPr>
          <w:p>
            <w:r>
              <w:t>Mokoena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2000</w:t>
            </w:r>
          </w:p>
        </w:tc>
        <w:tc>
          <w:tcPr>
            <w:tcW w:type="dxa" w:w="960"/>
          </w:tcPr>
          <w:p>
            <w:r>
              <w:t>800</w:t>
            </w:r>
          </w:p>
        </w:tc>
        <w:tc>
          <w:tcPr>
            <w:tcW w:type="dxa" w:w="960"/>
          </w:tcPr>
          <w:p>
            <w:r>
              <w:t>1200</w:t>
            </w:r>
          </w:p>
        </w:tc>
        <w:tc>
          <w:tcPr>
            <w:tcW w:type="dxa" w:w="960"/>
          </w:tcPr>
          <w:p>
            <w:r>
              <w:t>FNB</w:t>
            </w:r>
          </w:p>
        </w:tc>
        <w:tc>
          <w:tcPr>
            <w:tcW w:type="dxa" w:w="960"/>
          </w:tcPr>
          <w:p>
            <w:r>
              <w:t>000987654321</w:t>
            </w:r>
          </w:p>
        </w:tc>
      </w:tr>
      <w:tr>
        <w:tc>
          <w:tcPr>
            <w:tcW w:type="dxa" w:w="960"/>
          </w:tcPr>
          <w:p>
            <w:r>
              <w:t>EMP-1003</w:t>
            </w:r>
          </w:p>
        </w:tc>
        <w:tc>
          <w:tcPr>
            <w:tcW w:type="dxa" w:w="960"/>
          </w:tcPr>
          <w:p>
            <w:r>
              <w:t>Aisha</w:t>
            </w:r>
          </w:p>
        </w:tc>
        <w:tc>
          <w:tcPr>
            <w:tcW w:type="dxa" w:w="960"/>
          </w:tcPr>
          <w:p>
            <w:r>
              <w:t>Patel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1500</w:t>
            </w:r>
          </w:p>
        </w:tc>
        <w:tc>
          <w:tcPr>
            <w:tcW w:type="dxa" w:w="960"/>
          </w:tcPr>
          <w:p>
            <w:r>
              <w:t>500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Nedbank</w:t>
            </w:r>
          </w:p>
        </w:tc>
        <w:tc>
          <w:tcPr>
            <w:tcW w:type="dxa" w:w="960"/>
          </w:tcPr>
          <w:p>
            <w:r>
              <w:t>000111222333</w:t>
            </w:r>
          </w:p>
        </w:tc>
      </w:tr>
      <w:tr>
        <w:tc>
          <w:tcPr>
            <w:tcW w:type="dxa" w:w="960"/>
          </w:tcPr>
          <w:p>
            <w:r>
              <w:t>EMP-1004</w:t>
            </w:r>
          </w:p>
        </w:tc>
        <w:tc>
          <w:tcPr>
            <w:tcW w:type="dxa" w:w="960"/>
          </w:tcPr>
          <w:p>
            <w:r>
              <w:t>Pieter</w:t>
            </w:r>
          </w:p>
        </w:tc>
        <w:tc>
          <w:tcPr>
            <w:tcW w:type="dxa" w:w="960"/>
          </w:tcPr>
          <w:p>
            <w:r>
              <w:t>van Wyk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500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500</w:t>
            </w:r>
          </w:p>
        </w:tc>
        <w:tc>
          <w:tcPr>
            <w:tcW w:type="dxa" w:w="960"/>
          </w:tcPr>
          <w:p>
            <w:r>
              <w:t>Absa</w:t>
            </w:r>
          </w:p>
        </w:tc>
        <w:tc>
          <w:tcPr>
            <w:tcW w:type="dxa" w:w="960"/>
          </w:tcPr>
          <w:p>
            <w:r>
              <w:t>000444555666</w:t>
            </w:r>
          </w:p>
        </w:tc>
      </w:tr>
      <w:tr>
        <w:tc>
          <w:tcPr>
            <w:tcW w:type="dxa" w:w="960"/>
          </w:tcPr>
          <w:p>
            <w:r>
              <w:t>EMP-1005</w:t>
            </w:r>
          </w:p>
        </w:tc>
        <w:tc>
          <w:tcPr>
            <w:tcW w:type="dxa" w:w="960"/>
          </w:tcPr>
          <w:p>
            <w:r>
              <w:t>Lerato</w:t>
            </w:r>
          </w:p>
        </w:tc>
        <w:tc>
          <w:tcPr>
            <w:tcW w:type="dxa" w:w="960"/>
          </w:tcPr>
          <w:p>
            <w:r>
              <w:t>Ncube</w:t>
            </w:r>
          </w:p>
        </w:tc>
        <w:tc>
          <w:tcPr>
            <w:tcW w:type="dxa" w:w="960"/>
          </w:tcPr>
          <w:p>
            <w:r>
              <w:t>Terminated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800</w:t>
            </w:r>
          </w:p>
        </w:tc>
        <w:tc>
          <w:tcPr>
            <w:tcW w:type="dxa" w:w="960"/>
          </w:tcPr>
          <w:p>
            <w:r>
              <w:t>Capitec</w:t>
            </w:r>
          </w:p>
        </w:tc>
        <w:tc>
          <w:tcPr>
            <w:tcW w:type="dxa" w:w="960"/>
          </w:tcPr>
          <w:p>
            <w:r>
              <w:t>000777888999</w:t>
            </w:r>
          </w:p>
        </w:tc>
      </w:tr>
      <w:tr>
        <w:tc>
          <w:tcPr>
            <w:tcW w:type="dxa" w:w="960"/>
          </w:tcPr>
          <w:p>
            <w:r>
              <w:t>EMP-1006</w:t>
            </w:r>
          </w:p>
        </w:tc>
        <w:tc>
          <w:tcPr>
            <w:tcW w:type="dxa" w:w="960"/>
          </w:tcPr>
          <w:p>
            <w:r>
              <w:t>Sipho</w:t>
            </w:r>
          </w:p>
        </w:tc>
        <w:tc>
          <w:tcPr>
            <w:tcW w:type="dxa" w:w="960"/>
          </w:tcPr>
          <w:p>
            <w:r>
              <w:t>Khumalo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1800</w:t>
            </w:r>
          </w:p>
        </w:tc>
        <w:tc>
          <w:tcPr>
            <w:tcW w:type="dxa" w:w="960"/>
          </w:tcPr>
          <w:p>
            <w:r>
              <w:t>600</w:t>
            </w:r>
          </w:p>
        </w:tc>
        <w:tc>
          <w:tcPr>
            <w:tcW w:type="dxa" w:w="960"/>
          </w:tcPr>
          <w:p>
            <w:r>
              <w:t>1200</w:t>
            </w:r>
          </w:p>
        </w:tc>
        <w:tc>
          <w:tcPr>
            <w:tcW w:type="dxa" w:w="960"/>
          </w:tcPr>
          <w:p>
            <w:r>
              <w:t>Standard Bank</w:t>
            </w:r>
          </w:p>
        </w:tc>
        <w:tc>
          <w:tcPr>
            <w:tcW w:type="dxa" w:w="960"/>
          </w:tcPr>
          <w:p>
            <w:r>
              <w:t>000222333444</w:t>
            </w:r>
          </w:p>
        </w:tc>
      </w:tr>
    </w:tbl>
    <w:p>
      <w:pPr>
        <w:pStyle w:val="Heading1"/>
      </w:pPr>
      <w:r>
        <w:t>5) Dividend run — example inputs + expected outputs</w:t>
      </w:r>
    </w:p>
    <w:p>
      <w:pPr>
        <w:pStyle w:val="ListBullet"/>
      </w:pPr>
      <w:r>
        <w:t>Title: “FY2026 Interim Dividend (Demo)”</w:t>
      </w:r>
    </w:p>
    <w:p>
      <w:pPr>
        <w:pStyle w:val="ListBullet"/>
      </w:pPr>
      <w:r>
        <w:t>Dividend per share: R12.500000</w:t>
      </w:r>
    </w:p>
    <w:p>
      <w:pPr>
        <w:pStyle w:val="ListBullet"/>
      </w:pPr>
      <w:r>
        <w:t>DWT rate: 0.2000 (20%)</w:t>
      </w:r>
    </w:p>
    <w:p>
      <w:pPr>
        <w:pStyle w:val="ListBullet"/>
      </w:pPr>
      <w:r>
        <w:t>Record date: 2026‑02‑13</w:t>
      </w:r>
    </w:p>
    <w:p>
      <w:pPr>
        <w:pStyle w:val="ListBullet"/>
      </w:pPr>
      <w:r>
        <w:t>Payment date: 2026‑02‑20</w:t>
      </w:r>
    </w:p>
    <w:p>
      <w:pPr>
        <w:pStyle w:val="ListBullet"/>
      </w:pPr>
      <w:r>
        <w:t>Declaration date: 2026‑02‑10 (optional)</w:t>
      </w:r>
    </w:p>
    <w:p>
      <w:r>
        <w:t>Expected (based on eligible active vested shares = 2,200):</w:t>
      </w:r>
    </w:p>
    <w:p>
      <w:pPr>
        <w:pStyle w:val="ListBullet"/>
      </w:pPr>
      <w:r>
        <w:t>Total gross: R27,500.00</w:t>
      </w:r>
    </w:p>
    <w:p>
      <w:pPr>
        <w:pStyle w:val="ListBullet"/>
      </w:pPr>
      <w:r>
        <w:t>Total DWT: R5,500.00</w:t>
      </w:r>
    </w:p>
    <w:p>
      <w:pPr>
        <w:pStyle w:val="ListBullet"/>
      </w:pPr>
      <w:r>
        <w:t>Total net: R22,000.00</w:t>
      </w:r>
    </w:p>
    <w:p>
      <w:pPr>
        <w:pStyle w:val="ListBullet"/>
      </w:pPr>
      <w:r>
        <w:t>Allocations created: 4 (excludes vested_shares = 0; excludes non‑Active beneficiaries)</w:t>
      </w:r>
    </w:p>
    <w:p>
      <w:pPr>
        <w:pStyle w:val="Heading1"/>
      </w:pPr>
      <w:r>
        <w:t>6) Month‑end run — example inputs + expected outputs</w:t>
      </w:r>
    </w:p>
    <w:p>
      <w:pPr>
        <w:pStyle w:val="ListBullet"/>
      </w:pPr>
      <w:r>
        <w:t>Period: February 2026</w:t>
      </w:r>
    </w:p>
    <w:p>
      <w:pPr>
        <w:pStyle w:val="ListBullet"/>
      </w:pPr>
      <w:r>
        <w:t>Share price: R150.0000</w:t>
      </w:r>
    </w:p>
    <w:p>
      <w:pPr>
        <w:pStyle w:val="ListBullet"/>
      </w:pPr>
      <w:r>
        <w:t>Tax rate: 0.3500 (35%)</w:t>
      </w:r>
    </w:p>
    <w:p>
      <w:r>
        <w:t>Expected (based on eligible active vested shares = 2,200):</w:t>
      </w:r>
    </w:p>
    <w:p>
      <w:pPr>
        <w:pStyle w:val="ListBullet"/>
      </w:pPr>
      <w:r>
        <w:t>Total gross proceeds: R330,000.00</w:t>
      </w:r>
    </w:p>
    <w:p>
      <w:pPr>
        <w:pStyle w:val="ListBullet"/>
      </w:pPr>
      <w:r>
        <w:t>Total tax: R115,500.00</w:t>
      </w:r>
    </w:p>
    <w:p>
      <w:pPr>
        <w:pStyle w:val="ListBullet"/>
      </w:pPr>
      <w:r>
        <w:t>Total net proceeds: R214,500.00</w:t>
      </w:r>
    </w:p>
    <w:p>
      <w:pPr>
        <w:pStyle w:val="ListBullet"/>
      </w:pPr>
      <w:r>
        <w:t>Vesting events created: 4</w:t>
      </w:r>
    </w:p>
    <w:p>
      <w:pPr>
        <w:pStyle w:val="Heading1"/>
      </w:pPr>
      <w:r>
        <w:t>7) Integrations to reference (Phase 2 / roadmap language)</w:t>
      </w:r>
    </w:p>
    <w:p>
      <w:pPr>
        <w:pStyle w:val="ListBullet"/>
      </w:pPr>
      <w:r>
        <w:t>JSE reference data + enrichment: ticker/ISIN/sector + market data (share price / market cap).</w:t>
      </w:r>
    </w:p>
    <w:p>
      <w:pPr>
        <w:pStyle w:val="ListBullet"/>
      </w:pPr>
      <w:r>
        <w:t>SENS validation (conceptual): confirm dividend terms (dates, DPS) from announcements (not a live demo item unless integrated).</w:t>
      </w:r>
    </w:p>
    <w:p>
      <w:pPr>
        <w:pStyle w:val="ListBullet"/>
      </w:pPr>
      <w:r>
        <w:t>SARS: bulk tax directive submission + directive status tracking (pending/approved/declined).</w:t>
      </w:r>
    </w:p>
    <w:p>
      <w:pPr>
        <w:pStyle w:val="ListBullet"/>
      </w:pPr>
      <w:r>
        <w:t>Banking: EFT payment submission (file-based in Phase 1; API-based where available).</w:t>
      </w:r>
    </w:p>
    <w:p>
      <w:pPr>
        <w:pStyle w:val="ListBullet"/>
      </w:pPr>
      <w:r>
        <w:t>Payroll/HR: employee status changes (active/terminated) + IRP5/PAYE artifacts.</w:t>
      </w:r>
    </w:p>
    <w:p>
      <w:pPr>
        <w:pStyle w:val="ListBullet"/>
      </w:pPr>
      <w:r>
        <w:t>Broker (e.g. Velocity Trade): trade execution artifacts (trade schedules/contract notes) for reconciliation.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