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92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1856FF" w:rsidTr="001856FF">
        <w:trPr>
          <w:jc w:val="center"/>
        </w:trPr>
        <w:tc>
          <w:tcPr>
            <w:tcW w:w="4649" w:type="dxa"/>
          </w:tcPr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(címzett)</w:t>
            </w:r>
          </w:p>
        </w:tc>
        <w:tc>
          <w:tcPr>
            <w:tcW w:w="4649" w:type="dxa"/>
          </w:tcPr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Külső ügyszám</w:t>
            </w:r>
            <w:r w:rsidRPr="00C567CA">
              <w:rPr>
                <w:rFonts w:ascii="DINPro-Regular" w:hAnsi="DINPro-Regular"/>
              </w:rPr>
              <w:t>: (rendőrségi/bírósági szám)</w:t>
            </w:r>
          </w:p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Iktatási szám</w:t>
            </w:r>
            <w:r w:rsidRPr="00C567CA">
              <w:rPr>
                <w:rFonts w:ascii="DINPro-Regular" w:hAnsi="DINPro-Regular"/>
              </w:rPr>
              <w:t>: V: (X)/2025.</w:t>
            </w:r>
          </w:p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Tárgy</w:t>
            </w:r>
            <w:r w:rsidRPr="00C567CA">
              <w:rPr>
                <w:rFonts w:ascii="DINPro-Regular" w:hAnsi="DINPro-Regular"/>
              </w:rPr>
              <w:t xml:space="preserve">: </w:t>
            </w:r>
            <w:r w:rsidR="00515C2E" w:rsidRPr="00515C2E">
              <w:rPr>
                <w:rFonts w:ascii="DINPro-Regular" w:hAnsi="DINPro-Regular"/>
              </w:rPr>
              <w:t>Értesítés szakértői vizsgálatról</w:t>
            </w:r>
            <w:bookmarkStart w:id="0" w:name="_GoBack"/>
            <w:bookmarkEnd w:id="0"/>
          </w:p>
          <w:p w:rsidR="001856FF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Ügyintéző</w:t>
            </w:r>
            <w:r w:rsidRPr="00C567CA">
              <w:rPr>
                <w:rFonts w:ascii="DINPro-Regular" w:hAnsi="DINPro-Regular"/>
              </w:rPr>
              <w:t>: (</w:t>
            </w:r>
            <w:proofErr w:type="spellStart"/>
            <w:r w:rsidRPr="00C567CA">
              <w:rPr>
                <w:rFonts w:ascii="DINPro-Regular" w:hAnsi="DINPro-Regular"/>
              </w:rPr>
              <w:t>jkv.vezető</w:t>
            </w:r>
            <w:proofErr w:type="spellEnd"/>
            <w:r w:rsidRPr="00C567CA">
              <w:rPr>
                <w:rFonts w:ascii="DINPro-Regular" w:hAnsi="DINPro-Regular"/>
              </w:rPr>
              <w:t>)</w:t>
            </w:r>
          </w:p>
        </w:tc>
      </w:tr>
    </w:tbl>
    <w:p w:rsidR="001856FF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A (kirendelő hatóság) a (külső szám) szám alatt elrendelte igazságügyi szakértői vélemény elkészítését (név) ügyében.</w:t>
      </w:r>
    </w:p>
    <w:p w:rsidR="001856FF" w:rsidRPr="008D55F3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8D55F3" w:rsidRDefault="008D55F3" w:rsidP="008D55F3">
      <w:pPr>
        <w:spacing w:after="0" w:line="240" w:lineRule="auto"/>
        <w:jc w:val="both"/>
        <w:rPr>
          <w:rFonts w:ascii="DINPro-Regular" w:hAnsi="DINPro-Regular"/>
        </w:rPr>
      </w:pPr>
      <w:r w:rsidRPr="008D55F3">
        <w:rPr>
          <w:rFonts w:ascii="DINPro-Regular" w:hAnsi="DINPro-Regular"/>
        </w:rPr>
        <w:t>A szakértői vizsgálat elvégzéséhez szükséges az ÖN SZEMÉLYES MEGJELENÉSE</w:t>
      </w:r>
      <w:r>
        <w:rPr>
          <w:rFonts w:ascii="DINPro-Regular" w:hAnsi="DINPro-Regular"/>
        </w:rPr>
        <w:t>.</w:t>
      </w:r>
    </w:p>
    <w:p w:rsidR="008D55F3" w:rsidRPr="008D55F3" w:rsidRDefault="008D55F3" w:rsidP="008D55F3">
      <w:pPr>
        <w:spacing w:after="0" w:line="240" w:lineRule="auto"/>
        <w:jc w:val="both"/>
        <w:rPr>
          <w:rFonts w:ascii="DINPro-Regular" w:hAnsi="DINPro-Regular"/>
        </w:rPr>
      </w:pPr>
    </w:p>
    <w:p w:rsidR="008D55F3" w:rsidRPr="008D55F3" w:rsidRDefault="008D55F3" w:rsidP="008D55F3">
      <w:pPr>
        <w:spacing w:after="0" w:line="240" w:lineRule="auto"/>
        <w:jc w:val="both"/>
        <w:rPr>
          <w:rFonts w:ascii="DINPro-Regular" w:hAnsi="DINPro-Regular"/>
        </w:rPr>
      </w:pPr>
      <w:r w:rsidRPr="008D55F3">
        <w:rPr>
          <w:rFonts w:ascii="DINPro-Regular" w:hAnsi="DINPro-Regular"/>
        </w:rPr>
        <w:t xml:space="preserve">Kérjük, hogy Dr. </w:t>
      </w:r>
      <w:r>
        <w:rPr>
          <w:rFonts w:ascii="DINPro-Regular" w:hAnsi="DINPro-Regular"/>
        </w:rPr>
        <w:t>(név)</w:t>
      </w:r>
      <w:r w:rsidRPr="008D55F3">
        <w:rPr>
          <w:rFonts w:ascii="DINPro-Regular" w:hAnsi="DINPro-Regular"/>
        </w:rPr>
        <w:t xml:space="preserve"> </w:t>
      </w:r>
      <w:r>
        <w:rPr>
          <w:rFonts w:ascii="DINPro-Regular" w:hAnsi="DINPro-Regular"/>
        </w:rPr>
        <w:t>(</w:t>
      </w:r>
      <w:r w:rsidRPr="008D55F3">
        <w:rPr>
          <w:rFonts w:ascii="DINPro-Regular" w:hAnsi="DINPro-Regular"/>
        </w:rPr>
        <w:t>igazságügyi orvosszakértőnél</w:t>
      </w:r>
      <w:r>
        <w:rPr>
          <w:rFonts w:ascii="DINPro-Regular" w:hAnsi="DINPro-Regular"/>
        </w:rPr>
        <w:t>)</w:t>
      </w:r>
      <w:r w:rsidRPr="008D55F3">
        <w:rPr>
          <w:rFonts w:ascii="DINPro-Regular" w:hAnsi="DINPro-Regular"/>
        </w:rPr>
        <w:t xml:space="preserve"> jelenjen meg igazságügyi szakértői vizsgálaton </w:t>
      </w:r>
      <w:r>
        <w:rPr>
          <w:rFonts w:ascii="DINPro-Regular" w:hAnsi="DINPro-Regular"/>
        </w:rPr>
        <w:t>(</w:t>
      </w:r>
      <w:proofErr w:type="gramStart"/>
      <w:r>
        <w:rPr>
          <w:rFonts w:ascii="DINPro-Regular" w:hAnsi="DINPro-Regular"/>
        </w:rPr>
        <w:t>dátum</w:t>
      </w:r>
      <w:proofErr w:type="gramEnd"/>
      <w:r>
        <w:rPr>
          <w:rFonts w:ascii="DINPro-Regular" w:hAnsi="DINPro-Regular"/>
        </w:rPr>
        <w:t>, időpont)</w:t>
      </w:r>
      <w:r w:rsidRPr="008D55F3">
        <w:rPr>
          <w:rFonts w:ascii="DINPro-Regular" w:hAnsi="DINPro-Regular"/>
        </w:rPr>
        <w:t xml:space="preserve"> a Debreceni Egyetem, Klinikai Központ, Igazságügyi Orvostan vizsgálójában (Debrecen, Nagyerdei k</w:t>
      </w:r>
      <w:r>
        <w:rPr>
          <w:rFonts w:ascii="DINPro-Regular" w:hAnsi="DINPro-Regular"/>
        </w:rPr>
        <w:t>rt. 98., lásd mellékelt térkép)!</w:t>
      </w:r>
    </w:p>
    <w:p w:rsidR="008D55F3" w:rsidRPr="008D55F3" w:rsidRDefault="008D55F3" w:rsidP="008D55F3">
      <w:pPr>
        <w:spacing w:after="0" w:line="240" w:lineRule="auto"/>
        <w:jc w:val="both"/>
        <w:rPr>
          <w:rFonts w:ascii="DINPro-Regular" w:hAnsi="DINPro-Regular"/>
        </w:rPr>
      </w:pPr>
    </w:p>
    <w:p w:rsidR="008D55F3" w:rsidRPr="008D55F3" w:rsidRDefault="008D55F3" w:rsidP="008D55F3">
      <w:pPr>
        <w:spacing w:after="0" w:line="240" w:lineRule="auto"/>
        <w:jc w:val="both"/>
        <w:rPr>
          <w:rFonts w:ascii="DINPro-Regular" w:hAnsi="DINPro-Regular"/>
        </w:rPr>
      </w:pPr>
      <w:r w:rsidRPr="008D55F3">
        <w:rPr>
          <w:rFonts w:ascii="DINPro-Regular" w:hAnsi="DINPro-Regular"/>
        </w:rPr>
        <w:t>Kérjük a fenti időpont előtt 15 perccel az Ambulancia földszinti várójában megjelenni, és szólításáig türelmesen várakozni szíveskedjen!</w:t>
      </w:r>
    </w:p>
    <w:p w:rsidR="008D55F3" w:rsidRPr="008D55F3" w:rsidRDefault="008D55F3" w:rsidP="008D55F3">
      <w:pPr>
        <w:spacing w:after="0" w:line="240" w:lineRule="auto"/>
        <w:jc w:val="both"/>
        <w:rPr>
          <w:rFonts w:ascii="DINPro-Regular" w:hAnsi="DINPro-Regular"/>
        </w:rPr>
      </w:pPr>
    </w:p>
    <w:p w:rsidR="008D55F3" w:rsidRPr="008D55F3" w:rsidRDefault="008D55F3" w:rsidP="008D55F3">
      <w:pPr>
        <w:spacing w:after="0" w:line="240" w:lineRule="auto"/>
        <w:jc w:val="both"/>
        <w:rPr>
          <w:rFonts w:ascii="DINPro-Regular" w:hAnsi="DINPro-Regular"/>
        </w:rPr>
      </w:pPr>
      <w:r w:rsidRPr="008D55F3">
        <w:rPr>
          <w:rFonts w:ascii="DINPro-Regular" w:hAnsi="DINPro-Regular"/>
          <w:b/>
        </w:rPr>
        <w:t>Személyazonosításra alkalmas iratát</w:t>
      </w:r>
      <w:r w:rsidRPr="008D55F3">
        <w:rPr>
          <w:rFonts w:ascii="DINPro-Regular" w:hAnsi="DINPro-Regular"/>
        </w:rPr>
        <w:t xml:space="preserve">, a szedett gyógyszereiről </w:t>
      </w:r>
      <w:r w:rsidRPr="008D55F3">
        <w:rPr>
          <w:rFonts w:ascii="DINPro-Regular" w:hAnsi="DINPro-Regular"/>
          <w:b/>
        </w:rPr>
        <w:t>gyógyszerlistát</w:t>
      </w:r>
      <w:r w:rsidRPr="008D55F3">
        <w:rPr>
          <w:rFonts w:ascii="DINPro-Regular" w:hAnsi="DINPro-Regular"/>
        </w:rPr>
        <w:t xml:space="preserve">, valamint </w:t>
      </w:r>
      <w:r w:rsidRPr="008D55F3">
        <w:rPr>
          <w:rFonts w:ascii="DINPro-Regular" w:hAnsi="DINPro-Regular"/>
          <w:b/>
        </w:rPr>
        <w:t>betegségeire vonatkozó orvosi leleteit</w:t>
      </w:r>
      <w:r w:rsidRPr="008D55F3">
        <w:rPr>
          <w:rFonts w:ascii="DINPro-Regular" w:hAnsi="DINPro-Regular"/>
        </w:rPr>
        <w:t xml:space="preserve"> lehetőség szerint fénymásolatban hozza magával, időrendi sorrendben összekészítve!</w:t>
      </w:r>
    </w:p>
    <w:p w:rsidR="008D55F3" w:rsidRPr="008D55F3" w:rsidRDefault="008D55F3" w:rsidP="008D55F3">
      <w:pPr>
        <w:spacing w:after="0" w:line="240" w:lineRule="auto"/>
        <w:jc w:val="both"/>
        <w:rPr>
          <w:rFonts w:ascii="DINPro-Regular" w:hAnsi="DINPro-Regular"/>
        </w:rPr>
      </w:pPr>
    </w:p>
    <w:p w:rsidR="008D55F3" w:rsidRPr="008D55F3" w:rsidRDefault="008D55F3" w:rsidP="008D55F3">
      <w:pPr>
        <w:spacing w:after="0" w:line="240" w:lineRule="auto"/>
        <w:jc w:val="both"/>
        <w:rPr>
          <w:rFonts w:ascii="DINPro-Regular" w:hAnsi="DINPro-Regular"/>
        </w:rPr>
      </w:pPr>
      <w:r w:rsidRPr="008D55F3">
        <w:rPr>
          <w:rFonts w:ascii="DINPro-Regular" w:hAnsi="DINPro-Regular"/>
        </w:rPr>
        <w:t>Megjelenésének esetleges akadályát kérjük, időben közölje!</w:t>
      </w:r>
    </w:p>
    <w:p w:rsidR="008D55F3" w:rsidRPr="008D55F3" w:rsidRDefault="008D55F3" w:rsidP="008D55F3">
      <w:pPr>
        <w:spacing w:after="0" w:line="240" w:lineRule="auto"/>
        <w:jc w:val="both"/>
        <w:rPr>
          <w:rFonts w:ascii="DINPro-Regular" w:hAnsi="DINPro-Regular"/>
        </w:rPr>
      </w:pPr>
    </w:p>
    <w:p w:rsidR="008D55F3" w:rsidRPr="008D55F3" w:rsidRDefault="008D55F3" w:rsidP="008D55F3">
      <w:pPr>
        <w:spacing w:after="0" w:line="240" w:lineRule="auto"/>
        <w:jc w:val="both"/>
        <w:rPr>
          <w:rFonts w:ascii="DINPro-Regular" w:hAnsi="DINPro-Regular"/>
        </w:rPr>
      </w:pPr>
      <w:r w:rsidRPr="008D55F3">
        <w:rPr>
          <w:rFonts w:ascii="DINPro-Regular" w:hAnsi="DINPro-Regular"/>
        </w:rPr>
        <w:t>A kijelölt szakértőre vagy az intézet igazgatójára vonatkozó kizáró ok fennállását intézetünkben vagy az elrendelő hatóságnál jelentheti be (2016. évi XXIX. törvény az igazságügyi szakértőktől 34. § (3) bekezdés).</w:t>
      </w:r>
    </w:p>
    <w:p w:rsidR="008D55F3" w:rsidRPr="008D55F3" w:rsidRDefault="008D55F3" w:rsidP="008D55F3">
      <w:pPr>
        <w:spacing w:after="0" w:line="240" w:lineRule="auto"/>
        <w:jc w:val="both"/>
        <w:rPr>
          <w:rFonts w:ascii="DINPro-Regular" w:hAnsi="DINPro-Regular"/>
        </w:rPr>
      </w:pPr>
    </w:p>
    <w:p w:rsidR="008D55F3" w:rsidRPr="008D55F3" w:rsidRDefault="008D55F3" w:rsidP="008D55F3">
      <w:pPr>
        <w:spacing w:after="0" w:line="240" w:lineRule="auto"/>
        <w:jc w:val="both"/>
        <w:rPr>
          <w:rFonts w:ascii="DINPro-Regular" w:hAnsi="DINPro-Regular"/>
        </w:rPr>
      </w:pPr>
      <w:r w:rsidRPr="008D55F3">
        <w:rPr>
          <w:rFonts w:ascii="DINPro-Regular" w:hAnsi="DINPro-Regular"/>
        </w:rPr>
        <w:t xml:space="preserve">Hazautazáshoz utazási utalványt biztosítani nem tudunk. Az igazságügyi orvosszakértői vizsgálat nem minősül orvosi vizsgálatnak, a társadalombiztosítás nem </w:t>
      </w:r>
      <w:proofErr w:type="gramStart"/>
      <w:r w:rsidRPr="008D55F3">
        <w:rPr>
          <w:rFonts w:ascii="DINPro-Regular" w:hAnsi="DINPro-Regular"/>
        </w:rPr>
        <w:t>finanszírozza</w:t>
      </w:r>
      <w:proofErr w:type="gramEnd"/>
      <w:r w:rsidRPr="008D55F3">
        <w:rPr>
          <w:rFonts w:ascii="DINPro-Regular" w:hAnsi="DINPro-Regular"/>
        </w:rPr>
        <w:t xml:space="preserve">. Mentő gépjárművel történő szállítást a vizsgálatot kirendelő szervnél kell engedélyeztetni, </w:t>
      </w:r>
      <w:proofErr w:type="gramStart"/>
      <w:r w:rsidRPr="008D55F3">
        <w:rPr>
          <w:rFonts w:ascii="DINPro-Regular" w:hAnsi="DINPro-Regular"/>
        </w:rPr>
        <w:t>finanszíroztatni</w:t>
      </w:r>
      <w:proofErr w:type="gramEnd"/>
      <w:r w:rsidRPr="008D55F3">
        <w:rPr>
          <w:rFonts w:ascii="DINPro-Regular" w:hAnsi="DINPro-Regular"/>
        </w:rPr>
        <w:t xml:space="preserve"> (1997. évi LXXXIII. törvény a kötelező egészségbiztosítás ellátásairól 22. § (1) bekezdés).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Debrecen, (</w:t>
      </w:r>
      <w:proofErr w:type="gramStart"/>
      <w:r w:rsidRPr="00C567CA">
        <w:rPr>
          <w:rFonts w:ascii="DINPro-Regular" w:hAnsi="DINPro-Regular"/>
        </w:rPr>
        <w:t>dátum</w:t>
      </w:r>
      <w:proofErr w:type="gramEnd"/>
      <w:r w:rsidRPr="00C567CA">
        <w:rPr>
          <w:rFonts w:ascii="DINPro-Regular" w:hAnsi="DINPro-Regular"/>
        </w:rPr>
        <w:t>)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jc w:val="center"/>
        <w:rPr>
          <w:rFonts w:ascii="DINPro-Regular" w:hAnsi="DINPro-Regular"/>
        </w:rPr>
      </w:pPr>
      <w:r>
        <w:rPr>
          <w:rFonts w:ascii="DINPro-Regular" w:hAnsi="DINPro-Regular"/>
        </w:rPr>
        <w:t>Tisztelettel,</w:t>
      </w: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56FF" w:rsidTr="001856FF">
        <w:trPr>
          <w:jc w:val="center"/>
        </w:trPr>
        <w:tc>
          <w:tcPr>
            <w:tcW w:w="4531" w:type="dxa"/>
          </w:tcPr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</w:p>
        </w:tc>
        <w:tc>
          <w:tcPr>
            <w:tcW w:w="4531" w:type="dxa"/>
            <w:vAlign w:val="center"/>
          </w:tcPr>
          <w:p w:rsidR="001856FF" w:rsidRPr="001856FF" w:rsidRDefault="001856FF" w:rsidP="001856FF">
            <w:pPr>
              <w:jc w:val="center"/>
              <w:rPr>
                <w:rFonts w:ascii="DINPro-Regular" w:hAnsi="DINPro-Regular"/>
                <w:b/>
              </w:rPr>
            </w:pPr>
            <w:r w:rsidRPr="001856FF">
              <w:rPr>
                <w:rFonts w:ascii="DINPro-Regular" w:hAnsi="DINPro-Regular"/>
                <w:b/>
              </w:rPr>
              <w:t>Dr. (név)</w:t>
            </w:r>
          </w:p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</w:rPr>
              <w:t>(igazságügyi orvosszakértő)</w:t>
            </w:r>
          </w:p>
        </w:tc>
      </w:tr>
    </w:tbl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  <w:proofErr w:type="spellStart"/>
      <w:r>
        <w:rPr>
          <w:rFonts w:ascii="DINPro-Regular" w:hAnsi="DINPro-Regular"/>
        </w:rPr>
        <w:t>Ellenjegyezte</w:t>
      </w:r>
      <w:proofErr w:type="spellEnd"/>
      <w:r>
        <w:rPr>
          <w:rFonts w:ascii="DINPro-Regular" w:hAnsi="DINPro-Regular"/>
        </w:rPr>
        <w:t>:</w:t>
      </w: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56FF" w:rsidTr="0048041E">
        <w:trPr>
          <w:jc w:val="center"/>
        </w:trPr>
        <w:tc>
          <w:tcPr>
            <w:tcW w:w="4531" w:type="dxa"/>
          </w:tcPr>
          <w:p w:rsidR="001856FF" w:rsidRPr="001856FF" w:rsidRDefault="001856FF" w:rsidP="001856FF">
            <w:pPr>
              <w:jc w:val="center"/>
              <w:rPr>
                <w:rFonts w:ascii="DINPro-Regular" w:hAnsi="DINPro-Regular"/>
                <w:b/>
              </w:rPr>
            </w:pPr>
            <w:r w:rsidRPr="001856FF">
              <w:rPr>
                <w:rFonts w:ascii="DINPro-Regular" w:hAnsi="DINPro-Regular"/>
                <w:b/>
              </w:rPr>
              <w:t>Dr. Gergely Péter</w:t>
            </w:r>
          </w:p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intézetigazgató</w:t>
            </w:r>
          </w:p>
        </w:tc>
        <w:tc>
          <w:tcPr>
            <w:tcW w:w="4531" w:type="dxa"/>
            <w:vAlign w:val="center"/>
          </w:tcPr>
          <w:p w:rsidR="001856FF" w:rsidRDefault="001856FF" w:rsidP="0048041E">
            <w:pPr>
              <w:jc w:val="center"/>
              <w:rPr>
                <w:rFonts w:ascii="DINPro-Regular" w:hAnsi="DINPro-Regular"/>
              </w:rPr>
            </w:pPr>
          </w:p>
        </w:tc>
      </w:tr>
    </w:tbl>
    <w:p w:rsidR="000B7630" w:rsidRDefault="000B7630" w:rsidP="009111A3">
      <w:pPr>
        <w:spacing w:after="0" w:line="240" w:lineRule="auto"/>
        <w:rPr>
          <w:rFonts w:ascii="DINPro-Regular" w:hAnsi="DINPro-Regular"/>
        </w:rPr>
      </w:pPr>
    </w:p>
    <w:p w:rsidR="008D55F3" w:rsidRDefault="008D55F3" w:rsidP="009111A3">
      <w:pPr>
        <w:spacing w:after="0" w:line="240" w:lineRule="auto"/>
        <w:rPr>
          <w:rFonts w:ascii="DINPro-Regular" w:hAnsi="DINPro-Regular"/>
        </w:rPr>
      </w:pPr>
      <w:r>
        <w:rPr>
          <w:rFonts w:ascii="DINPro-Regular" w:hAnsi="DINPro-Regular"/>
          <w:noProof/>
          <w:color w:val="FF0000"/>
          <w:sz w:val="20"/>
          <w:szCs w:val="20"/>
          <w:lang w:eastAsia="hu-HU"/>
        </w:rPr>
        <w:drawing>
          <wp:inline distT="0" distB="0" distL="0" distR="0">
            <wp:extent cx="5760720" cy="5760720"/>
            <wp:effectExtent l="0" t="0" r="0" b="0"/>
            <wp:docPr id="3" name="Kép 3" descr="ma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5F3" w:rsidSect="00C567CA">
      <w:foot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8E" w:rsidRDefault="00EC258E" w:rsidP="00EC258E">
      <w:pPr>
        <w:spacing w:after="0" w:line="240" w:lineRule="auto"/>
      </w:pPr>
      <w:r>
        <w:separator/>
      </w:r>
    </w:p>
  </w:endnote>
  <w:end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DINPro-Regular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Bold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9662559"/>
      <w:docPartObj>
        <w:docPartGallery w:val="Page Numbers (Bottom of Page)"/>
        <w:docPartUnique/>
      </w:docPartObj>
    </w:sdtPr>
    <w:sdtEndPr>
      <w:rPr>
        <w:rFonts w:ascii="DINPro-Regular" w:hAnsi="DINPro-Regular"/>
      </w:rPr>
    </w:sdtEndPr>
    <w:sdtContent>
      <w:p w:rsidR="000B7630" w:rsidRPr="000B7630" w:rsidRDefault="000B7630">
        <w:pPr>
          <w:pStyle w:val="llb"/>
          <w:jc w:val="center"/>
          <w:rPr>
            <w:rFonts w:ascii="DINPro-Regular" w:hAnsi="DINPro-Regular"/>
          </w:rPr>
        </w:pPr>
        <w:r w:rsidRPr="000B7630">
          <w:rPr>
            <w:rFonts w:ascii="DINPro-Regular" w:hAnsi="DINPro-Regular"/>
          </w:rPr>
          <w:fldChar w:fldCharType="begin"/>
        </w:r>
        <w:r w:rsidRPr="000B7630">
          <w:rPr>
            <w:rFonts w:ascii="DINPro-Regular" w:hAnsi="DINPro-Regular"/>
          </w:rPr>
          <w:instrText>PAGE   \* MERGEFORMAT</w:instrText>
        </w:r>
        <w:r w:rsidRPr="000B7630">
          <w:rPr>
            <w:rFonts w:ascii="DINPro-Regular" w:hAnsi="DINPro-Regular"/>
          </w:rPr>
          <w:fldChar w:fldCharType="separate"/>
        </w:r>
        <w:r w:rsidR="008D55F3">
          <w:rPr>
            <w:rFonts w:ascii="DINPro-Regular" w:hAnsi="DINPro-Regular"/>
            <w:noProof/>
          </w:rPr>
          <w:t>2</w:t>
        </w:r>
        <w:r w:rsidRPr="000B7630">
          <w:rPr>
            <w:rFonts w:ascii="DINPro-Regular" w:hAnsi="DINPro-Regul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8E" w:rsidRDefault="00EC258E" w:rsidP="00EC258E">
      <w:pPr>
        <w:spacing w:after="0" w:line="240" w:lineRule="auto"/>
      </w:pPr>
      <w:r>
        <w:separator/>
      </w:r>
    </w:p>
  </w:footnote>
  <w:foot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3873"/>
      <w:gridCol w:w="4961"/>
    </w:tblGrid>
    <w:tr w:rsidR="00C567CA" w:rsidTr="001856FF">
      <w:trPr>
        <w:trHeight w:val="1134"/>
        <w:jc w:val="center"/>
      </w:trPr>
      <w:tc>
        <w:tcPr>
          <w:tcW w:w="1656" w:type="dxa"/>
          <w:vAlign w:val="center"/>
        </w:tcPr>
        <w:p w:rsidR="00C567CA" w:rsidRDefault="00C567CA" w:rsidP="00C567CA">
          <w:pPr>
            <w:pStyle w:val="lfej"/>
            <w:jc w:val="center"/>
          </w:pPr>
          <w:r w:rsidRPr="009111A3">
            <w:rPr>
              <w:noProof/>
              <w:lang w:eastAsia="hu-HU"/>
            </w:rPr>
            <w:drawing>
              <wp:inline distT="0" distB="0" distL="0" distR="0" wp14:anchorId="30D31171" wp14:editId="2C50D872">
                <wp:extent cx="909524" cy="900000"/>
                <wp:effectExtent l="0" t="0" r="5080" b="0"/>
                <wp:docPr id="1" name="Kép 1" descr="K:\IKTATAS2.0\000remake\assets\de-cimer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IKTATAS2.0\000remake\assets\de-cimer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524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3" w:type="dxa"/>
          <w:tcBorders>
            <w:bottom w:val="single" w:sz="18" w:space="0" w:color="595959" w:themeColor="text1" w:themeTint="A6"/>
          </w:tcBorders>
          <w:vAlign w:val="center"/>
        </w:tcPr>
        <w:p w:rsidR="00C567CA" w:rsidRDefault="00C567CA" w:rsidP="001856FF">
          <w:pPr>
            <w:pStyle w:val="lfej"/>
          </w:pPr>
          <w:r w:rsidRPr="009111A3">
            <w:rPr>
              <w:noProof/>
              <w:lang w:eastAsia="hu-HU"/>
            </w:rPr>
            <w:drawing>
              <wp:inline distT="0" distB="0" distL="0" distR="0" wp14:anchorId="348C5053" wp14:editId="05F261DD">
                <wp:extent cx="1726190" cy="900000"/>
                <wp:effectExtent l="0" t="0" r="7620" b="0"/>
                <wp:docPr id="2" name="Kép 2" descr="K:\IKTATAS2.0\000remake\assets\de-felirat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:\IKTATAS2.0\000remake\assets\de-felirat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619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bottom w:val="single" w:sz="18" w:space="0" w:color="595959" w:themeColor="text1" w:themeTint="A6"/>
          </w:tcBorders>
          <w:vAlign w:val="center"/>
        </w:tcPr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DEBRECENI EGYETEM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KK IGAZSÁGÜGYI ORVOSTAN /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ÁOK IGAZSÁGÜGYI ORVOSTANI INTÉZET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H-4002 Debrecen, Pf.: 400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Tel/fax: 52/255-865, e-mail: igazságügy@med.unideb.hu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20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Hivatali kapu rövid név: UNIDEBKKIO, KRID: 362157753</w:t>
          </w:r>
        </w:p>
      </w:tc>
    </w:tr>
  </w:tbl>
  <w:p w:rsidR="00C567CA" w:rsidRPr="00C567CA" w:rsidRDefault="00C567CA">
    <w:pPr>
      <w:pStyle w:val="lfej"/>
      <w:rPr>
        <w:rFonts w:ascii="DINPro-Regular" w:hAnsi="DINPro-Regul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34158"/>
    <w:multiLevelType w:val="hybridMultilevel"/>
    <w:tmpl w:val="FEE8CC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E"/>
    <w:rsid w:val="000B12A4"/>
    <w:rsid w:val="000B7630"/>
    <w:rsid w:val="000C4732"/>
    <w:rsid w:val="001856FF"/>
    <w:rsid w:val="00515C2E"/>
    <w:rsid w:val="008D55F3"/>
    <w:rsid w:val="009111A3"/>
    <w:rsid w:val="00913A91"/>
    <w:rsid w:val="00C567CA"/>
    <w:rsid w:val="00DC2ABB"/>
    <w:rsid w:val="00EC258E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4E9700F3"/>
  <w15:chartTrackingRefBased/>
  <w15:docId w15:val="{52EA93E4-CC68-4D6E-B017-CA9A9B5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258E"/>
  </w:style>
  <w:style w:type="paragraph" w:styleId="llb">
    <w:name w:val="footer"/>
    <w:basedOn w:val="Norml"/>
    <w:link w:val="llb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258E"/>
  </w:style>
  <w:style w:type="table" w:styleId="Rcsostblzat">
    <w:name w:val="Table Grid"/>
    <w:basedOn w:val="Normltblzat"/>
    <w:uiPriority w:val="39"/>
    <w:rsid w:val="0091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9111A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85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Németi Balázs</cp:lastModifiedBy>
  <cp:revision>2</cp:revision>
  <dcterms:created xsi:type="dcterms:W3CDTF">2025-09-18T13:12:00Z</dcterms:created>
  <dcterms:modified xsi:type="dcterms:W3CDTF">2025-09-18T13:12:00Z</dcterms:modified>
</cp:coreProperties>
</file>