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rFonts w:ascii="Calibri" w:hAnsi="Calibri"/>
          <w:b/>
          <w:color w:val="1F3A60"/>
          <w:sz w:val="44"/>
        </w:rPr>
        <w:t>Resource Command: Geopolitical Positioning &amp; Sovereign Infrastructure</w:t>
      </w:r>
    </w:p>
    <w:p>
      <w:pPr>
        <w:spacing w:before="80" w:after="120" w:line="276" w:lineRule="auto"/>
      </w:pPr>
      <w:r>
        <w:rPr>
          <w:rFonts w:ascii="Calibri" w:hAnsi="Calibri"/>
          <w:color w:val="2C2C2C"/>
          <w:sz w:val="22"/>
        </w:rPr>
        <w:t xml:space="preserve">This document synthesizes the high-stakes geopolitical landscape of the DRC/Zambia Copperbelt (specifically the Lobito vs. TAZARA corridor rivalry) and outlines how </w:t>
      </w:r>
      <w:r>
        <w:rPr>
          <w:rFonts w:ascii="Calibri" w:hAnsi="Calibri"/>
          <w:b/>
          <w:color w:val="2C2C2C"/>
          <w:sz w:val="22"/>
        </w:rPr>
        <w:t>Resource Command's Zero-Knowledge Proof (ZKP) Architecture</w:t>
      </w:r>
      <w:r>
        <w:rPr>
          <w:rFonts w:ascii="Calibri" w:hAnsi="Calibri"/>
          <w:color w:val="2C2C2C"/>
          <w:sz w:val="22"/>
        </w:rPr>
        <w:t xml:space="preserve"> serves as the definitive trustless buffer in a modern Thucydides Trap.</w:t>
      </w:r>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1. The Geopolitical Battlefield: Lobito vs. TAZARA</w:t>
      </w:r>
    </w:p>
    <w:p>
      <w:pPr>
        <w:spacing w:before="80" w:after="120" w:line="276" w:lineRule="auto"/>
      </w:pPr>
      <w:r>
        <w:rPr>
          <w:rFonts w:ascii="Calibri" w:hAnsi="Calibri"/>
          <w:color w:val="2C2C2C"/>
          <w:sz w:val="22"/>
        </w:rPr>
        <w:t>The DRC/Zambia Copperbelt is the primary logistical arena of the US-China critical minerals cold war. The competition is structured as a dual-spine logistical tug-of-war:</w:t>
      </w:r>
    </w:p>
    <w:p>
      <w:pPr>
        <w:spacing w:before="240" w:after="120"/>
      </w:pPr>
      <w:r>
        <w:rPr>
          <w:rFonts w:ascii="Calibri" w:hAnsi="Calibri"/>
          <w:b/>
          <w:color w:val="601F1F"/>
          <w:sz w:val="26"/>
        </w:rPr>
        <w:t>The Strategic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F3A60"/>
            <w:tcMar>
              <w:top w:w="100" w:type="dxa"/>
              <w:bottom w:w="100" w:type="dxa"/>
              <w:left w:w="150" w:type="dxa"/>
              <w:right w:w="150" w:type="dxa"/>
            </w:tcMar>
          </w:tcPr>
          <w:p>
            <w:pPr>
              <w:spacing w:before="120" w:after="120"/>
            </w:pPr>
            <w:r>
              <w:rPr>
                <w:rFonts w:ascii="Calibri" w:hAnsi="Calibri"/>
                <w:b/>
                <w:color w:val="FFFFFF"/>
              </w:rPr>
              <w:t>Geopolitical Axis</w:t>
            </w:r>
          </w:p>
        </w:tc>
        <w:tc>
          <w:tcPr>
            <w:tcW w:type="dxa" w:w="3120"/>
            <w:shd w:fill="1F3A60"/>
            <w:tcMar>
              <w:top w:w="100" w:type="dxa"/>
              <w:bottom w:w="100" w:type="dxa"/>
              <w:left w:w="150" w:type="dxa"/>
              <w:right w:w="150" w:type="dxa"/>
            </w:tcMar>
          </w:tcPr>
          <w:p>
            <w:pPr>
              <w:spacing w:before="120" w:after="120"/>
            </w:pPr>
            <w:r>
              <w:rPr>
                <w:rFonts w:ascii="Calibri" w:hAnsi="Calibri"/>
                <w:b/>
                <w:color w:val="FFFFFF"/>
              </w:rPr>
              <w:t>US-Backed Lobito Corridor (Westbound)</w:t>
            </w:r>
          </w:p>
        </w:tc>
        <w:tc>
          <w:tcPr>
            <w:tcW w:type="dxa" w:w="3120"/>
            <w:shd w:fill="1F3A60"/>
            <w:tcMar>
              <w:top w:w="100" w:type="dxa"/>
              <w:bottom w:w="100" w:type="dxa"/>
              <w:left w:w="150" w:type="dxa"/>
              <w:right w:w="150" w:type="dxa"/>
            </w:tcMar>
          </w:tcPr>
          <w:p>
            <w:pPr>
              <w:spacing w:before="120" w:after="120"/>
            </w:pPr>
            <w:r>
              <w:rPr>
                <w:rFonts w:ascii="Calibri" w:hAnsi="Calibri"/>
                <w:b/>
                <w:color w:val="FFFFFF"/>
              </w:rPr>
              <w:t>Chinese-Backed TAZARA Corridor (Eastbound)</w:t>
            </w:r>
          </w:p>
        </w:tc>
      </w:tr>
      <w:tr>
        <w:tc>
          <w:tcPr>
            <w:tcW w:type="dxa" w:w="3120"/>
            <w:shd w:fill="F4F6F9"/>
            <w:tcMar>
              <w:top w:w="100" w:type="dxa"/>
              <w:bottom w:w="100" w:type="dxa"/>
              <w:left w:w="150" w:type="dxa"/>
              <w:right w:w="150" w:type="dxa"/>
            </w:tcMar>
          </w:tcPr>
          <w:p>
            <w:pPr>
              <w:spacing w:before="120" w:after="120"/>
            </w:pPr>
            <w:r>
              <w:rPr>
                <w:rFonts w:ascii="Calibri" w:hAnsi="Calibri"/>
                <w:color w:val="2C2C2C"/>
              </w:rPr>
              <w:t>Geographic Target</w:t>
            </w:r>
          </w:p>
        </w:tc>
        <w:tc>
          <w:tcPr>
            <w:tcW w:type="dxa" w:w="3120"/>
            <w:shd w:fill="F4F6F9"/>
            <w:tcMar>
              <w:top w:w="100" w:type="dxa"/>
              <w:bottom w:w="100" w:type="dxa"/>
              <w:left w:w="150" w:type="dxa"/>
              <w:right w:w="150" w:type="dxa"/>
            </w:tcMar>
          </w:tcPr>
          <w:p>
            <w:pPr>
              <w:spacing w:before="120" w:after="120"/>
            </w:pPr>
            <w:r>
              <w:rPr>
                <w:rFonts w:ascii="Calibri" w:hAnsi="Calibri"/>
                <w:color w:val="2C2C2C"/>
              </w:rPr>
              <w:t>Port of Lobito, Angola (Atlantic access to EU/US)</w:t>
            </w:r>
          </w:p>
        </w:tc>
        <w:tc>
          <w:tcPr>
            <w:tcW w:type="dxa" w:w="3120"/>
            <w:shd w:fill="F4F6F9"/>
            <w:tcMar>
              <w:top w:w="100" w:type="dxa"/>
              <w:bottom w:w="100" w:type="dxa"/>
              <w:left w:w="150" w:type="dxa"/>
              <w:right w:w="150" w:type="dxa"/>
            </w:tcMar>
          </w:tcPr>
          <w:p>
            <w:pPr>
              <w:spacing w:before="120" w:after="120"/>
            </w:pPr>
            <w:r>
              <w:rPr>
                <w:rFonts w:ascii="Calibri" w:hAnsi="Calibri"/>
                <w:color w:val="2C2C2C"/>
              </w:rPr>
              <w:t>Port of Dar es Salaam, Tanzania (Indian Ocean access)</w:t>
            </w:r>
          </w:p>
        </w:tc>
      </w:tr>
      <w:tr>
        <w:tc>
          <w:tcPr>
            <w:tcW w:type="dxa" w:w="3120"/>
            <w:tcMar>
              <w:top w:w="100" w:type="dxa"/>
              <w:bottom w:w="100" w:type="dxa"/>
              <w:left w:w="150" w:type="dxa"/>
              <w:right w:w="150" w:type="dxa"/>
            </w:tcMar>
          </w:tcPr>
          <w:p>
            <w:pPr>
              <w:spacing w:before="120" w:after="120"/>
            </w:pPr>
            <w:r>
              <w:rPr>
                <w:rFonts w:ascii="Calibri" w:hAnsi="Calibri"/>
                <w:color w:val="2C2C2C"/>
              </w:rPr>
              <w:t>Core Advantage</w:t>
            </w:r>
          </w:p>
        </w:tc>
        <w:tc>
          <w:tcPr>
            <w:tcW w:type="dxa" w:w="3120"/>
            <w:tcMar>
              <w:top w:w="100" w:type="dxa"/>
              <w:bottom w:w="100" w:type="dxa"/>
              <w:left w:w="150" w:type="dxa"/>
              <w:right w:w="150" w:type="dxa"/>
            </w:tcMar>
          </w:tcPr>
          <w:p>
            <w:pPr>
              <w:spacing w:before="120" w:after="120"/>
            </w:pPr>
            <w:r>
              <w:rPr>
                <w:rFonts w:ascii="Calibri" w:hAnsi="Calibri"/>
                <w:color w:val="2C2C2C"/>
              </w:rPr>
              <w:t>Blended G7/EU public-private finance, faster transit to Western ports.</w:t>
            </w:r>
          </w:p>
        </w:tc>
        <w:tc>
          <w:tcPr>
            <w:tcW w:type="dxa" w:w="3120"/>
            <w:tcMar>
              <w:top w:w="100" w:type="dxa"/>
              <w:bottom w:w="100" w:type="dxa"/>
              <w:left w:w="150" w:type="dxa"/>
              <w:right w:w="150" w:type="dxa"/>
            </w:tcMar>
          </w:tcPr>
          <w:p>
            <w:pPr>
              <w:spacing w:before="120" w:after="120"/>
            </w:pPr>
            <w:r>
              <w:rPr>
                <w:rFonts w:ascii="Calibri" w:hAnsi="Calibri"/>
                <w:color w:val="2C2C2C"/>
              </w:rPr>
              <w:t>Entrenched mine ownership, turnkey construction capacity, road integration.</w:t>
            </w:r>
          </w:p>
        </w:tc>
      </w:tr>
      <w:tr>
        <w:tc>
          <w:tcPr>
            <w:tcW w:type="dxa" w:w="3120"/>
            <w:shd w:fill="F4F6F9"/>
            <w:tcMar>
              <w:top w:w="100" w:type="dxa"/>
              <w:bottom w:w="100" w:type="dxa"/>
              <w:left w:w="150" w:type="dxa"/>
              <w:right w:w="150" w:type="dxa"/>
            </w:tcMar>
          </w:tcPr>
          <w:p>
            <w:pPr>
              <w:spacing w:before="120" w:after="120"/>
            </w:pPr>
            <w:r>
              <w:rPr>
                <w:rFonts w:ascii="Calibri" w:hAnsi="Calibri"/>
                <w:color w:val="2C2C2C"/>
              </w:rPr>
              <w:t>Vulnerability</w:t>
            </w:r>
          </w:p>
        </w:tc>
        <w:tc>
          <w:tcPr>
            <w:tcW w:type="dxa" w:w="3120"/>
            <w:shd w:fill="F4F6F9"/>
            <w:tcMar>
              <w:top w:w="100" w:type="dxa"/>
              <w:bottom w:w="100" w:type="dxa"/>
              <w:left w:w="150" w:type="dxa"/>
              <w:right w:w="150" w:type="dxa"/>
            </w:tcMar>
          </w:tcPr>
          <w:p>
            <w:pPr>
              <w:spacing w:before="120" w:after="120"/>
            </w:pPr>
            <w:r>
              <w:rPr>
                <w:rFonts w:ascii="Calibri" w:hAnsi="Calibri"/>
                <w:color w:val="2C2C2C"/>
              </w:rPr>
              <w:t>High funding and commitment risk under changing US administrations; lacks direct mine equity.</w:t>
            </w:r>
          </w:p>
        </w:tc>
        <w:tc>
          <w:tcPr>
            <w:tcW w:type="dxa" w:w="3120"/>
            <w:shd w:fill="F4F6F9"/>
            <w:tcMar>
              <w:top w:w="100" w:type="dxa"/>
              <w:bottom w:w="100" w:type="dxa"/>
              <w:left w:w="150" w:type="dxa"/>
              <w:right w:w="150" w:type="dxa"/>
            </w:tcMar>
          </w:tcPr>
          <w:p>
            <w:pPr>
              <w:spacing w:before="120" w:after="120"/>
            </w:pPr>
            <w:r>
              <w:rPr>
                <w:rFonts w:ascii="Calibri" w:hAnsi="Calibri"/>
                <w:color w:val="2C2C2C"/>
              </w:rPr>
              <w:t>High dependency on physical corridors vulnerable to local political shifts.</w:t>
            </w:r>
          </w:p>
        </w:tc>
      </w:tr>
      <w:tr>
        <w:tc>
          <w:tcPr>
            <w:tcW w:type="dxa" w:w="3120"/>
            <w:tcMar>
              <w:top w:w="100" w:type="dxa"/>
              <w:bottom w:w="100" w:type="dxa"/>
              <w:left w:w="150" w:type="dxa"/>
              <w:right w:w="150" w:type="dxa"/>
            </w:tcMar>
          </w:tcPr>
          <w:p>
            <w:pPr>
              <w:spacing w:before="120" w:after="120"/>
            </w:pPr>
            <w:r>
              <w:rPr>
                <w:rFonts w:ascii="Calibri" w:hAnsi="Calibri"/>
                <w:color w:val="2C2C2C"/>
              </w:rPr>
              <w:t>Key Assets</w:t>
            </w:r>
          </w:p>
        </w:tc>
        <w:tc>
          <w:tcPr>
            <w:tcW w:type="dxa" w:w="3120"/>
            <w:tcMar>
              <w:top w:w="100" w:type="dxa"/>
              <w:bottom w:w="100" w:type="dxa"/>
              <w:left w:w="150" w:type="dxa"/>
              <w:right w:w="150" w:type="dxa"/>
            </w:tcMar>
          </w:tcPr>
          <w:p>
            <w:pPr>
              <w:spacing w:before="120" w:after="120"/>
            </w:pPr>
            <w:r>
              <w:rPr>
                <w:rFonts w:ascii="Calibri" w:hAnsi="Calibri"/>
                <w:color w:val="2C2C2C"/>
              </w:rPr>
              <w:t>Redirects output from Kamoa-Kakula and Gécamines to Atlantic.</w:t>
            </w:r>
          </w:p>
        </w:tc>
        <w:tc>
          <w:tcPr>
            <w:tcW w:type="dxa" w:w="3120"/>
            <w:tcMar>
              <w:top w:w="100" w:type="dxa"/>
              <w:bottom w:w="100" w:type="dxa"/>
              <w:left w:w="150" w:type="dxa"/>
              <w:right w:w="150" w:type="dxa"/>
            </w:tcMar>
          </w:tcPr>
          <w:p>
            <w:pPr>
              <w:spacing w:before="120" w:after="120"/>
            </w:pPr>
            <w:r>
              <w:rPr>
                <w:rFonts w:ascii="Calibri" w:hAnsi="Calibri"/>
                <w:color w:val="2C2C2C"/>
              </w:rPr>
              <w:t>Active 30-year BOT concession (signed Sept 2025 by China, Zambia, and Tanzania).</w:t>
            </w:r>
          </w:p>
        </w:tc>
      </w:tr>
    </w:tbl>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2. The Verification Dilemma: Why Trust Fails</w:t>
      </w:r>
    </w:p>
    <w:p>
      <w:pPr>
        <w:spacing w:before="80" w:after="120" w:line="276" w:lineRule="auto"/>
      </w:pPr>
      <w:r>
        <w:rPr>
          <w:rFonts w:ascii="Calibri" w:hAnsi="Calibri"/>
          <w:color w:val="2C2C2C"/>
          <w:sz w:val="22"/>
        </w:rPr>
        <w:t xml:space="preserve">In a classic </w:t>
      </w:r>
      <w:r>
        <w:rPr>
          <w:rFonts w:ascii="Calibri" w:hAnsi="Calibri"/>
          <w:b/>
          <w:color w:val="2C2C2C"/>
          <w:sz w:val="22"/>
        </w:rPr>
        <w:t>Thucydides Trap</w:t>
      </w:r>
      <w:r>
        <w:rPr>
          <w:rFonts w:ascii="Calibri" w:hAnsi="Calibri"/>
          <w:color w:val="2C2C2C"/>
          <w:sz w:val="22"/>
        </w:rPr>
        <w:t>, the established power (US) and the rising power (China) are locked in zero-sum competition over critical minerals (which are 90%+ concentrated in Chinese processing channels according to the IEA).</w:t>
      </w:r>
    </w:p>
    <w:p>
      <w:pPr>
        <w:spacing w:before="80" w:after="120" w:line="276" w:lineRule="auto"/>
        <w:ind w:left="360"/>
      </w:pPr>
      <w:r>
        <w:rPr>
          <w:rFonts w:ascii="Calibri" w:hAnsi="Calibri"/>
          <w:color w:val="2C2C2C"/>
          <w:sz w:val="22"/>
        </w:rPr>
      </w:r>
      <w:r>
        <w:rPr>
          <w:rFonts w:ascii="Calibri" w:hAnsi="Calibri"/>
          <w:b/>
          <w:color w:val="2C2C2C"/>
          <w:sz w:val="22"/>
        </w:rPr>
        <w:t>The Problem for African Sovereigns (Zambia/Botswana/DRC):</w:t>
      </w:r>
      <w:r>
        <w:rPr>
          <w:rFonts w:ascii="Calibri" w:hAnsi="Calibri"/>
          <w:color w:val="2C2C2C"/>
          <w:sz w:val="22"/>
        </w:rPr>
      </w:r>
    </w:p>
    <w:p>
      <w:pPr>
        <w:spacing w:before="80" w:after="120" w:line="276" w:lineRule="auto"/>
      </w:pPr>
      <w:r>
        <w:rPr>
          <w:rFonts w:ascii="Calibri" w:hAnsi="Calibri"/>
          <w:color w:val="2C2C2C"/>
          <w:sz w:val="22"/>
        </w:rPr>
        <w:t xml:space="preserve">African nations hold massive leverage but face intense pressure. For example, the DRC government holds a critical </w:t>
      </w:r>
      <w:r>
        <w:rPr>
          <w:rFonts w:ascii="Calibri" w:hAnsi="Calibri"/>
          <w:b/>
          <w:color w:val="2C2C2C"/>
          <w:sz w:val="22"/>
        </w:rPr>
        <w:t>20% equity stake in Kamoa-Kakula</w:t>
      </w:r>
      <w:r>
        <w:rPr>
          <w:rFonts w:ascii="Calibri" w:hAnsi="Calibri"/>
          <w:color w:val="2C2C2C"/>
          <w:sz w:val="22"/>
        </w:rPr>
        <w:t xml:space="preserve"> (with Ivanhoe and Zijin at 39.6% each) and a </w:t>
      </w:r>
      <w:r>
        <w:rPr>
          <w:rFonts w:ascii="Calibri" w:hAnsi="Calibri"/>
          <w:b/>
          <w:color w:val="2C2C2C"/>
          <w:sz w:val="22"/>
        </w:rPr>
        <w:t>20% stake in Tenke Fungurume</w:t>
      </w:r>
      <w:r>
        <w:rPr>
          <w:rFonts w:ascii="Calibri" w:hAnsi="Calibri"/>
          <w:color w:val="2C2C2C"/>
          <w:sz w:val="22"/>
        </w:rPr>
        <w:t xml:space="preserve"> via Gécamines. If these sovereign states share raw logistics and extraction data directly with the West to comply with US sanctions or the </w:t>
      </w:r>
      <w:r>
        <w:rPr>
          <w:rFonts w:ascii="Calibri" w:hAnsi="Calibri"/>
          <w:b/>
          <w:color w:val="2C2C2C"/>
          <w:sz w:val="22"/>
        </w:rPr>
        <w:t>EU Battery Passport</w:t>
      </w:r>
      <w:r>
        <w:rPr>
          <w:rFonts w:ascii="Calibri" w:hAnsi="Calibri"/>
          <w:color w:val="2C2C2C"/>
          <w:sz w:val="22"/>
        </w:rPr>
        <w:t>, they risk severe economic retaliation or supply chain disruption from Chinese processing partners.</w:t>
      </w:r>
    </w:p>
    <w:p>
      <w:pPr>
        <w:spacing w:before="80" w:after="120" w:line="276" w:lineRule="auto"/>
        <w:ind w:left="360"/>
      </w:pPr>
      <w:r>
        <w:rPr>
          <w:rFonts w:ascii="Calibri" w:hAnsi="Calibri"/>
          <w:color w:val="2C2C2C"/>
          <w:sz w:val="22"/>
        </w:rPr>
      </w:r>
      <w:r>
        <w:rPr>
          <w:rFonts w:ascii="Calibri" w:hAnsi="Calibri"/>
          <w:b/>
          <w:color w:val="2C2C2C"/>
          <w:sz w:val="22"/>
        </w:rPr>
        <w:t>The Problem for Western Buyers:</w:t>
      </w:r>
      <w:r>
        <w:rPr>
          <w:rFonts w:ascii="Calibri" w:hAnsi="Calibri"/>
          <w:color w:val="2C2C2C"/>
          <w:sz w:val="22"/>
        </w:rPr>
      </w:r>
    </w:p>
    <w:p>
      <w:pPr>
        <w:spacing w:before="80" w:after="120" w:line="276" w:lineRule="auto"/>
      </w:pPr>
      <w:r>
        <w:rPr>
          <w:rFonts w:ascii="Calibri" w:hAnsi="Calibri"/>
          <w:color w:val="2C2C2C"/>
          <w:sz w:val="22"/>
        </w:rPr>
        <w:t>Western buyers must verify that the copper or cobalt arriving at the Port of Lobito complies with EU environmental and source-of-origin standards. However, the EU Battery Passport does *not* mandate ZKPs (it uses role-based access control, which is structurally permissioned and fragile).</w:t>
      </w:r>
    </w:p>
    <w:p>
      <w:pPr>
        <w:spacing w:before="80" w:after="120" w:line="276" w:lineRule="auto"/>
        <w:ind w:left="360"/>
      </w:pPr>
      <w:r>
        <w:rPr>
          <w:rFonts w:ascii="Calibri" w:hAnsi="Calibri"/>
          <w:color w:val="2C2C2C"/>
          <w:sz w:val="22"/>
        </w:rPr>
      </w:r>
      <w:r>
        <w:rPr>
          <w:rFonts w:ascii="Calibri" w:hAnsi="Calibri"/>
          <w:b/>
          <w:color w:val="2C2C2C"/>
          <w:sz w:val="22"/>
        </w:rPr>
        <w:t>The Verification Dilemma:</w:t>
      </w:r>
      <w:r>
        <w:rPr>
          <w:rFonts w:ascii="Calibri" w:hAnsi="Calibri"/>
          <w:color w:val="2C2C2C"/>
          <w:sz w:val="22"/>
        </w:rPr>
      </w:r>
    </w:p>
    <w:p>
      <w:pPr>
        <w:spacing w:before="80" w:after="120" w:line="276" w:lineRule="auto"/>
      </w:pPr>
      <w:r>
        <w:rPr>
          <w:rFonts w:ascii="Calibri" w:hAnsi="Calibri"/>
          <w:color w:val="2C2C2C"/>
          <w:sz w:val="22"/>
        </w:rPr>
        <w:t>How do sovereign producers prove compliance to international regulatory bodies without exposing sensitive national and industrial secrets to rival superpowers?</w:t>
      </w:r>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3. The Savior: ZK-Proofs as a Geopolitical Shield</w:t>
      </w:r>
    </w:p>
    <w:p>
      <w:pPr>
        <w:spacing w:before="80" w:after="120" w:line="276" w:lineRule="auto"/>
      </w:pPr>
      <w:r>
        <w:rPr>
          <w:rFonts w:ascii="Calibri" w:hAnsi="Calibri"/>
          <w:color w:val="2C2C2C"/>
          <w:sz w:val="22"/>
        </w:rPr>
        <w:t xml:space="preserve">Resource Command resolves the Verification Dilemma by shifting the architecture from </w:t>
      </w:r>
      <w:r>
        <w:rPr>
          <w:rFonts w:ascii="Calibri" w:hAnsi="Calibri"/>
          <w:b/>
          <w:color w:val="2C2C2C"/>
          <w:sz w:val="22"/>
        </w:rPr>
        <w:t>bulk data exposure</w:t>
      </w:r>
      <w:r>
        <w:rPr>
          <w:rFonts w:ascii="Calibri" w:hAnsi="Calibri"/>
          <w:color w:val="2C2C2C"/>
          <w:sz w:val="22"/>
        </w:rPr>
        <w:t xml:space="preserve"> to </w:t>
      </w:r>
      <w:r>
        <w:rPr>
          <w:rFonts w:ascii="Calibri" w:hAnsi="Calibri"/>
          <w:b/>
          <w:color w:val="2C2C2C"/>
          <w:sz w:val="22"/>
        </w:rPr>
        <w:t>cryptographic mathematical proof</w:t>
      </w:r>
      <w:r>
        <w:rPr>
          <w:rFonts w:ascii="Calibri" w:hAnsi="Calibri"/>
          <w:color w:val="2C2C2C"/>
          <w:sz w:val="22"/>
        </w:rPr>
        <w:t>.</w:t>
      </w:r>
    </w:p>
    <w:p>
      <w:pPr>
        <w:spacing w:before="80" w:after="120" w:line="276" w:lineRule="auto"/>
      </w:pPr>
      <w:r>
        <w:rPr>
          <w:rFonts w:ascii="Calibri" w:hAnsi="Calibri"/>
          <w:color w:val="2C2C2C"/>
          <w:sz w:val="22"/>
        </w:rPr>
        <w:t>Instead of exposing raw telemetry (which invite superpower interference, espionage, or sanctions evasion), we deploy a trustless cryptographic buffer directly at the edge:</w:t>
      </w:r>
    </w:p>
    <w:p>
      <w:pPr>
        <w:spacing w:before="80" w:after="120" w:line="276" w:lineRule="auto"/>
      </w:pPr>
      <w:r>
        <w:rPr>
          <w:rFonts w:ascii="Calibri" w:hAnsi="Calibri"/>
          <w:color w:val="2C2C2C"/>
          <w:sz w:val="22"/>
        </w:rPr>
        <w:t>```</w:t>
      </w:r>
    </w:p>
    <w:p>
      <w:pPr>
        <w:spacing w:before="80" w:after="120" w:line="276" w:lineRule="auto"/>
      </w:pPr>
      <w:r>
        <w:rPr>
          <w:rFonts w:ascii="Calibri" w:hAnsi="Calibri"/>
          <w:color w:val="2C2C2C"/>
          <w:sz w:val="22"/>
        </w:rPr>
        <w:t>[Raw Physical Telemetry]</w:t>
      </w:r>
    </w:p>
    <w:p>
      <w:pPr>
        <w:spacing w:before="80" w:after="120" w:line="276" w:lineRule="auto"/>
      </w:pPr>
      <w:r>
        <w:rPr>
          <w:rFonts w:ascii="Calibri" w:hAnsi="Calibri"/>
          <w:color w:val="2C2C2C"/>
          <w:sz w:val="22"/>
        </w:rPr>
        <w:t>│ (Vibrations, Light, Biometrics)</w:t>
      </w:r>
    </w:p>
    <w:p>
      <w:pPr>
        <w:spacing w:before="80" w:after="120" w:line="276" w:lineRule="auto"/>
      </w:pPr>
      <w:r>
        <w:rPr>
          <w:rFonts w:ascii="Calibri" w:hAnsi="Calibri"/>
          <w:color w:val="2C2C2C"/>
          <w:sz w:val="22"/>
        </w:rPr>
        <w:t>▼</w:t>
      </w:r>
    </w:p>
    <w:p>
      <w:pPr>
        <w:spacing w:before="80" w:after="120" w:line="276" w:lineRule="auto"/>
      </w:pPr>
      <w:r>
        <w:rPr>
          <w:rFonts w:ascii="Calibri" w:hAnsi="Calibri"/>
          <w:color w:val="2C2C2C"/>
          <w:sz w:val="22"/>
        </w:rPr>
        <w:t>[AR Visor Edge Processor] ──► (Runs fixed-point ML filter &amp; local witness generation)</w:t>
      </w:r>
    </w:p>
    <w:p>
      <w:pPr>
        <w:spacing w:before="80" w:after="120" w:line="276" w:lineRule="auto"/>
      </w:pPr>
      <w:r>
        <w:rPr>
          <w:rFonts w:ascii="Calibri" w:hAnsi="Calibri"/>
          <w:color w:val="2C2C2C"/>
          <w:sz w:val="22"/>
        </w:rPr>
        <w:t>│</w:t>
      </w:r>
    </w:p>
    <w:p>
      <w:pPr>
        <w:spacing w:before="80" w:after="120" w:line="276" w:lineRule="auto"/>
      </w:pPr>
      <w:r>
        <w:rPr>
          <w:rFonts w:ascii="Calibri" w:hAnsi="Calibri"/>
          <w:color w:val="2C2C2C"/>
          <w:sz w:val="22"/>
        </w:rPr>
        <w:t>▼</w:t>
      </w:r>
    </w:p>
    <w:p>
      <w:pPr>
        <w:spacing w:before="80" w:after="120" w:line="276" w:lineRule="auto"/>
      </w:pPr>
      <w:r>
        <w:rPr>
          <w:rFonts w:ascii="Calibri" w:hAnsi="Calibri"/>
          <w:color w:val="2C2C2C"/>
          <w:sz w:val="22"/>
        </w:rPr>
        <w:t>[Sovereign Cryptographic Proof]</w:t>
      </w:r>
    </w:p>
    <w:p>
      <w:pPr>
        <w:spacing w:before="80" w:after="120" w:line="276" w:lineRule="auto"/>
      </w:pPr>
      <w:r>
        <w:rPr>
          <w:rFonts w:ascii="Calibri" w:hAnsi="Calibri"/>
          <w:color w:val="2C2C2C"/>
          <w:sz w:val="22"/>
        </w:rPr>
        <w:t>│ (ZKP proves extraction integrity in R1CS)</w:t>
      </w:r>
    </w:p>
    <w:p>
      <w:pPr>
        <w:spacing w:before="80" w:after="120" w:line="276" w:lineRule="auto"/>
      </w:pPr>
      <w:r>
        <w:rPr>
          <w:rFonts w:ascii="Calibri" w:hAnsi="Calibri"/>
          <w:color w:val="2C2C2C"/>
          <w:sz w:val="22"/>
        </w:rPr>
        <w:t>▼</w:t>
      </w:r>
    </w:p>
    <w:p>
      <w:pPr>
        <w:spacing w:before="80" w:after="120" w:line="276" w:lineRule="auto"/>
      </w:pPr>
      <w:r>
        <w:rPr>
          <w:rFonts w:ascii="Calibri" w:hAnsi="Calibri"/>
          <w:color w:val="2C2C2C"/>
          <w:sz w:val="22"/>
        </w:rPr>
        <w:t>[SAPP / EU Battery Passport / Global Markets] (Superpowers verify the math, not the raw data)</w:t>
      </w:r>
    </w:p>
    <w:p>
      <w:pPr>
        <w:spacing w:before="80" w:after="120" w:line="276" w:lineRule="auto"/>
      </w:pPr>
      <w:r>
        <w:rPr>
          <w:rFonts w:ascii="Calibri" w:hAnsi="Calibri"/>
          <w:color w:val="2C2C2C"/>
          <w:sz w:val="22"/>
        </w:rPr>
        <w:t>```</w:t>
      </w:r>
    </w:p>
    <w:p>
      <w:pPr>
        <w:spacing w:before="240" w:after="120"/>
      </w:pPr>
      <w:r>
        <w:rPr>
          <w:rFonts w:ascii="Calibri" w:hAnsi="Calibri"/>
          <w:b/>
          <w:color w:val="601F1F"/>
          <w:sz w:val="26"/>
        </w:rPr>
        <w:t>The Technical Defensive Pillars (PhD-Level Hardening)</w:t>
      </w:r>
    </w:p>
    <w:p>
      <w:pPr>
        <w:spacing w:before="80" w:after="120" w:line="276" w:lineRule="auto"/>
        <w:ind w:left="360"/>
      </w:pPr>
      <w:r>
        <w:rPr>
          <w:rFonts w:ascii="Calibri" w:hAnsi="Calibri"/>
          <w:b/>
          <w:color w:val="1F3A60"/>
          <w:sz w:val="22"/>
        </w:rPr>
        <w:t xml:space="preserve">1. </w:t>
      </w:r>
      <w:r>
        <w:rPr>
          <w:rFonts w:ascii="Calibri" w:hAnsi="Calibri"/>
          <w:color w:val="2C2C2C"/>
          <w:sz w:val="22"/>
        </w:rPr>
      </w:r>
      <w:r>
        <w:rPr>
          <w:rFonts w:ascii="Calibri" w:hAnsi="Calibri"/>
          <w:b/>
          <w:color w:val="2C2C2C"/>
          <w:sz w:val="22"/>
        </w:rPr>
        <w:t>Privacy-Preserving Compliance Plumbing (Bamberger et al., 2021):</w:t>
      </w:r>
      <w:r>
        <w:rPr>
          <w:rFonts w:ascii="Calibri" w:hAnsi="Calibri"/>
          <w:color w:val="2C2C2C"/>
          <w:sz w:val="22"/>
        </w:rPr>
      </w:r>
    </w:p>
    <w:p>
      <w:pPr>
        <w:spacing w:before="80" w:after="120" w:line="276" w:lineRule="auto"/>
      </w:pPr>
      <w:r>
        <w:rPr>
          <w:rFonts w:ascii="Calibri" w:hAnsi="Calibri"/>
          <w:color w:val="2C2C2C"/>
          <w:sz w:val="22"/>
        </w:rPr>
        <w:t>Our ZK-circuits act as "regulatory oracles." Applying the *Verification Dilemmas in Law* framework (Berkeley Technology Law Journal), we allow African sovereigns to transform the verification process. We prove compliance with international standards (such as AML screening or source-of-funds) without bulk data sharing.</w:t>
      </w:r>
    </w:p>
    <w:p>
      <w:pPr>
        <w:spacing w:before="80" w:after="120" w:line="276" w:lineRule="auto"/>
        <w:ind w:left="360"/>
      </w:pPr>
      <w:r>
        <w:rPr>
          <w:rFonts w:ascii="Calibri" w:hAnsi="Calibri"/>
          <w:b/>
          <w:color w:val="1F3A60"/>
          <w:sz w:val="22"/>
        </w:rPr>
        <w:t xml:space="preserve">2. </w:t>
      </w:r>
      <w:r>
        <w:rPr>
          <w:rFonts w:ascii="Calibri" w:hAnsi="Calibri"/>
          <w:color w:val="2C2C2C"/>
          <w:sz w:val="22"/>
        </w:rPr>
      </w:r>
      <w:r>
        <w:rPr>
          <w:rFonts w:ascii="Calibri" w:hAnsi="Calibri"/>
          <w:b/>
          <w:color w:val="2C2C2C"/>
          <w:sz w:val="22"/>
        </w:rPr>
        <w:t>Transparent setup End-to-End (Halo2 IPA + Nova + Spartan):</w:t>
      </w:r>
      <w:r>
        <w:rPr>
          <w:rFonts w:ascii="Calibri" w:hAnsi="Calibri"/>
          <w:color w:val="2C2C2C"/>
          <w:sz w:val="22"/>
        </w:rPr>
      </w:r>
    </w:p>
    <w:p>
      <w:pPr>
        <w:spacing w:before="80" w:after="120" w:line="276" w:lineRule="auto"/>
      </w:pPr>
      <w:r>
        <w:rPr>
          <w:rFonts w:ascii="Calibri" w:hAnsi="Calibri"/>
          <w:color w:val="2C2C2C"/>
          <w:sz w:val="22"/>
        </w:rPr>
        <w:t>To completely eliminate the "trusted setup" (toxic waste) vulnerability:</w:t>
      </w:r>
    </w:p>
    <w:p>
      <w:pPr>
        <w:spacing w:before="80" w:after="120" w:line="276" w:lineRule="auto"/>
        <w:ind w:left="360"/>
      </w:pPr>
      <w:r>
        <w:rPr>
          <w:rFonts w:ascii="Calibri" w:hAnsi="Calibri"/>
          <w:color w:val="2C2C2C"/>
          <w:sz w:val="22"/>
        </w:rPr>
      </w:r>
      <w:r>
        <w:rPr>
          <w:rFonts w:ascii="Calibri" w:hAnsi="Calibri"/>
          <w:b/>
          <w:color w:val="2C2C2C"/>
          <w:sz w:val="22"/>
        </w:rPr>
        <w:t>Outer Proof:</w:t>
      </w:r>
      <w:r>
        <w:rPr>
          <w:rFonts w:ascii="Calibri" w:hAnsi="Calibri"/>
          <w:color w:val="2C2C2C"/>
          <w:sz w:val="22"/>
        </w:rPr>
        <w:t xml:space="preserve"> We utilize Halo2 in its transparent </w:t>
      </w:r>
      <w:r>
        <w:rPr>
          <w:rFonts w:ascii="Calibri" w:hAnsi="Calibri"/>
          <w:b/>
          <w:color w:val="2C2C2C"/>
          <w:sz w:val="22"/>
        </w:rPr>
        <w:t>Inner Product Argument (IPA) configuration</w:t>
      </w:r>
      <w:r>
        <w:rPr>
          <w:rFonts w:ascii="Calibri" w:hAnsi="Calibri"/>
          <w:color w:val="2C2C2C"/>
          <w:sz w:val="22"/>
        </w:rPr>
        <w:t xml:space="preserve"> (eliminating KZG trusted setups).</w:t>
      </w:r>
    </w:p>
    <w:p>
      <w:pPr>
        <w:spacing w:before="80" w:after="120" w:line="276" w:lineRule="auto"/>
        <w:ind w:left="360"/>
      </w:pPr>
      <w:r>
        <w:rPr>
          <w:rFonts w:ascii="Calibri" w:hAnsi="Calibri"/>
          <w:color w:val="2C2C2C"/>
          <w:sz w:val="22"/>
        </w:rPr>
      </w:r>
      <w:r>
        <w:rPr>
          <w:rFonts w:ascii="Calibri" w:hAnsi="Calibri"/>
          <w:b/>
          <w:color w:val="2C2C2C"/>
          <w:sz w:val="22"/>
        </w:rPr>
        <w:t>Recursive Core:</w:t>
      </w:r>
      <w:r>
        <w:rPr>
          <w:rFonts w:ascii="Calibri" w:hAnsi="Calibri"/>
          <w:color w:val="2C2C2C"/>
          <w:sz w:val="22"/>
        </w:rPr>
        <w:t xml:space="preserve"> We utilize Nova-style relaxed R1CS folding schemes for recursive step-verification without a trusted setup.</w:t>
      </w:r>
    </w:p>
    <w:p>
      <w:pPr>
        <w:spacing w:before="80" w:after="120" w:line="276" w:lineRule="auto"/>
        <w:ind w:left="360"/>
      </w:pPr>
      <w:r>
        <w:rPr>
          <w:rFonts w:ascii="Calibri" w:hAnsi="Calibri"/>
          <w:color w:val="2C2C2C"/>
          <w:sz w:val="22"/>
        </w:rPr>
      </w:r>
      <w:r>
        <w:rPr>
          <w:rFonts w:ascii="Calibri" w:hAnsi="Calibri"/>
          <w:b/>
          <w:color w:val="2C2C2C"/>
          <w:sz w:val="22"/>
        </w:rPr>
        <w:t>Compressor SNARK:</w:t>
      </w:r>
      <w:r>
        <w:rPr>
          <w:rFonts w:ascii="Calibri" w:hAnsi="Calibri"/>
          <w:color w:val="2C2C2C"/>
          <w:sz w:val="22"/>
        </w:rPr>
        <w:t xml:space="preserve"> To compress Nova's incrementally verifiable computation (IVC) log into a compact, on-chain verifiable proof, we mandate a transparent </w:t>
      </w:r>
      <w:r>
        <w:rPr>
          <w:rFonts w:ascii="Calibri" w:hAnsi="Calibri"/>
          <w:b/>
          <w:color w:val="2C2C2C"/>
          <w:sz w:val="22"/>
        </w:rPr>
        <w:t>Spartan compressor SNARK</w:t>
      </w:r>
      <w:r>
        <w:rPr>
          <w:rFonts w:ascii="Calibri" w:hAnsi="Calibri"/>
          <w:color w:val="2C2C2C"/>
          <w:sz w:val="22"/>
        </w:rPr>
        <w:t>, preserving a 100% transparent setup from extraction to settlement.</w:t>
      </w:r>
    </w:p>
    <w:p>
      <w:pPr>
        <w:spacing w:before="80" w:after="120" w:line="276" w:lineRule="auto"/>
        <w:ind w:left="360"/>
      </w:pPr>
      <w:r>
        <w:rPr>
          <w:rFonts w:ascii="Calibri" w:hAnsi="Calibri"/>
          <w:b/>
          <w:color w:val="1F3A60"/>
          <w:sz w:val="22"/>
        </w:rPr>
        <w:t xml:space="preserve">3. </w:t>
      </w:r>
      <w:r>
        <w:rPr>
          <w:rFonts w:ascii="Calibri" w:hAnsi="Calibri"/>
          <w:color w:val="2C2C2C"/>
          <w:sz w:val="22"/>
        </w:rPr>
      </w:r>
      <w:r>
        <w:rPr>
          <w:rFonts w:ascii="Calibri" w:hAnsi="Calibri"/>
          <w:b/>
          <w:color w:val="2C2C2C"/>
          <w:sz w:val="22"/>
        </w:rPr>
        <w:t>zkVM Optimization Track (Nebula):</w:t>
      </w:r>
      <w:r>
        <w:rPr>
          <w:rFonts w:ascii="Calibri" w:hAnsi="Calibri"/>
          <w:color w:val="2C2C2C"/>
          <w:sz w:val="22"/>
        </w:rPr>
      </w:r>
    </w:p>
    <w:p>
      <w:pPr>
        <w:spacing w:before="80" w:after="120" w:line="276" w:lineRule="auto"/>
      </w:pPr>
      <w:r>
        <w:rPr>
          <w:rFonts w:ascii="Calibri" w:hAnsi="Calibri"/>
          <w:color w:val="2C2C2C"/>
          <w:sz w:val="22"/>
        </w:rPr>
        <w:t xml:space="preserve">We utilize </w:t>
      </w:r>
      <w:r>
        <w:rPr>
          <w:rFonts w:ascii="Calibri" w:hAnsi="Calibri"/>
          <w:b/>
          <w:color w:val="2C2C2C"/>
          <w:sz w:val="22"/>
        </w:rPr>
        <w:t>Nebula (Arun &amp; Setty, ePrint 2024/1605)</w:t>
      </w:r>
      <w:r>
        <w:rPr>
          <w:rFonts w:ascii="Calibri" w:hAnsi="Calibri"/>
          <w:color w:val="2C2C2C"/>
          <w:sz w:val="22"/>
        </w:rPr>
        <w:t xml:space="preserve"> strictly as an active research-track optimization under technical evaluation for read-write memory and switchboard circuits. This allows us to optimize folding operations as the paper progresses through peer-reviewed validation.</w:t>
      </w:r>
    </w:p>
    <w:p>
      <w:pPr>
        <w:spacing w:before="80" w:after="120" w:line="276" w:lineRule="auto"/>
        <w:ind w:left="360"/>
      </w:pPr>
      <w:r>
        <w:rPr>
          <w:rFonts w:ascii="Calibri" w:hAnsi="Calibri"/>
          <w:b/>
          <w:color w:val="1F3A60"/>
          <w:sz w:val="22"/>
        </w:rPr>
        <w:t xml:space="preserve">4. </w:t>
      </w:r>
      <w:r>
        <w:rPr>
          <w:rFonts w:ascii="Calibri" w:hAnsi="Calibri"/>
          <w:color w:val="2C2C2C"/>
          <w:sz w:val="22"/>
        </w:rPr>
      </w:r>
      <w:r>
        <w:rPr>
          <w:rFonts w:ascii="Calibri" w:hAnsi="Calibri"/>
          <w:b/>
          <w:color w:val="2C2C2C"/>
          <w:sz w:val="22"/>
        </w:rPr>
        <w:t>Feasible Edge Witness Generation:</w:t>
      </w:r>
      <w:r>
        <w:rPr>
          <w:rFonts w:ascii="Calibri" w:hAnsi="Calibri"/>
          <w:color w:val="2C2C2C"/>
          <w:sz w:val="22"/>
        </w:rPr>
      </w:r>
    </w:p>
    <w:p>
      <w:pPr>
        <w:spacing w:before="80" w:after="120" w:line="276" w:lineRule="auto"/>
      </w:pPr>
      <w:r>
        <w:rPr>
          <w:rFonts w:ascii="Calibri" w:hAnsi="Calibri"/>
          <w:color w:val="2C2C2C"/>
          <w:sz w:val="22"/>
        </w:rPr>
        <w:t xml:space="preserve">To address thermal and battery limitations of AR visors, the visor hardware is *not* tasked with heavy SNARK compression. Instead, the mobile enclave locally executes the light-weight biometrics processing (Savitzky-Golay + fixed-point operations) to generate the deterministic </w:t>
      </w:r>
      <w:r>
        <w:rPr>
          <w:rFonts w:ascii="Calibri" w:hAnsi="Calibri"/>
          <w:b/>
          <w:color w:val="2C2C2C"/>
          <w:sz w:val="22"/>
        </w:rPr>
        <w:t>witness</w:t>
      </w:r>
      <w:r>
        <w:rPr>
          <w:rFonts w:ascii="Calibri" w:hAnsi="Calibri"/>
          <w:color w:val="2C2C2C"/>
          <w:sz w:val="22"/>
        </w:rPr>
        <w:t>. Proving is delegated to a local, air-gapped sovereign edge server via recursive folding, keeping raw data entirely inside the mine.</w:t>
      </w:r>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4. The Geopolitical Narrative (For Sunday Alignment)</w:t>
      </w:r>
    </w:p>
    <w:p>
      <w:pPr>
        <w:spacing w:before="80" w:after="120" w:line="276" w:lineRule="auto"/>
      </w:pPr>
      <w:r>
        <w:rPr>
          <w:rFonts w:ascii="Calibri" w:hAnsi="Calibri"/>
          <w:color w:val="2C2C2C"/>
          <w:sz w:val="22"/>
        </w:rPr>
        <w:t xml:space="preserve">When presenting this architecture to institutional stakeholders, frame the technology as a tool of </w:t>
      </w:r>
      <w:r>
        <w:rPr>
          <w:rFonts w:ascii="Calibri" w:hAnsi="Calibri"/>
          <w:b/>
          <w:color w:val="2C2C2C"/>
          <w:sz w:val="22"/>
        </w:rPr>
        <w:t>Sovereign Strategic Autonomy</w:t>
      </w:r>
      <w:r>
        <w:rPr>
          <w:rFonts w:ascii="Calibri" w:hAnsi="Calibri"/>
          <w:color w:val="2C2C2C"/>
          <w:sz w:val="22"/>
        </w:rPr>
        <w:t>:</w:t>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*"Resource Command serves sovereigns regardless of which logistics spine they operate in the US-China trade war. We recognize that the TAZARA railway is a signed, active trilateral reality, and that the Lobito corridor faces shifting US commitment. By implementing Zero-Knowledge proof systems as an optimal compliance mechanism for the EU Battery Passport, we provide African sovereigns with a cryptographic shield. We allow them, acting in concert with their sovereign equity positions in giants like Kamoa-Kakula, to verify their assets to Western markets, satisfy international standards, and protect their domestic data from foreign capture. The cryptographic layer operates above a sovereign-controlled data attestation layer—ensuring that what is proved is both mathematically valid and physically verified by the state itself. We replace geopolitical trust in the *verification process* with mathematical certainty."*</w:t>
            </w:r>
          </w:p>
        </w:tc>
      </w:tr>
    </w:tbl>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5. Speaker Note Rebuttal: The Sovereignty Paradox (Procedural vs. Substantive Autonomy)</w:t>
      </w:r>
    </w:p>
    <w:p>
      <w:pPr>
        <w:spacing w:before="240" w:after="120"/>
      </w:pPr>
      <w:r>
        <w:rPr>
          <w:rFonts w:ascii="Calibri" w:hAnsi="Calibri"/>
          <w:b/>
          <w:color w:val="601F1F"/>
          <w:sz w:val="26"/>
        </w:rPr>
        <w:t>Vulnerability 1: The Code-Surrender / Circuit Sovereignty Critique</w:t>
      </w:r>
    </w:p>
    <w:p>
      <w:pPr>
        <w:spacing w:before="80" w:after="120" w:line="276" w:lineRule="auto"/>
        <w:ind w:left="360"/>
      </w:pPr>
      <w:r>
        <w:rPr>
          <w:rFonts w:ascii="Calibri" w:hAnsi="Calibri"/>
          <w:color w:val="2C2C2C"/>
          <w:sz w:val="22"/>
        </w:rPr>
      </w:r>
      <w:r>
        <w:rPr>
          <w:rFonts w:ascii="Calibri" w:hAnsi="Calibri"/>
          <w:b/>
          <w:color w:val="2C2C2C"/>
          <w:sz w:val="22"/>
        </w:rPr>
        <w:t>The Attack:</w:t>
      </w:r>
      <w:r>
        <w:rPr>
          <w:rFonts w:ascii="Calibri" w:hAnsi="Calibri"/>
          <w:color w:val="2C2C2C"/>
          <w:sz w:val="22"/>
        </w:rPr>
        <w:t xml:space="preserve"> *"If Resource Command writes and updates the ZK-circuit, you have simply replaced a foreign government master with a private foreign corporate master."*</w:t>
      </w:r>
    </w:p>
    <w:p>
      <w:pPr>
        <w:spacing w:before="80" w:after="120" w:line="276" w:lineRule="auto"/>
        <w:ind w:left="360"/>
      </w:pPr>
      <w:r>
        <w:rPr>
          <w:rFonts w:ascii="Calibri" w:hAnsi="Calibri"/>
          <w:color w:val="2C2C2C"/>
          <w:sz w:val="22"/>
        </w:rPr>
      </w:r>
      <w:r>
        <w:rPr>
          <w:rFonts w:ascii="Calibri" w:hAnsi="Calibri"/>
          <w:b/>
          <w:color w:val="2C2C2C"/>
          <w:sz w:val="22"/>
        </w:rPr>
        <w:t>The Rebuttal:</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*"We do not own the law; we write the calculator. Resource Command's core circuits are open-source and undergo independent, multi-party cryptographic audits (e.g., Trail of Bits). The sovereign Ministry of Mines retains **absolute veto and sign-off authority** over all circuit update deployments. The sovereign state is the legislative authority; the ZK-circuit is merely the immutable, digital enforcement of that authority."*</w:t>
            </w:r>
          </w:p>
        </w:tc>
      </w:tr>
    </w:tbl>
    <w:p/>
    <w:p>
      <w:pPr>
        <w:spacing w:before="240" w:after="120"/>
      </w:pPr>
      <w:r>
        <w:rPr>
          <w:rFonts w:ascii="Calibri" w:hAnsi="Calibri"/>
          <w:b/>
          <w:color w:val="601F1F"/>
          <w:sz w:val="26"/>
        </w:rPr>
        <w:t>Vulnerability 2: The Voluntary Attestation Trap</w:t>
      </w:r>
    </w:p>
    <w:p>
      <w:pPr>
        <w:spacing w:before="80" w:after="120" w:line="276" w:lineRule="auto"/>
        <w:ind w:left="360"/>
      </w:pPr>
      <w:r>
        <w:rPr>
          <w:rFonts w:ascii="Calibri" w:hAnsi="Calibri"/>
          <w:color w:val="2C2C2C"/>
          <w:sz w:val="22"/>
        </w:rPr>
      </w:r>
      <w:r>
        <w:rPr>
          <w:rFonts w:ascii="Calibri" w:hAnsi="Calibri"/>
          <w:b/>
          <w:color w:val="2C2C2C"/>
          <w:sz w:val="22"/>
        </w:rPr>
        <w:t>The Attack:</w:t>
      </w:r>
      <w:r>
        <w:rPr>
          <w:rFonts w:ascii="Calibri" w:hAnsi="Calibri"/>
          <w:color w:val="2C2C2C"/>
          <w:sz w:val="22"/>
        </w:rPr>
        <w:t xml:space="preserve"> *"Generating non-repudiable compliance proofs is a formal, voluntary, and permanent confession of submission to Western (EU/FATF) jurisdiction."*</w:t>
      </w:r>
    </w:p>
    <w:p>
      <w:pPr>
        <w:spacing w:before="80" w:after="120" w:line="276" w:lineRule="auto"/>
        <w:ind w:left="360"/>
      </w:pPr>
      <w:r>
        <w:rPr>
          <w:rFonts w:ascii="Calibri" w:hAnsi="Calibri"/>
          <w:color w:val="2C2C2C"/>
          <w:sz w:val="22"/>
        </w:rPr>
      </w:r>
      <w:r>
        <w:rPr>
          <w:rFonts w:ascii="Calibri" w:hAnsi="Calibri"/>
          <w:b/>
          <w:color w:val="2C2C2C"/>
          <w:sz w:val="22"/>
        </w:rPr>
        <w:t>The Rebuttal:</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*"There is a fundamental difference between **substantive** rules and **procedural** execution.  Currently, the alternative to Resource Command is raw data surrender. To sell minerals to the West under existing systems, you must hand over raw logistics routes, extraction data, and private transaction records directly to foreign auditors. This leaves your national security and commercial secrets completely exposed to foreign surveillance.  Resource Command establishes **absolute procedural autonomy**. We ensure that the sovereign state retains 100% ownership and control over its raw industrial data. We satisfy the international substantive standards (which are a market reality for exporting) by proving compliance cryptographically at the border. If those external standards change, the circuit is simply updated, but the raw data remains forever protected behind our cryptographic shield. This is categorically superior to raw data surrender."*</w:t>
            </w:r>
          </w:p>
        </w:tc>
      </w:tr>
    </w:tbl>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6. Solving the Oracle Problem: The Physical Provenance Stack</w:t>
      </w:r>
    </w:p>
    <w:p>
      <w:pPr>
        <w:spacing w:before="240" w:after="120"/>
      </w:pPr>
      <w:r>
        <w:rPr>
          <w:rFonts w:ascii="Calibri" w:hAnsi="Calibri"/>
          <w:b/>
          <w:color w:val="601F1F"/>
          <w:sz w:val="26"/>
        </w:rPr>
        <w:t>The Vulnerability: "ZKPs Prove Consistency, Not Reality"</w:t>
      </w:r>
    </w:p>
    <w:p>
      <w:pPr>
        <w:spacing w:before="80" w:after="120" w:line="276" w:lineRule="auto"/>
        <w:ind w:left="360"/>
      </w:pPr>
      <w:r>
        <w:rPr>
          <w:rFonts w:ascii="Calibri" w:hAnsi="Calibri"/>
          <w:color w:val="2C2C2C"/>
          <w:sz w:val="22"/>
        </w:rPr>
      </w:r>
      <w:r>
        <w:rPr>
          <w:rFonts w:ascii="Calibri" w:hAnsi="Calibri"/>
          <w:b/>
          <w:color w:val="2C2C2C"/>
          <w:sz w:val="22"/>
        </w:rPr>
        <w:t>The Attack:</w:t>
      </w:r>
      <w:r>
        <w:rPr>
          <w:rFonts w:ascii="Calibri" w:hAnsi="Calibri"/>
          <w:color w:val="2C2C2C"/>
          <w:sz w:val="22"/>
        </w:rPr>
        <w:t xml:space="preserve"> *"A ZKP proves the math is correct, but it does not prove the raw physical inputs are true. A prover can input conflict cobalt, generate a perfect proof, and bypass the system."*</w:t>
      </w:r>
    </w:p>
    <w:p>
      <w:pPr>
        <w:spacing w:before="80" w:after="120" w:line="276" w:lineRule="auto"/>
        <w:ind w:left="360"/>
      </w:pPr>
      <w:r>
        <w:rPr>
          <w:rFonts w:ascii="Calibri" w:hAnsi="Calibri"/>
          <w:color w:val="2C2C2C"/>
          <w:sz w:val="22"/>
        </w:rPr>
      </w:r>
      <w:r>
        <w:rPr>
          <w:rFonts w:ascii="Calibri" w:hAnsi="Calibri"/>
          <w:b/>
          <w:color w:val="2C2C2C"/>
          <w:sz w:val="22"/>
        </w:rPr>
        <w:t>The Rebuttal:</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*"A cryptographic proof is only as strong as its input root of trust. Resource Command does not operate in a digital vacuum. We solve the Oracle Problem by anchoring our ZK pipeline in a multi-layered **Physical Provenance Stack** where the sovereign state's equity is the primary defense:*  1. **Sovereign Attestation at Source:** We leverage the DRC government’s 20% equity stake in Kamoa-Kakula and Gécamines' 20% stake in Tenke Fungurume. The DRC Ministry of Mines acts as the **Trusted Physical Attester of First Resort** at the mine gate. 2. **Tamper-Evident IoT Enclaves:** Sensor logs (weights, pupillometry, batch numbers) are captured at the point of physical loading via enclaved IoT units. These units sign the raw witness telemetry using unextractable private keys embedded in physical Secure Elements (PUFs). 3. **The Cryptographic Link:** The ZK-circuit mathematically checks the signature of the trusted physical enclave. If a prover attempts to generate a proof using manual or modified inputs, the enclave signature check fails inside the circuit, rendering the final ZK-proof invalid.  *We do not just prove the consistency of claims; we cryptographically bind the physical weight and biometric presence to the final digital passport at the moment of extraction."*</w:t>
            </w:r>
          </w:p>
        </w:tc>
      </w:tr>
    </w:tbl>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7. The China Strategy: Neutralizing the Boardroom Veto</w:t>
      </w:r>
    </w:p>
    <w:p>
      <w:pPr>
        <w:spacing w:before="240" w:after="120"/>
      </w:pPr>
      <w:r>
        <w:rPr>
          <w:rFonts w:ascii="Calibri" w:hAnsi="Calibri"/>
          <w:b/>
          <w:color w:val="601F1F"/>
          <w:sz w:val="26"/>
        </w:rPr>
        <w:t>Vulnerability 1: The Sanctions / UFLPA Entity-List Trap</w:t>
      </w:r>
    </w:p>
    <w:p>
      <w:pPr>
        <w:spacing w:before="80" w:after="120" w:line="276" w:lineRule="auto"/>
        <w:ind w:left="360"/>
      </w:pPr>
      <w:r>
        <w:rPr>
          <w:rFonts w:ascii="Calibri" w:hAnsi="Calibri"/>
          <w:color w:val="2C2C2C"/>
          <w:sz w:val="22"/>
        </w:rPr>
      </w:r>
      <w:r>
        <w:rPr>
          <w:rFonts w:ascii="Calibri" w:hAnsi="Calibri"/>
          <w:b/>
          <w:color w:val="2C2C2C"/>
          <w:sz w:val="22"/>
        </w:rPr>
        <w:t>The Critique:</w:t>
      </w:r>
      <w:r>
        <w:rPr>
          <w:rFonts w:ascii="Calibri" w:hAnsi="Calibri"/>
          <w:color w:val="2C2C2C"/>
          <w:sz w:val="22"/>
        </w:rPr>
        <w:t xml:space="preserve"> *"If a Chinese miner is placed on a direct U.S. OFAC or EU entity-level sanctions list, no ZK-proof will save their Western market access. Western legal counsel will reject any transaction with a designated entity."*</w:t>
      </w:r>
    </w:p>
    <w:p>
      <w:pPr>
        <w:spacing w:before="80" w:after="120" w:line="276" w:lineRule="auto"/>
        <w:ind w:left="360"/>
      </w:pPr>
      <w:r>
        <w:rPr>
          <w:rFonts w:ascii="Calibri" w:hAnsi="Calibri"/>
          <w:color w:val="2C2C2C"/>
          <w:sz w:val="22"/>
        </w:rPr>
      </w:r>
      <w:r>
        <w:rPr>
          <w:rFonts w:ascii="Calibri" w:hAnsi="Calibri"/>
          <w:b/>
          <w:color w:val="2C2C2C"/>
          <w:sz w:val="22"/>
        </w:rPr>
        <w:t>The Counter-Strategy (Sanctions Contagion Prevention):</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*"We do not pitch Resource Command to save a directly designated SDN entity from direct sanctions. We pitch it as a **Sanctions Contagion Isolation Wall** for non-designated joint ventures, local African state partners, and downstream battery champions (like CATL and BYD).  Western buyers are currently self-sanctioning and boycotting *any* mineral coming out of the DRC if it has any proximity to Chinese-controlled logistics or mixed-batch operations (guilt-by-association). By implementing our ZK-pipeline, Chinese operators can prove that specific mineral batches routed through TAZARA (or managed by non-sanctioned joint ventures) are legally, operationally, and physically isolated from designated entities. We prevent Western 'scope creep' and protect their non-sanctioned supply chain revenue from contagion."*</w:t>
            </w:r>
          </w:p>
        </w:tc>
      </w:tr>
    </w:tbl>
    <w:p/>
    <w:p>
      <w:pPr>
        <w:spacing w:before="240" w:after="120"/>
      </w:pPr>
      <w:r>
        <w:rPr>
          <w:rFonts w:ascii="Calibri" w:hAnsi="Calibri"/>
          <w:b/>
          <w:color w:val="601F1F"/>
          <w:sz w:val="26"/>
        </w:rPr>
        <w:t>Vulnerability 2: The Xinchuang / "Trojan Horse" SIGINT Suspicion</w:t>
      </w:r>
    </w:p>
    <w:p>
      <w:pPr>
        <w:spacing w:before="80" w:after="120" w:line="276" w:lineRule="auto"/>
        <w:ind w:left="360"/>
      </w:pPr>
      <w:r>
        <w:rPr>
          <w:rFonts w:ascii="Calibri" w:hAnsi="Calibri"/>
          <w:color w:val="2C2C2C"/>
          <w:sz w:val="22"/>
        </w:rPr>
      </w:r>
      <w:r>
        <w:rPr>
          <w:rFonts w:ascii="Calibri" w:hAnsi="Calibri"/>
          <w:b/>
          <w:color w:val="2C2C2C"/>
          <w:sz w:val="22"/>
        </w:rPr>
        <w:t>The Critique:</w:t>
      </w:r>
      <w:r>
        <w:rPr>
          <w:rFonts w:ascii="Calibri" w:hAnsi="Calibri"/>
          <w:color w:val="2C2C2C"/>
          <w:sz w:val="22"/>
        </w:rPr>
        <w:t xml:space="preserve"> *"Chinese SOEs will never allow foreign-designed software or Western-semiconductor edge hardware (like an AR visor) at their mine gates due to Signals Intelligence (SIGINT) threats and 'domestic substitution' (Xinchuang) mandates."*</w:t>
      </w:r>
    </w:p>
    <w:p>
      <w:pPr>
        <w:spacing w:before="80" w:after="120" w:line="276" w:lineRule="auto"/>
        <w:ind w:left="360"/>
      </w:pPr>
      <w:r>
        <w:rPr>
          <w:rFonts w:ascii="Calibri" w:hAnsi="Calibri"/>
          <w:color w:val="2C2C2C"/>
          <w:sz w:val="22"/>
        </w:rPr>
      </w:r>
      <w:r>
        <w:rPr>
          <w:rFonts w:ascii="Calibri" w:hAnsi="Calibri"/>
          <w:b/>
          <w:color w:val="2C2C2C"/>
          <w:sz w:val="22"/>
        </w:rPr>
        <w:t>The Counter-Strategy (The Sovereign Dual-Prover Model):</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*"We do not ask Chinese operators to trust Western code or run proving software on Western chips. Resource Command utilizes a **Sovereign Dual-Prover Model**:  1. **Open-Source Math:** The underlying cryptographic R1CS circuit is completely open-source, mathematically transparent, and verified. 2. **Domestic Chinese Prover:** The Chinese operator runs their **own proprietary prover software**, compiled and audited by a Chinese cryptographic authority (like CNITSEC), running exclusively on secure, domestic, Xinchuang-compliant hardware (such as Loongson or Huawei-based processors). 3. **The Cryptographic Border:** The ZK-proof is generated entirely within their secure Chinese enclave. The outside world (Western buyers or verifiers) receives only the final, zero-knowledge mathematical output proof. They never touch the raw data, the hardware, or the Chinese-run prover software. The ZK-proof is the neutral cryptographic border where a Chinese-run prover speaks to a Western verifier."*</w:t>
            </w:r>
          </w:p>
        </w:tc>
      </w:tr>
    </w:tbl>
    <w:p/>
    <w:p>
      <w:pPr>
        <w:spacing w:before="240" w:after="120"/>
      </w:pPr>
      <w:r>
        <w:rPr>
          <w:rFonts w:ascii="Calibri" w:hAnsi="Calibri"/>
          <w:b/>
          <w:color w:val="601F1F"/>
          <w:sz w:val="26"/>
        </w:rPr>
        <w:t>Vulnerability 3: The Vertical Integration / Western Auditor Espionage Trap</w:t>
      </w:r>
    </w:p>
    <w:p>
      <w:pPr>
        <w:spacing w:before="80" w:after="120" w:line="276" w:lineRule="auto"/>
        <w:ind w:left="360"/>
      </w:pPr>
      <w:r>
        <w:rPr>
          <w:rFonts w:ascii="Calibri" w:hAnsi="Calibri"/>
          <w:color w:val="2C2C2C"/>
          <w:sz w:val="22"/>
        </w:rPr>
      </w:r>
      <w:r>
        <w:rPr>
          <w:rFonts w:ascii="Calibri" w:hAnsi="Calibri"/>
          <w:b/>
          <w:color w:val="2C2C2C"/>
          <w:sz w:val="22"/>
        </w:rPr>
        <w:t>The Critique:</w:t>
      </w:r>
      <w:r>
        <w:rPr>
          <w:rFonts w:ascii="Calibri" w:hAnsi="Calibri"/>
          <w:color w:val="2C2C2C"/>
          <w:sz w:val="22"/>
        </w:rPr>
        <w:t xml:space="preserve"> *"The EU Battery Passport forces the battery manufacturer (CATL/BYD) to comply, not the raw miner. Chinese SOEs have no direct incentive to spend capital solving their customers' compliance problems."*</w:t>
      </w:r>
    </w:p>
    <w:p>
      <w:pPr>
        <w:spacing w:before="80" w:after="120" w:line="276" w:lineRule="auto"/>
        <w:ind w:left="360"/>
      </w:pPr>
      <w:r>
        <w:rPr>
          <w:rFonts w:ascii="Calibri" w:hAnsi="Calibri"/>
          <w:color w:val="2C2C2C"/>
          <w:sz w:val="22"/>
        </w:rPr>
      </w:r>
      <w:r>
        <w:rPr>
          <w:rFonts w:ascii="Calibri" w:hAnsi="Calibri"/>
          <w:b/>
          <w:color w:val="2C2C2C"/>
          <w:sz w:val="22"/>
        </w:rPr>
        <w:t>The Counter-Strategy (The Upstream Provenance Monopoly):</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*"This is a critical misread of supply chain leverage. He who owns the provenance data controls the customer—and the mine.  If CATL and BYD must satisfy the EU Battery Passport to sell into Europe, they are completely dependent on upstream suppliers for data. If Chinese miners do not pre-emptively standardize their own ZK-provenance pipeline, Western automakers (VW, Mercedes, Tesla) will eventually force CATL to allow **Western corporate auditors (PwC, EY, Bureau Veritas) to physically inspect Chinese-owned mines in the DRC** to verify compliance data. This represents a massive national security and corporate espionage threat to Beijing.  &gt; By pre-emptively deploying Resource Command, Chinese miners **monopolize the compliance data**. They tell CATL and Western buyers: *'We do not allow foreign auditors into our strategic mines. We provide a mathematically certified, ZK-proof of provenance. Take the proof, or buy your cobalt elsewhere.'* It allows Chinese SOEs to protect their strategic assets from Western corporate espionage while still giving their battery champions (CATL/BYD) the exact compliance data they need to dominate the global market."*</w:t>
            </w:r>
          </w:p>
        </w:tc>
      </w:tr>
    </w:tbl>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8. The Boardroom Defense: Solving the Banking, Benchmark, and Auditing Vetoes</w:t>
      </w:r>
    </w:p>
    <w:p>
      <w:pPr>
        <w:spacing w:before="240" w:after="120"/>
      </w:pPr>
      <w:r>
        <w:rPr>
          <w:rFonts w:ascii="Calibri" w:hAnsi="Calibri"/>
          <w:b/>
          <w:color w:val="601F1F"/>
          <w:sz w:val="26"/>
        </w:rPr>
        <w:t>Vulnerability 1: The Banking &amp; Legal Opinion Trap</w:t>
      </w:r>
    </w:p>
    <w:p>
      <w:pPr>
        <w:spacing w:before="80" w:after="120" w:line="276" w:lineRule="auto"/>
        <w:ind w:left="360"/>
      </w:pPr>
      <w:r>
        <w:rPr>
          <w:rFonts w:ascii="Calibri" w:hAnsi="Calibri"/>
          <w:color w:val="2C2C2C"/>
          <w:sz w:val="22"/>
        </w:rPr>
      </w:r>
      <w:r>
        <w:rPr>
          <w:rFonts w:ascii="Calibri" w:hAnsi="Calibri"/>
          <w:b/>
          <w:color w:val="2C2C2C"/>
          <w:sz w:val="22"/>
        </w:rPr>
        <w:t>The Critique:</w:t>
      </w:r>
      <w:r>
        <w:rPr>
          <w:rFonts w:ascii="Calibri" w:hAnsi="Calibri"/>
          <w:color w:val="2C2C2C"/>
          <w:sz w:val="22"/>
        </w:rPr>
        <w:t xml:space="preserve"> *"U.S. correspondent banks and compliance officers will not clear transactions based on a ZK-proof. They require formal legal opinions from U.S. law firms, and no law firm will rely on ZKPs as an evidentiary basis."*</w:t>
      </w:r>
    </w:p>
    <w:p>
      <w:pPr>
        <w:spacing w:before="80" w:after="120" w:line="276" w:lineRule="auto"/>
        <w:ind w:left="360"/>
      </w:pPr>
      <w:r>
        <w:rPr>
          <w:rFonts w:ascii="Calibri" w:hAnsi="Calibri"/>
          <w:color w:val="2C2C2C"/>
          <w:sz w:val="22"/>
        </w:rPr>
      </w:r>
      <w:r>
        <w:rPr>
          <w:rFonts w:ascii="Calibri" w:hAnsi="Calibri"/>
          <w:b/>
          <w:color w:val="2C2C2C"/>
          <w:sz w:val="22"/>
        </w:rPr>
        <w:t>The Counter-Strategy (ZKP-Powered Legal Opinions):</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*"We do not propose that ZK-proofs immediately replace formal banking compliance documents or legal opinions. That would be commercial suicide.  Instead, Resource Command acts as an **Evidentiary Compliance Accelerator** for U.S. law firms. Today, a U.S. law firm takes 6 months and millions of dollars to write a 'clean provenance' legal opinion because they rely on slow, manual, easily falsified paper forensic audits.  By running Resource Command's ZK-pipeline in parallel, the Chinese miner provides the U.S. law firm with **automated, cryptographically signed, mathematically verified telemetry logs**. The law firm uses these ZK-verified logs as the *bulletproof primary evidence* to dramatically accelerate evidence preparation, enabling formal legal opinions to be issued in days rather than months for corporate structures whose beneficial ownership chains have been pre-mapped and pre-cleared by legal counsel. The ZKP does not replace the legal opinion—**the ZKP powers the legal opinion**, giving the bank's compliance officer the exact paper artifact they require, backed by mathematical certainty."*</w:t>
            </w:r>
          </w:p>
        </w:tc>
      </w:tr>
    </w:tbl>
    <w:p/>
    <w:p>
      <w:pPr>
        <w:spacing w:before="240" w:after="240"/>
      </w:pPr>
      <w:r>
        <w:rPr>
          <w:color w:val="C8C8C8"/>
        </w:rPr>
        <w:t>__________________________________________________________________</w:t>
      </w:r>
    </w:p>
    <w:p>
      <w:pPr>
        <w:spacing w:before="320" w:after="160"/>
      </w:pPr>
      <w:r>
        <w:rPr>
          <w:rFonts w:ascii="Calibri" w:hAnsi="Calibri"/>
          <w:b/>
          <w:color w:val="1F3A60"/>
          <w:sz w:val="32"/>
        </w:rPr>
        <w:t>8. The Boardroom Defense: Solving the Banking, Benchmark, and Auditing Vetoes</w:t>
      </w:r>
    </w:p>
    <w:p>
      <w:pPr>
        <w:spacing w:before="240" w:after="120"/>
      </w:pPr>
      <w:r>
        <w:rPr>
          <w:rFonts w:ascii="Calibri" w:hAnsi="Calibri"/>
          <w:b/>
          <w:color w:val="601F1F"/>
          <w:sz w:val="26"/>
        </w:rPr>
        <w:t>Vulnerability 1: The Banking &amp; Legal Opinion Trap</w:t>
      </w:r>
    </w:p>
    <w:p>
      <w:pPr>
        <w:spacing w:before="80" w:after="120" w:line="276" w:lineRule="auto"/>
        <w:ind w:left="360"/>
      </w:pPr>
      <w:r>
        <w:rPr>
          <w:rFonts w:ascii="Calibri" w:hAnsi="Calibri"/>
          <w:color w:val="2C2C2C"/>
          <w:sz w:val="22"/>
        </w:rPr>
      </w:r>
      <w:r>
        <w:rPr>
          <w:rFonts w:ascii="Calibri" w:hAnsi="Calibri"/>
          <w:b/>
          <w:color w:val="2C2C2C"/>
          <w:sz w:val="22"/>
        </w:rPr>
        <w:t>The Critique:</w:t>
      </w:r>
      <w:r>
        <w:rPr>
          <w:rFonts w:ascii="Calibri" w:hAnsi="Calibri"/>
          <w:color w:val="2C2C2C"/>
          <w:sz w:val="22"/>
        </w:rPr>
        <w:t xml:space="preserve"> *"U.S. correspondent banks and compliance officers will not clear transactions based on a ZK-proof. They require formal legal opinions from U.S. law firms, and no law firm will rely on ZKPs as an evidentiary basis."*</w:t>
      </w:r>
    </w:p>
    <w:p>
      <w:pPr>
        <w:spacing w:before="80" w:after="120" w:line="276" w:lineRule="auto"/>
        <w:ind w:left="360"/>
      </w:pPr>
      <w:r>
        <w:rPr>
          <w:rFonts w:ascii="Calibri" w:hAnsi="Calibri"/>
          <w:color w:val="2C2C2C"/>
          <w:sz w:val="22"/>
        </w:rPr>
      </w:r>
      <w:r>
        <w:rPr>
          <w:rFonts w:ascii="Calibri" w:hAnsi="Calibri"/>
          <w:b/>
          <w:color w:val="2C2C2C"/>
          <w:sz w:val="22"/>
        </w:rPr>
        <w:t>The Counter-Strategy (ZKP-Powered Legal Opinions):</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*"We do not propose that ZK-proofs immediately replace formal banking compliance documents or legal opinions. That would be commercial suicide.  Instead, Resource Command acts as an **Evidentiary Compliance Accelerator** for U.S. law firms. Today, a U.S. law firm takes 6 months and millions of dollars to write a 'clean provenance' legal opinion because they rely on slow, manual, easily falsified paper forensic audits.  By running Resource Command's ZK-pipeline in parallel, the Chinese miner provides the U.S. law firm with **automated, cryptographically signed, mathematically verified telemetry logs**. The law firm uses these ZK-verified logs as the *bulletproof primary evidence* to dramatically accelerate evidence preparation, enabling formal legal opinions to be issued in days rather than months for corporate structures whose beneficial ownership chains have been pre-mapped and pre-cleared by legal counsel. The ZKP does not replace the legal opinion—**the ZKP powers the legal opinion**, giving the bank's compliance officer the exact paper artifact they require, backed by mathematical certainty."*</w:t>
            </w:r>
          </w:p>
        </w:tc>
      </w:tr>
    </w:tbl>
    <w:p/>
    <w:p>
      <w:pPr>
        <w:spacing w:before="240" w:after="120"/>
      </w:pPr>
      <w:r>
        <w:rPr>
          <w:rFonts w:ascii="Calibri" w:hAnsi="Calibri"/>
          <w:b/>
          <w:color w:val="601F1F"/>
          <w:sz w:val="26"/>
        </w:rPr>
        <w:t>Vulnerability 2: The Circuit Sovereignty, Revocation, and Loongson Benchmark Gap</w:t>
      </w:r>
    </w:p>
    <w:p>
      <w:pPr>
        <w:spacing w:before="80" w:after="120" w:line="276" w:lineRule="auto"/>
        <w:ind w:left="360"/>
      </w:pPr>
      <w:r>
        <w:rPr>
          <w:rFonts w:ascii="Calibri" w:hAnsi="Calibri"/>
          <w:color w:val="2C2C2C"/>
          <w:sz w:val="22"/>
        </w:rPr>
      </w:r>
      <w:r>
        <w:rPr>
          <w:rFonts w:ascii="Calibri" w:hAnsi="Calibri"/>
          <w:b/>
          <w:color w:val="2C2C2C"/>
          <w:sz w:val="22"/>
        </w:rPr>
        <w:t>The Critique:</w:t>
      </w:r>
      <w:r>
        <w:rPr>
          <w:rFonts w:ascii="Calibri" w:hAnsi="Calibri"/>
          <w:color w:val="2C2C2C"/>
          <w:sz w:val="22"/>
        </w:rPr>
        <w:t xml:space="preserve"> *"The circuit rules are still written by Western regulators, and Resource Command controls the verification keys (revocation power). Furthermore, a unilateral Chinese operator veto over parameter updates is a logical paradox that makes the system structurally unacceptable to Western regulatory bodies."*</w:t>
      </w:r>
    </w:p>
    <w:p>
      <w:pPr>
        <w:spacing w:before="80" w:after="120" w:line="276" w:lineRule="auto"/>
        <w:ind w:left="360"/>
      </w:pPr>
      <w:r>
        <w:rPr>
          <w:rFonts w:ascii="Calibri" w:hAnsi="Calibri"/>
          <w:color w:val="2C2C2C"/>
          <w:sz w:val="22"/>
        </w:rPr>
      </w:r>
      <w:r>
        <w:rPr>
          <w:rFonts w:ascii="Calibri" w:hAnsi="Calibri"/>
          <w:b/>
          <w:color w:val="2C2C2C"/>
          <w:sz w:val="22"/>
        </w:rPr>
        <w:t>The Counter-Strategy (Bifurcated Parameter Architecture &amp; Escrowed MPC Fallback):</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*"We solve the sovereignty, revocation, and regulatory acceptances paradoxes at the architectural layer:  1. **Bifurcated Parameter Architecture (Dual-Circuit Scheme):** We split the circuit governance into two entirely distinct domains: - **The Sovereign Compliance Kernel (SCK):** Governs core, mathematically standardized international compliance parameters (e.g., carbon limits, EU Battery Passport data fields). SCK updates are compiled and deployed within a defined consortium SLA (target within 90 days of EU Battery Passport or equivalent parameter changes) and are governed by the **proposed Open-Source Circuit Governance Consortium, currently in formation** (with founding academic partners: the University of Zambia, the University of Lubumbashi, Tsinghua University's Cryptographic Laboratory, and **KU Leuven's COSIC cryptography group in Belgium**, with the **European Union Agency for Cybersecurity (ENISA)** as a proposed institutional observer). This provides Western regulators with absolute certainty of ongoing regulatory compliance, as the SCK accurately reflects international standards. The operator cannot veto SCK updates. If they refuse to execute an SCK update, the verification keys simply fail to validate their output, halting certified exports, which is a standard regulatory outcome. Importantly, this African-plurality, European-represented multi-stakeholder body gives Brussels regulators direct institutional visibility, while Chinese and African operators maintain a structural sovereign majority over key governance ceremonies. - **The Sovereign Operational Envelope (SOE):** Governs internal mine operations—sensor configurations, calibration curves, internal routing metadata, and raw telemetry data granularity. The Chinese operator retains **absolute, unilateral administrative veto power** over the SOE. This guarantees that Western SCK updates can never be used as a backdoor to force raw data exposure or operational espionage.</w:t>
            </w:r>
          </w:p>
        </w:tc>
      </w:tr>
    </w:tbl>
    <w:p/>
    <w:tbl>
      <w:tblPr>
        <w:tblW w:type="auto" w:w="0"/>
        <w:jc w:val="center"/>
        <w:tblLayout w:type="autofit"/>
        <w:tblLook w:firstColumn="1" w:firstRow="1" w:lastColumn="0" w:lastRow="0" w:noHBand="0" w:noVBand="1" w:val="04A0"/>
      </w:tblPr>
      <w:tblGrid>
        <w:gridCol w:w="4680"/>
        <w:gridCol w:w="4680"/>
      </w:tblGrid>
      <w:tr>
        <w:tc>
          <w:tcPr>
            <w:tcW w:type="dxa" w:w="4680"/>
            <w:shd w:fill="1F3A60"/>
            <w:tcMar>
              <w:top w:w="100" w:type="dxa"/>
              <w:bottom w:w="100" w:type="dxa"/>
              <w:left w:w="150" w:type="dxa"/>
              <w:right w:w="150" w:type="dxa"/>
            </w:tcMar>
          </w:tcPr>
          <w:p>
            <w:pPr>
              <w:spacing w:before="120" w:after="120"/>
            </w:pPr>
            <w:r>
              <w:rPr>
                <w:rFonts w:ascii="Calibri" w:hAnsi="Calibri"/>
                <w:b/>
                <w:color w:val="FFFFFF"/>
              </w:rPr>
              <w:t>Sovereign Compliance Kernel (SCK) &lt;br&gt; *(Open &amp; Un-vetoable)*</w:t>
            </w:r>
          </w:p>
        </w:tc>
        <w:tc>
          <w:tcPr>
            <w:tcW w:type="dxa" w:w="4680"/>
            <w:shd w:fill="1F3A60"/>
            <w:tcMar>
              <w:top w:w="100" w:type="dxa"/>
              <w:bottom w:w="100" w:type="dxa"/>
              <w:left w:w="150" w:type="dxa"/>
              <w:right w:w="150" w:type="dxa"/>
            </w:tcMar>
          </w:tcPr>
          <w:p>
            <w:pPr>
              <w:spacing w:before="120" w:after="120"/>
            </w:pPr>
            <w:r>
              <w:rPr>
                <w:rFonts w:ascii="Calibri" w:hAnsi="Calibri"/>
                <w:b/>
                <w:color w:val="FFFFFF"/>
              </w:rPr>
              <w:t>Sovereign Operational Envelope (SOE) &lt;br&gt; *(Encrypted &amp; Vetoable)*</w:t>
            </w:r>
          </w:p>
        </w:tc>
      </w:tr>
      <w:tr>
        <w:tc>
          <w:tcPr>
            <w:tcW w:type="dxa" w:w="4680"/>
            <w:shd w:fill="F4F6F9"/>
            <w:tcMar>
              <w:top w:w="100" w:type="dxa"/>
              <w:bottom w:w="100" w:type="dxa"/>
              <w:left w:w="150" w:type="dxa"/>
              <w:right w:w="150" w:type="dxa"/>
            </w:tcMar>
          </w:tcPr>
          <w:p>
            <w:pPr>
              <w:spacing w:before="120" w:after="120"/>
            </w:pPr>
            <w:r>
              <w:rPr>
                <w:rFonts w:ascii="Calibri" w:hAnsi="Calibri"/>
                <w:color w:val="2C2C2C"/>
              </w:rPr>
              <w:t>Carbon Footprint Metrics ($CO_2$ equivalents)</w:t>
            </w:r>
          </w:p>
        </w:tc>
        <w:tc>
          <w:tcPr>
            <w:tcW w:type="dxa" w:w="4680"/>
            <w:shd w:fill="F4F6F9"/>
            <w:tcMar>
              <w:top w:w="100" w:type="dxa"/>
              <w:bottom w:w="100" w:type="dxa"/>
              <w:left w:w="150" w:type="dxa"/>
              <w:right w:w="150" w:type="dxa"/>
            </w:tcMar>
          </w:tcPr>
          <w:p>
            <w:pPr>
              <w:spacing w:before="120" w:after="120"/>
            </w:pPr>
            <w:r>
              <w:rPr>
                <w:rFonts w:ascii="Calibri" w:hAnsi="Calibri"/>
                <w:color w:val="2C2C2C"/>
              </w:rPr>
              <w:t>Raw Batch Weights &amp; Ore Grade Data</w:t>
            </w:r>
          </w:p>
        </w:tc>
      </w:tr>
      <w:tr>
        <w:tc>
          <w:tcPr>
            <w:tcW w:type="dxa" w:w="4680"/>
            <w:tcMar>
              <w:top w:w="100" w:type="dxa"/>
              <w:bottom w:w="100" w:type="dxa"/>
              <w:left w:w="150" w:type="dxa"/>
              <w:right w:w="150" w:type="dxa"/>
            </w:tcMar>
          </w:tcPr>
          <w:p>
            <w:pPr>
              <w:spacing w:before="120" w:after="120"/>
            </w:pPr>
            <w:r>
              <w:rPr>
                <w:rFonts w:ascii="Calibri" w:hAnsi="Calibri"/>
                <w:color w:val="2C2C2C"/>
              </w:rPr>
              <w:t>Recycled Content Percentages</w:t>
            </w:r>
          </w:p>
        </w:tc>
        <w:tc>
          <w:tcPr>
            <w:tcW w:type="dxa" w:w="4680"/>
            <w:tcMar>
              <w:top w:w="100" w:type="dxa"/>
              <w:bottom w:w="100" w:type="dxa"/>
              <w:left w:w="150" w:type="dxa"/>
              <w:right w:w="150" w:type="dxa"/>
            </w:tcMar>
          </w:tcPr>
          <w:p>
            <w:pPr>
              <w:spacing w:before="120" w:after="120"/>
            </w:pPr>
            <w:r>
              <w:rPr>
                <w:rFonts w:ascii="Calibri" w:hAnsi="Calibri"/>
                <w:color w:val="2C2C2C"/>
              </w:rPr>
              <w:t>Exact Mining Coordinate Telemetry</w:t>
            </w:r>
          </w:p>
        </w:tc>
      </w:tr>
      <w:tr>
        <w:tc>
          <w:tcPr>
            <w:tcW w:type="dxa" w:w="4680"/>
            <w:shd w:fill="F4F6F9"/>
            <w:tcMar>
              <w:top w:w="100" w:type="dxa"/>
              <w:bottom w:w="100" w:type="dxa"/>
              <w:left w:w="150" w:type="dxa"/>
              <w:right w:w="150" w:type="dxa"/>
            </w:tcMar>
          </w:tcPr>
          <w:p>
            <w:pPr>
              <w:spacing w:before="120" w:after="120"/>
            </w:pPr>
            <w:r>
              <w:rPr>
                <w:rFonts w:ascii="Calibri" w:hAnsi="Calibri"/>
                <w:color w:val="2C2C2C"/>
              </w:rPr>
              <w:t>Battery Chemistry Declarations (NMC/LFP)</w:t>
            </w:r>
          </w:p>
        </w:tc>
        <w:tc>
          <w:tcPr>
            <w:tcW w:type="dxa" w:w="4680"/>
            <w:shd w:fill="F4F6F9"/>
            <w:tcMar>
              <w:top w:w="100" w:type="dxa"/>
              <w:bottom w:w="100" w:type="dxa"/>
              <w:left w:w="150" w:type="dxa"/>
              <w:right w:w="150" w:type="dxa"/>
            </w:tcMar>
          </w:tcPr>
          <w:p>
            <w:pPr>
              <w:spacing w:before="120" w:after="120"/>
            </w:pPr>
            <w:r>
              <w:rPr>
                <w:rFonts w:ascii="Calibri" w:hAnsi="Calibri"/>
                <w:color w:val="2C2C2C"/>
              </w:rPr>
              <w:t>Specific Processing &amp; Refining Volumes</w:t>
            </w:r>
          </w:p>
        </w:tc>
      </w:tr>
      <w:tr>
        <w:tc>
          <w:tcPr>
            <w:tcW w:type="dxa" w:w="4680"/>
            <w:tcMar>
              <w:top w:w="100" w:type="dxa"/>
              <w:bottom w:w="100" w:type="dxa"/>
              <w:left w:w="150" w:type="dxa"/>
              <w:right w:w="150" w:type="dxa"/>
            </w:tcMar>
          </w:tcPr>
          <w:p>
            <w:pPr>
              <w:spacing w:before="120" w:after="120"/>
            </w:pPr>
            <w:r>
              <w:rPr>
                <w:rFonts w:ascii="Calibri" w:hAnsi="Calibri"/>
                <w:color w:val="2C2C2C"/>
              </w:rPr>
              <w:t>Battery Passport ID</w:t>
            </w:r>
          </w:p>
        </w:tc>
        <w:tc>
          <w:tcPr>
            <w:tcW w:type="dxa" w:w="4680"/>
            <w:tcMar>
              <w:top w:w="100" w:type="dxa"/>
              <w:bottom w:w="100" w:type="dxa"/>
              <w:left w:w="150" w:type="dxa"/>
              <w:right w:w="150" w:type="dxa"/>
            </w:tcMar>
          </w:tcPr>
          <w:p>
            <w:pPr>
              <w:spacing w:before="120" w:after="120"/>
            </w:pPr>
            <w:r>
              <w:rPr>
                <w:rFonts w:ascii="Calibri" w:hAnsi="Calibri"/>
                <w:color w:val="2C2C2C"/>
              </w:rPr>
              <w:t>Precise Logistical Routes &amp; Depots</w:t>
            </w:r>
          </w:p>
        </w:tc>
      </w:tr>
      <w:tr>
        <w:tc>
          <w:tcPr>
            <w:tcW w:type="dxa" w:w="4680"/>
            <w:shd w:fill="F4F6F9"/>
            <w:tcMar>
              <w:top w:w="100" w:type="dxa"/>
              <w:bottom w:w="100" w:type="dxa"/>
              <w:left w:w="150" w:type="dxa"/>
              <w:right w:w="150" w:type="dxa"/>
            </w:tcMar>
          </w:tcPr>
          <w:p>
            <w:pPr>
              <w:spacing w:before="120" w:after="120"/>
            </w:pPr>
            <w:r>
              <w:rPr>
                <w:rFonts w:ascii="Calibri" w:hAnsi="Calibri"/>
                <w:color w:val="2C2C2C"/>
              </w:rPr>
              <w:t>Conflict-Free Origin Attestations (Output Proof)</w:t>
            </w:r>
          </w:p>
        </w:tc>
        <w:tc>
          <w:tcPr>
            <w:tcW w:type="dxa" w:w="4680"/>
            <w:shd w:fill="F4F6F9"/>
            <w:tcMar>
              <w:top w:w="100" w:type="dxa"/>
              <w:bottom w:w="100" w:type="dxa"/>
              <w:left w:w="150" w:type="dxa"/>
              <w:right w:w="150" w:type="dxa"/>
            </w:tcMar>
          </w:tcPr>
          <w:p>
            <w:pPr>
              <w:spacing w:before="120" w:after="120"/>
            </w:pPr>
            <w:r>
              <w:rPr>
                <w:rFonts w:ascii="Calibri" w:hAnsi="Calibri"/>
                <w:color w:val="2C2C2C"/>
              </w:rPr>
              <w:t>Transport Timings &amp; Vehicle/Locomotive IDs</w:t>
            </w:r>
          </w:p>
        </w:tc>
      </w:tr>
      <w:tr>
        <w:tc>
          <w:tcPr>
            <w:tcW w:type="dxa" w:w="4680"/>
            <w:tcMar>
              <w:top w:w="100" w:type="dxa"/>
              <w:bottom w:w="100" w:type="dxa"/>
              <w:left w:w="150" w:type="dxa"/>
              <w:right w:w="150" w:type="dxa"/>
            </w:tcMar>
          </w:tcPr>
          <w:p>
            <w:pPr>
              <w:spacing w:before="120" w:after="120"/>
            </w:pPr>
            <w:r>
              <w:rPr>
                <w:rFonts w:ascii="Calibri" w:hAnsi="Calibri"/>
                <w:color w:val="2C2C2C"/>
              </w:rPr>
              <w:t>Supply Chain Due Diligence Compliance (ZKP Output)</w:t>
            </w:r>
          </w:p>
        </w:tc>
        <w:tc>
          <w:tcPr>
            <w:tcW w:type="dxa" w:w="4680"/>
            <w:tcMar>
              <w:top w:w="100" w:type="dxa"/>
              <w:bottom w:w="100" w:type="dxa"/>
              <w:left w:w="150" w:type="dxa"/>
              <w:right w:w="150" w:type="dxa"/>
            </w:tcMar>
          </w:tcPr>
          <w:p>
            <w:pPr>
              <w:spacing w:before="120" w:after="120"/>
            </w:pPr>
            <w:r>
              <w:rPr>
                <w:rFonts w:ascii="Calibri" w:hAnsi="Calibri"/>
                <w:color w:val="2C2C2C"/>
              </w:rPr>
              <w:t>Direct Supplier Names &amp; Contract IDs</w:t>
            </w:r>
          </w:p>
        </w:tc>
      </w:tr>
      <w:tr>
        <w:tc>
          <w:tcPr>
            <w:tcW w:type="dxa" w:w="4680"/>
            <w:shd w:fill="F4F6F9"/>
            <w:tcMar>
              <w:top w:w="100" w:type="dxa"/>
              <w:bottom w:w="100" w:type="dxa"/>
              <w:left w:w="150" w:type="dxa"/>
              <w:right w:w="150" w:type="dxa"/>
            </w:tcMar>
          </w:tcPr>
          <w:p>
            <w:pPr>
              <w:spacing w:before="120" w:after="120"/>
            </w:pPr>
            <w:r>
              <w:rPr>
                <w:rFonts w:ascii="Calibri" w:hAnsi="Calibri"/>
                <w:color w:val="2C2C2C"/>
              </w:rPr>
            </w:r>
          </w:p>
        </w:tc>
        <w:tc>
          <w:tcPr>
            <w:tcW w:type="dxa" w:w="4680"/>
            <w:shd w:fill="F4F6F9"/>
            <w:tcMar>
              <w:top w:w="100" w:type="dxa"/>
              <w:bottom w:w="100" w:type="dxa"/>
              <w:left w:w="150" w:type="dxa"/>
              <w:right w:w="150" w:type="dxa"/>
            </w:tcMar>
          </w:tcPr>
          <w:p>
            <w:pPr>
              <w:spacing w:before="120" w:after="120"/>
            </w:pPr>
            <w:r>
              <w:rPr>
                <w:rFonts w:ascii="Calibri" w:hAnsi="Calibri"/>
                <w:color w:val="2C2C2C"/>
              </w:rPr>
            </w:r>
          </w:p>
        </w:tc>
      </w:tr>
    </w:tbl>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2. **Sovereign Custody Escrow Scheme (The Bilateral Diplomatic Track):** We do not dress a diplomatic agreement as a technical feature. Recovery keys will be held in escrow under the **Bilateral Sovereign Data Custody Escrow Agreement currently under negotiation as a digital governance addendum to the Sicomines framework**, co-managed by the DRC Ministry of Mines and China's State Cryptographic Administration (SCA), with target execution by Q3 2026. Under this framework, in the event of an emergency Western de-risking event where Western verification nodes are legally frozen, the recovery keys are released from escrow to the joint China-DRC sovereign operating committee. This maintains absolute transport and operational continuity. 3. **Native Xinchuang Prover Portability &amp; STARK Transparency:** To eliminate instruction-set architecture (ISA) dependencies, we compile our circuits using **RISC-V-compatible zkVMs (primarily RISC0, or SP1)**. We disclose a critical cryptographic distinction: RISC0 employs a pure STARK-based proof system, which is 100% transparent and requires no trusted setup of any kind, making it the primary system for strict Xinchuang sovereign deployments. In contrast, SP1 utilizes a PLONK-based system with KZG polynomial commitments, which inherits the existing universal Powers of Tau trusted setup ceremony (historically coordinated by Western institutional actors). SP1 is therefore positioned strictly as a secondary alternative for contexts where proof size and verification gas efficiency outweigh trusted-setup transparency requirements. In both systems, RISC-V operates strictly as the guest instruction set for programs being proved, while the host prover—which generates the ZK proof—compiles natively to any target architecture including Loongson LoongArch and Huawei Kunpeng ARM64, without any RISC-V emulation overhead on the proving host. This guarantees that proving times remain well within operational tolerances, fully optimized for Xinchuang hardware."*</w:t>
            </w:r>
          </w:p>
        </w:tc>
      </w:tr>
    </w:tbl>
    <w:p/>
    <w:p>
      <w:pPr>
        <w:spacing w:before="240" w:after="120"/>
      </w:pPr>
      <w:r>
        <w:rPr>
          <w:rFonts w:ascii="Calibri" w:hAnsi="Calibri"/>
          <w:b/>
          <w:color w:val="601F1F"/>
          <w:sz w:val="26"/>
        </w:rPr>
        <w:t>Vulnerability 3: The CATL Contract &amp; DRC Sovereign Veto</w:t>
      </w:r>
    </w:p>
    <w:p>
      <w:pPr>
        <w:spacing w:before="80" w:after="120" w:line="276" w:lineRule="auto"/>
        <w:ind w:left="360"/>
      </w:pPr>
      <w:r>
        <w:rPr>
          <w:rFonts w:ascii="Calibri" w:hAnsi="Calibri"/>
          <w:color w:val="2C2C2C"/>
          <w:sz w:val="22"/>
        </w:rPr>
      </w:r>
      <w:r>
        <w:rPr>
          <w:rFonts w:ascii="Calibri" w:hAnsi="Calibri"/>
          <w:b/>
          <w:color w:val="2C2C2C"/>
          <w:sz w:val="22"/>
        </w:rPr>
        <w:t>The Critique:</w:t>
      </w:r>
      <w:r>
        <w:rPr>
          <w:rFonts w:ascii="Calibri" w:hAnsi="Calibri"/>
          <w:color w:val="2C2C2C"/>
          <w:sz w:val="22"/>
        </w:rPr>
        <w:t xml:space="preserve"> *"Western automaker contracts (VW, Tesla) legally mandate physical audit rights. CATL cannot substitute physical audits with ZKPs without breaching contracts. Furthermore, the DRC government (20% owner) will veto any policy that rejects international physical audit standards."*</w:t>
      </w:r>
    </w:p>
    <w:p>
      <w:pPr>
        <w:spacing w:before="80" w:after="120" w:line="276" w:lineRule="auto"/>
        <w:ind w:left="360"/>
      </w:pPr>
      <w:r>
        <w:rPr>
          <w:rFonts w:ascii="Calibri" w:hAnsi="Calibri"/>
          <w:color w:val="2C2C2C"/>
          <w:sz w:val="22"/>
        </w:rPr>
      </w:r>
      <w:r>
        <w:rPr>
          <w:rFonts w:ascii="Calibri" w:hAnsi="Calibri"/>
          <w:b/>
          <w:color w:val="2C2C2C"/>
          <w:sz w:val="22"/>
        </w:rPr>
        <w:t>The Counter-Strategy (ZKP-Gated Hybrid Auditing &amp; OECD Alignment):</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*"We do not propose a complete, confrontational ban on physical audits. That would trigger a DRC government veto and contract breaches for CATL.  Instead, we introduce **ZKP-Gated Auditing**. Currently, physical audits are a constant security and corporate espionage hazard, with Western teams walking the mines monthly.  Under our hybrid model, continuous daily compliance is verified cryptographically via ZK-proofs. This allows the Chinese operator to negotiate a reduction in physical audit frequency—**shifting from high-frequency monthly inspections to a single, high-security, sovereign-supervised annual spot-check**. Crucially, to satisfy Western automakers and the DRC government, this annual audit's scope is expanded beyond sensor calibration to include a **structured OECD Process Audit Checklist** (covering supplier risk management systems, risk mitigation strategies, and corrective action records). The audit is co-conducted by the DRC Ministry of Mines and the operator, ensuring documentation review is satisfied without letting Western intelligence teams walk the mine floors freely. To satisfy strict OECD auditor independence standards—as the DRC Ministry of Mines holds equity exposure to audited assets—the annual audit integrates a certified, OECD-recognized independent third-party auditor (such as an approved **Responsible Minerals Initiative (RMI)** auditor) as a technical observer to the process checklist review, without granting them physical mine-floor access. This technical observer certifies that the documentation review is conducted to standard, closing the independence gap while maintaining operational sovereignty.</w:t>
            </w:r>
          </w:p>
        </w:tc>
      </w:tr>
    </w:tbl>
    <w:p/>
    <w:tbl>
      <w:tblPr>
        <w:tblW w:type="auto" w:w="0"/>
        <w:jc w:val="center"/>
        <w:tblLayout w:type="autofit"/>
        <w:tblLook w:firstColumn="1" w:firstRow="1" w:lastColumn="0" w:lastRow="0" w:noHBand="0" w:noVBand="1" w:val="04A0"/>
      </w:tblPr>
      <w:tblGrid>
        <w:gridCol w:w="9360"/>
      </w:tblGrid>
      <w:tr>
        <w:tc>
          <w:tcPr>
            <w:tcW w:type="dxa" w:w="9360"/>
            <w:shd w:fill="1F3A60"/>
            <w:tcMar>
              <w:top w:w="100" w:type="dxa"/>
              <w:bottom w:w="100" w:type="dxa"/>
              <w:left w:w="150" w:type="dxa"/>
              <w:right w:w="150" w:type="dxa"/>
            </w:tcMar>
          </w:tcPr>
          <w:p>
            <w:pPr>
              <w:spacing w:before="120" w:after="120"/>
            </w:pPr>
            <w:r>
              <w:rPr>
                <w:rFonts w:ascii="Calibri" w:hAnsi="Calibri"/>
                <w:b/>
                <w:color w:val="FFFFFF"/>
              </w:rPr>
              <w:t>Continuous Hardware Attestation Roadmap &lt;br&gt; *(Phase 2 Implementation Requirement)*</w:t>
            </w:r>
          </w:p>
        </w:tc>
      </w:tr>
      <w:tr>
        <w:tc>
          <w:tcPr>
            <w:tcW w:type="dxa" w:w="9360"/>
            <w:shd w:fill="F4F6F9"/>
            <w:tcMar>
              <w:top w:w="100" w:type="dxa"/>
              <w:bottom w:w="100" w:type="dxa"/>
              <w:left w:w="150" w:type="dxa"/>
              <w:right w:w="150" w:type="dxa"/>
            </w:tcMar>
          </w:tcPr>
          <w:p>
            <w:pPr>
              <w:spacing w:before="120" w:after="120"/>
            </w:pPr>
            <w:r>
              <w:rPr>
                <w:rFonts w:ascii="Calibri" w:hAnsi="Calibri"/>
                <w:color w:val="2C2C2C"/>
              </w:rPr>
              <w:t>HSM Cryptographic Signatures: Enforce hardware security module (HSM) signing on all raw sensor readings at the point of ingestion, establishing absolute hardware provenance.</w:t>
            </w:r>
          </w:p>
        </w:tc>
      </w:tr>
      <w:tr>
        <w:tc>
          <w:tcPr>
            <w:tcW w:type="dxa" w:w="9360"/>
            <w:tcMar>
              <w:top w:w="100" w:type="dxa"/>
              <w:bottom w:w="100" w:type="dxa"/>
              <w:left w:w="150" w:type="dxa"/>
              <w:right w:w="150" w:type="dxa"/>
            </w:tcMar>
          </w:tcPr>
          <w:p>
            <w:pPr>
              <w:spacing w:before="120" w:after="120"/>
            </w:pPr>
            <w:r>
              <w:rPr>
                <w:rFonts w:ascii="Calibri" w:hAnsi="Calibri"/>
                <w:color w:val="2C2C2C"/>
              </w:rPr>
              <w:t>Tamper-Evident Physical Housings: Encase all edge sensor nodes in physically sealed, tamper-evident housings with localized circuit loops to automatically detect mid-year physical tampering.</w:t>
            </w:r>
          </w:p>
        </w:tc>
      </w:tr>
      <w:tr>
        <w:tc>
          <w:tcPr>
            <w:tcW w:type="dxa" w:w="9360"/>
            <w:shd w:fill="F4F6F9"/>
            <w:tcMar>
              <w:top w:w="100" w:type="dxa"/>
              <w:bottom w:w="100" w:type="dxa"/>
              <w:left w:w="150" w:type="dxa"/>
              <w:right w:w="150" w:type="dxa"/>
            </w:tcMar>
          </w:tcPr>
          <w:p>
            <w:pPr>
              <w:spacing w:before="120" w:after="120"/>
            </w:pPr>
            <w:r>
              <w:rPr>
                <w:rFonts w:ascii="Calibri" w:hAnsi="Calibri"/>
                <w:color w:val="2C2C2C"/>
              </w:rPr>
              <w:t>Firmware Integrity Verification: Establish continuous boot-time and run-time cryptographic firmware integrity checks (Root of Trust) to prevent systematically biased firmware injection.</w:t>
            </w:r>
          </w:p>
        </w:tc>
      </w:tr>
      <w:tr>
        <w:tc>
          <w:tcPr>
            <w:tcW w:type="dxa" w:w="9360"/>
            <w:tcMar>
              <w:top w:w="100" w:type="dxa"/>
              <w:bottom w:w="100" w:type="dxa"/>
              <w:left w:w="150" w:type="dxa"/>
              <w:right w:w="150" w:type="dxa"/>
            </w:tcMar>
          </w:tcPr>
          <w:p>
            <w:pPr>
              <w:spacing w:before="120" w:after="120"/>
            </w:pPr>
            <w:r>
              <w:rPr>
                <w:rFonts w:ascii="Calibri" w:hAnsi="Calibri"/>
                <w:color w:val="2C2C2C"/>
              </w:rPr>
            </w:r>
          </w:p>
        </w:tc>
      </w:tr>
    </w:tbl>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**Sovereignty Leverage &amp; Bilateral Economic Insulation:** We openly acknowledge a structural geopolitical reality: the sovereignty of this auditing system depends entirely on the DRC Ministry of Mines' resilience against Western financial conditionality (IMF program requirements, World Bank infrastructural debt). A financially dependent state ministry is vulnerable to external pressure. Therefore, Resource Command is not deployed in isolation. Resource Command is deployed as part of the broader DRC-China bilateral economic partnership, which strengthens the long-term financial resilience of the host sovereign's digital infrastructure governance."*</w:t>
            </w:r>
          </w:p>
        </w:tc>
      </w:tr>
    </w:tbl>
    <w:p/>
    <w:p>
      <w:pPr>
        <w:spacing w:before="240" w:after="120"/>
      </w:pPr>
      <w:r>
        <w:rPr>
          <w:rFonts w:ascii="Calibri" w:hAnsi="Calibri"/>
          <w:b/>
          <w:color w:val="601F1F"/>
          <w:sz w:val="26"/>
        </w:rPr>
        <w:t>Vulnerability 4: The Regulatory Sequencing Strategy</w:t>
      </w:r>
    </w:p>
    <w:p>
      <w:pPr>
        <w:spacing w:before="80" w:after="120" w:line="276" w:lineRule="auto"/>
        <w:ind w:left="360"/>
      </w:pPr>
      <w:r>
        <w:rPr>
          <w:rFonts w:ascii="Calibri" w:hAnsi="Calibri"/>
          <w:color w:val="2C2C2C"/>
          <w:sz w:val="22"/>
        </w:rPr>
      </w:r>
      <w:r>
        <w:rPr>
          <w:rFonts w:ascii="Calibri" w:hAnsi="Calibri"/>
          <w:b/>
          <w:color w:val="2C2C2C"/>
          <w:sz w:val="22"/>
        </w:rPr>
        <w:t>The Critique:</w:t>
      </w:r>
      <w:r>
        <w:rPr>
          <w:rFonts w:ascii="Calibri" w:hAnsi="Calibri"/>
          <w:color w:val="2C2C2C"/>
          <w:sz w:val="22"/>
        </w:rPr>
        <w:t xml:space="preserve"> *"No major jurisdiction (US/EU/FATF) formally recognizes ZKPs as legally valid compliance documentation. You are selling a compliance solution that no compliance officer can legally adopt today."*</w:t>
      </w:r>
    </w:p>
    <w:p>
      <w:pPr>
        <w:spacing w:before="80" w:after="120" w:line="276" w:lineRule="auto"/>
        <w:ind w:left="360"/>
      </w:pPr>
      <w:r>
        <w:rPr>
          <w:rFonts w:ascii="Calibri" w:hAnsi="Calibri"/>
          <w:color w:val="2C2C2C"/>
          <w:sz w:val="22"/>
        </w:rPr>
      </w:r>
      <w:r>
        <w:rPr>
          <w:rFonts w:ascii="Calibri" w:hAnsi="Calibri"/>
          <w:b/>
          <w:color w:val="2C2C2C"/>
          <w:sz w:val="22"/>
        </w:rPr>
        <w:t>The Counter-Strategy (The Regulatory Bridge):</w:t>
      </w:r>
      <w:r>
        <w:rPr>
          <w:rFonts w:ascii="Calibri" w:hAnsi="Calibri"/>
          <w:color w:val="2C2C2C"/>
          <w:sz w:val="22"/>
        </w:rPr>
      </w:r>
    </w:p>
    <w:tbl>
      <w:tblPr>
        <w:tblW w:type="auto" w:w="0"/>
        <w:jc w:val="center"/>
        <w:tblLayout w:type="fixed"/>
        <w:tblLook w:firstColumn="1" w:firstRow="1" w:lastColumn="0" w:lastRow="0" w:noHBand="0" w:noVBand="1" w:val="04A0"/>
      </w:tblPr>
      <w:tblGrid>
        <w:gridCol w:w="9360"/>
      </w:tblGrid>
      <w:tr>
        <w:tc>
          <w:tcPr>
            <w:tcW w:type="dxa" w:w="8352"/>
            <w:tcBorders>
              <w:top w:val="none"/>
              <w:left w:val="single" w:sz="36" w:space="0" w:color="1F3A60"/>
              <w:bottom w:val="none"/>
              <w:right w:val="none"/>
            </w:tcBorders>
            <w:shd w:fill="F4F6F9"/>
            <w:tcMar>
              <w:top w:w="150" w:type="dxa"/>
              <w:bottom w:w="150" w:type="dxa"/>
              <w:left w:w="200" w:type="dxa"/>
              <w:right w:w="200" w:type="dxa"/>
            </w:tcMar>
          </w:tcPr>
          <w:p>
            <w:pPr>
              <w:spacing w:before="0" w:after="0"/>
            </w:pPr>
            <w:r>
              <w:rPr>
                <w:rFonts w:ascii="Calibri" w:hAnsi="Calibri"/>
                <w:i/>
                <w:color w:val="2C2C2C"/>
                <w:sz w:val="22"/>
              </w:rPr>
              <w:t>*"We are not waiting for the future; we are actively writing the standards.  Resource Command’s legal framework is anchored directly in the **Bamberger et al. (2021) 'Verification Dilemmas in Law and the Promise of Zero-Knowledge Proofs'** paper. Co-authored by Turing laureate **Shafi Goldwasser**, this framework provides the theoretical foundation increasingly referenced in policy discussions at the U.S. SEC, the FATF Virtual Assets Working Group, and the European Commission as these bodies develop digital compliance infrastructure for the next generation of regulatory frameworks.  By deploying Resource Command today, Chinese operators are not adopting an unverified system—they are deploying the exact architecture increasingly recognized in leading international policy circles, ensuring they **write the rules of the table rather than being served on the menu**."*</w:t>
            </w:r>
          </w:p>
        </w:tc>
      </w:tr>
    </w:tbl>
    <w:p/>
    <w:p>
      <w:pPr>
        <w:spacing w:before="240" w:after="240"/>
      </w:pPr>
      <w:r>
        <w:rPr>
          <w:color w:val="C8C8C8"/>
        </w:rPr>
        <w:t>__________________________________________________________________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