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5676"/>
          <w:sz w:val="64"/>
        </w:rPr>
        <w:t>RESOURCE COMMAND</w:t>
      </w:r>
    </w:p>
    <w:p/>
    <w:p>
      <w:pPr>
        <w:jc w:val="center"/>
      </w:pPr>
      <w:r>
        <w:rPr>
          <w:i/>
          <w:color w:val="1A1A2E"/>
          <w:sz w:val="28"/>
        </w:rPr>
        <w:t>Sovereign ZK-SNARK Mineral Royalty Compliance Protocol</w:t>
      </w:r>
    </w:p>
    <w:p/>
    <w:p/>
    <w:p>
      <w:pPr>
        <w:spacing w:before="80" w:after="80"/>
        <w:pBdr>
          <w:bottom w:val="single" w:sz="6" w:space="1" w:color="CCCCCC"/>
        </w:pBdr>
      </w:pPr>
    </w:p>
    <w:p/>
    <w:p>
      <w:pPr>
        <w:jc w:val="center"/>
      </w:pPr>
      <w:r>
        <w:rPr>
          <w:b/>
          <w:color w:val="C59A0A"/>
          <w:sz w:val="36"/>
        </w:rPr>
        <w:t>SHAREHOLDER BRIEFING</w:t>
      </w:r>
    </w:p>
    <w:p/>
    <w:p>
      <w:pPr>
        <w:jc w:val="center"/>
      </w:pPr>
      <w:r>
        <w:rPr>
          <w:color w:val="555555"/>
          <w:sz w:val="22"/>
        </w:rPr>
        <w:t>May 2026  ·  Kgosi Capital Holdings  ·  CONFIDENTIAL</w:t>
      </w:r>
    </w:p>
    <w:p/>
    <w:p/>
    <w:p/>
    <w:p/>
    <w:p/>
    <w:p>
      <w:pPr>
        <w:jc w:val="center"/>
      </w:pPr>
      <w:r>
        <w:rPr>
          <w:i/>
          <w:color w:val="444444"/>
          <w:sz w:val="24"/>
        </w:rPr>
        <w:t>From circuit design to sovereign infrastructure:</w:t>
        <w:br/>
        <w:t>the complete architectural and geopolitical journey.</w:t>
      </w:r>
    </w:p>
    <w:p>
      <w:r>
        <w:br w:type="page"/>
      </w:r>
    </w:p>
    <w:p>
      <w:pPr>
        <w:pStyle w:val="Heading1"/>
        <w:spacing w:before="360" w:after="160"/>
      </w:pPr>
      <w:r>
        <w:rPr>
          <w:color w:val="1A5676"/>
        </w:rPr>
        <w:t>1.  Executive Summary</w:t>
      </w:r>
    </w:p>
    <w:p>
      <w:pPr>
        <w:spacing w:after="120" w:line="360" w:lineRule="auto"/>
      </w:pPr>
      <w:r>
        <w:rPr>
          <w:b w:val="0"/>
          <w:i w:val="0"/>
          <w:sz w:val="21"/>
        </w:rPr>
        <w:t>Resource Command is a sovereign-grade cryptographic compliance protocol that enables Zambia's mining operators to prove — with mathematical certainty — that their declared mineral royalty payments are arithmetically correct. Unlike traditional audit-based compliance, the proof is generated once and verified instantly by five independent institutional validators across two continents. No inspector. No manual review. No dispute. The mathematics either holds or it does not.</w:t>
      </w:r>
    </w:p>
    <w:p>
      <w:pPr>
        <w:spacing w:after="120" w:line="360" w:lineRule="auto"/>
      </w:pPr>
      <w:r>
        <w:rPr>
          <w:b w:val="0"/>
          <w:i w:val="0"/>
          <w:sz w:val="21"/>
        </w:rPr>
        <w:t>This briefing documents the complete journey: from the initial circuit design and adversarial red team exercise, through the infrastructure and ceremony architecture, to the geopolitical reality of deployment and the corporate structure designed to survive a hostile political transition. It is intended to give shareholders a full picture of where the protocol stands, what has been built, and what the path to production looks like.</w:t>
      </w:r>
    </w:p>
    <w:p>
      <w:pPr>
        <w:spacing w:before="120" w:after="120"/>
        <w:ind w:left="576" w:right="576"/>
      </w:pPr>
      <w:r>
        <w:rPr>
          <w:b/>
          <w:color w:val="1A5676"/>
          <w:sz w:val="21"/>
        </w:rPr>
        <w:t xml:space="preserve">CORE GUARANTEE:  </w:t>
      </w:r>
      <w:r>
        <w:rPr>
          <w:i/>
          <w:sz w:val="21"/>
        </w:rPr>
        <w:t>A valid Resource Command proof means exactly one thing: the declared royalty payment is mathematically derivable from the committed production volume at the statutory rate. This guarantee holds regardless of which government is in power, which operator submits the proof, or which validator processes it.</w:t>
      </w:r>
    </w:p>
    <w:p>
      <w:pPr>
        <w:spacing w:before="80" w:after="80"/>
        <w:pBdr>
          <w:bottom w:val="single" w:sz="6" w:space="1" w:color="CCCCCC"/>
        </w:pBdr>
      </w:pPr>
    </w:p>
    <w:tbl>
      <w:tblPr>
        <w:tblStyle w:val="TableGrid"/>
        <w:tblW w:type="auto" w:w="0"/>
        <w:tblLook w:firstColumn="1" w:firstRow="1" w:lastColumn="0" w:lastRow="0" w:noHBand="0" w:noVBand="1" w:val="04A0"/>
      </w:tblPr>
      <w:tblGrid>
        <w:gridCol w:w="4248"/>
        <w:gridCol w:w="4248"/>
      </w:tblGrid>
      <w:tr>
        <w:tc>
          <w:tcPr>
            <w:tcW w:type="dxa" w:w="3600"/>
            <w:shd w:val="clear" w:color="auto" w:fill="1A5676"/>
          </w:tcPr>
          <w:p>
            <w:pPr>
              <w:jc w:val="center"/>
            </w:pPr>
            <w:r>
              <w:rPr>
                <w:b/>
                <w:color w:val="FFFFFF"/>
                <w:sz w:val="19"/>
              </w:rPr>
              <w:t>Metric</w:t>
            </w:r>
          </w:p>
        </w:tc>
        <w:tc>
          <w:tcPr>
            <w:tcW w:type="dxa" w:w="5760"/>
            <w:shd w:val="clear" w:color="auto" w:fill="1A5676"/>
          </w:tcPr>
          <w:p>
            <w:pPr>
              <w:jc w:val="center"/>
            </w:pPr>
            <w:r>
              <w:rPr>
                <w:b/>
                <w:color w:val="FFFFFF"/>
                <w:sz w:val="19"/>
              </w:rPr>
              <w:t>Value</w:t>
            </w:r>
          </w:p>
        </w:tc>
      </w:tr>
      <w:tr>
        <w:tc>
          <w:tcPr>
            <w:tcW w:type="dxa" w:w="3600"/>
            <w:shd w:val="clear" w:color="auto" w:fill="EEF4F7"/>
          </w:tcPr>
          <w:p>
            <w:r>
              <w:rPr>
                <w:sz w:val="19"/>
              </w:rPr>
              <w:t>Protocol Version</w:t>
            </w:r>
          </w:p>
        </w:tc>
        <w:tc>
          <w:tcPr>
            <w:tcW w:type="dxa" w:w="5760"/>
            <w:shd w:val="clear" w:color="auto" w:fill="EEF4F7"/>
          </w:tcPr>
          <w:p>
            <w:r>
              <w:rPr>
                <w:sz w:val="19"/>
              </w:rPr>
              <w:t>v1.7 (v1.8 in preparation)</w:t>
            </w:r>
          </w:p>
        </w:tc>
      </w:tr>
      <w:tr>
        <w:tc>
          <w:tcPr>
            <w:tcW w:type="dxa" w:w="3600"/>
          </w:tcPr>
          <w:p>
            <w:r>
              <w:rPr>
                <w:sz w:val="19"/>
              </w:rPr>
              <w:t>ZK Proof System</w:t>
            </w:r>
          </w:p>
        </w:tc>
        <w:tc>
          <w:tcPr>
            <w:tcW w:type="dxa" w:w="5760"/>
          </w:tcPr>
          <w:p>
            <w:r>
              <w:rPr>
                <w:sz w:val="19"/>
              </w:rPr>
              <w:t>Groth16 over BN254 (Alt_BN128)</w:t>
            </w:r>
          </w:p>
        </w:tc>
      </w:tr>
      <w:tr>
        <w:tc>
          <w:tcPr>
            <w:tcW w:type="dxa" w:w="3600"/>
            <w:shd w:val="clear" w:color="auto" w:fill="EEF4F7"/>
          </w:tcPr>
          <w:p>
            <w:r>
              <w:rPr>
                <w:sz w:val="19"/>
              </w:rPr>
              <w:t>Circuit Constraints</w:t>
            </w:r>
          </w:p>
        </w:tc>
        <w:tc>
          <w:tcPr>
            <w:tcW w:type="dxa" w:w="5760"/>
            <w:shd w:val="clear" w:color="auto" w:fill="EEF4F7"/>
          </w:tcPr>
          <w:p>
            <w:r>
              <w:rPr>
                <w:sz w:val="19"/>
              </w:rPr>
              <w:t>542 non-linear (v1.4) → 564 (v1.5, rate-agnostic)</w:t>
            </w:r>
          </w:p>
        </w:tc>
      </w:tr>
      <w:tr>
        <w:tc>
          <w:tcPr>
            <w:tcW w:type="dxa" w:w="3600"/>
          </w:tcPr>
          <w:p>
            <w:r>
              <w:rPr>
                <w:sz w:val="19"/>
              </w:rPr>
              <w:t>Validator Network</w:t>
            </w:r>
          </w:p>
        </w:tc>
        <w:tc>
          <w:tcPr>
            <w:tcW w:type="dxa" w:w="5760"/>
          </w:tcPr>
          <w:p>
            <w:r>
              <w:rPr>
                <w:sz w:val="19"/>
              </w:rPr>
              <w:t>5-node PBFT — MoF, ZRA, MRC, AfDB, World Bank</w:t>
            </w:r>
          </w:p>
        </w:tc>
      </w:tr>
      <w:tr>
        <w:tc>
          <w:tcPr>
            <w:tcW w:type="dxa" w:w="3600"/>
            <w:shd w:val="clear" w:color="auto" w:fill="EEF4F7"/>
          </w:tcPr>
          <w:p>
            <w:r>
              <w:rPr>
                <w:sz w:val="19"/>
              </w:rPr>
              <w:t>Oracle Pipeline</w:t>
            </w:r>
          </w:p>
        </w:tc>
        <w:tc>
          <w:tcPr>
            <w:tcW w:type="dxa" w:w="5760"/>
            <w:shd w:val="clear" w:color="auto" w:fill="EEF4F7"/>
          </w:tcPr>
          <w:p>
            <w:r>
              <w:rPr>
                <w:sz w:val="19"/>
              </w:rPr>
              <w:t>9-stage Sentinel-1 SAR interferometry → BFT ledger</w:t>
            </w:r>
          </w:p>
        </w:tc>
      </w:tr>
      <w:tr>
        <w:tc>
          <w:tcPr>
            <w:tcW w:type="dxa" w:w="3600"/>
          </w:tcPr>
          <w:p>
            <w:r>
              <w:rPr>
                <w:sz w:val="19"/>
              </w:rPr>
              <w:t>External Audit</w:t>
            </w:r>
          </w:p>
        </w:tc>
        <w:tc>
          <w:tcPr>
            <w:tcW w:type="dxa" w:w="5760"/>
          </w:tcPr>
          <w:p>
            <w:r>
              <w:rPr>
                <w:sz w:val="19"/>
              </w:rPr>
              <w:t>Trail of Bits engagement — Akshith Gunasekaran</w:t>
            </w:r>
          </w:p>
        </w:tc>
      </w:tr>
      <w:tr>
        <w:tc>
          <w:tcPr>
            <w:tcW w:type="dxa" w:w="3600"/>
            <w:shd w:val="clear" w:color="auto" w:fill="EEF4F7"/>
          </w:tcPr>
          <w:p>
            <w:r>
              <w:rPr>
                <w:sz w:val="19"/>
              </w:rPr>
              <w:t>MPC Ceremony Target</w:t>
            </w:r>
          </w:p>
        </w:tc>
        <w:tc>
          <w:tcPr>
            <w:tcW w:type="dxa" w:w="5760"/>
            <w:shd w:val="clear" w:color="auto" w:fill="EEF4F7"/>
          </w:tcPr>
          <w:p>
            <w:r>
              <w:rPr>
                <w:sz w:val="19"/>
              </w:rPr>
              <w:t>September 2026 (post-electoral, inaugural sovereign event)</w:t>
            </w:r>
          </w:p>
        </w:tc>
      </w:tr>
      <w:tr>
        <w:tc>
          <w:tcPr>
            <w:tcW w:type="dxa" w:w="3600"/>
          </w:tcPr>
          <w:p>
            <w:r>
              <w:rPr>
                <w:sz w:val="19"/>
              </w:rPr>
              <w:t>v2.0 Geochemical Oracle</w:t>
            </w:r>
          </w:p>
        </w:tc>
        <w:tc>
          <w:tcPr>
            <w:tcW w:type="dxa" w:w="5760"/>
          </w:tcPr>
          <w:p>
            <w:r>
              <w:rPr>
                <w:sz w:val="19"/>
              </w:rPr>
              <w:t>Q1 2027 — closes RC-03 residual risk</w:t>
            </w:r>
          </w:p>
        </w:tc>
      </w:tr>
      <w:tr>
        <w:tc>
          <w:tcPr>
            <w:tcW w:type="dxa" w:w="3600"/>
            <w:shd w:val="clear" w:color="auto" w:fill="EEF4F7"/>
          </w:tcPr>
          <w:p>
            <w:r>
              <w:rPr>
                <w:sz w:val="19"/>
              </w:rPr>
              <w:t>IP Jurisdiction</w:t>
            </w:r>
          </w:p>
        </w:tc>
        <w:tc>
          <w:tcPr>
            <w:tcW w:type="dxa" w:w="5760"/>
            <w:shd w:val="clear" w:color="auto" w:fill="EEF4F7"/>
          </w:tcPr>
          <w:p>
            <w:r>
              <w:rPr>
                <w:sz w:val="19"/>
              </w:rPr>
              <w:t>Botswana (Kgosi Capital Holdings)</w:t>
            </w:r>
          </w:p>
        </w:tc>
      </w:tr>
      <w:tr>
        <w:tc>
          <w:tcPr>
            <w:tcW w:type="dxa" w:w="3600"/>
          </w:tcPr>
          <w:p>
            <w:r>
              <w:rPr>
                <w:sz w:val="19"/>
              </w:rPr>
              <w:t>Operating Company</w:t>
            </w:r>
          </w:p>
        </w:tc>
        <w:tc>
          <w:tcPr>
            <w:tcW w:type="dxa" w:w="5760"/>
          </w:tcPr>
          <w:p>
            <w:r>
              <w:rPr>
                <w:sz w:val="19"/>
              </w:rPr>
              <w:t>Zambia — 35% KC / 30% Strategic Partner / 35% Sovereign Reserve</w:t>
            </w:r>
          </w:p>
        </w:tc>
      </w:tr>
    </w:tbl>
    <w:p/>
    <w:p>
      <w:r>
        <w:br w:type="page"/>
      </w:r>
    </w:p>
    <w:p>
      <w:pPr>
        <w:pStyle w:val="Heading1"/>
        <w:spacing w:before="360" w:after="160"/>
      </w:pPr>
      <w:r>
        <w:rPr>
          <w:color w:val="1A5676"/>
        </w:rPr>
        <w:t>2.  The Problem We Set Out To Solve</w:t>
      </w:r>
    </w:p>
    <w:p>
      <w:pPr>
        <w:spacing w:after="120" w:line="360" w:lineRule="auto"/>
      </w:pPr>
      <w:r>
        <w:rPr>
          <w:b w:val="0"/>
          <w:i w:val="0"/>
          <w:sz w:val="21"/>
        </w:rPr>
        <w:t>Zambia loses an estimated hundreds of millions of dollars annually in uncollected mineral royalties. The mechanism is not crude fraud — it is structural opacity. Under the existing system, a mining operator self-declares the density and grade of ore extracted, applies the statutory royalty rate to their own calculation, and submits the result to the Zambia Revenue Authority. ZRA can audit the submission manually, but manual audits are slow, resource-intensive, and systematically outmatched by the legal and technical sophistication of large mining operators.</w:t>
      </w:r>
    </w:p>
    <w:p>
      <w:pPr>
        <w:spacing w:after="120" w:line="360" w:lineRule="auto"/>
      </w:pPr>
      <w:r>
        <w:rPr>
          <w:b w:val="0"/>
          <w:i w:val="0"/>
          <w:sz w:val="21"/>
        </w:rPr>
        <w:t>The core vulnerability is what the project formally designates RC-03: the gap between declared production parameters and physical reality. An operator who declares copper ore at a density of 1.0 t/m³ instead of the actual 8.96 t/m³ reduces their computed tonnage — and therefore their royalty liability — by 89 percent. At scale, across multiple mines and multiple epochs, this is not a rounding error. It is the primary fraud vector in African mining royalty systems.</w:t>
      </w:r>
    </w:p>
    <w:p>
      <w:pPr>
        <w:pStyle w:val="Heading2"/>
        <w:spacing w:before="360" w:after="160"/>
      </w:pPr>
      <w:r>
        <w:rPr>
          <w:color w:val="1A5676"/>
        </w:rPr>
        <w:t>Why Existing Solutions Fail</w:t>
      </w:r>
    </w:p>
    <w:p>
      <w:pPr>
        <w:pStyle w:val="ListBullet"/>
        <w:spacing w:after="80"/>
        <w:ind w:left="360"/>
      </w:pPr>
      <w:r>
        <w:rPr>
          <w:b/>
          <w:sz w:val="21"/>
        </w:rPr>
        <w:t xml:space="preserve">Temporal mismatch: </w:t>
      </w:r>
      <w:r>
        <w:rPr>
          <w:sz w:val="21"/>
        </w:rPr>
        <w:t>Manual audit cycles take months; production is continuous. Fraud compounds before detection.</w:t>
      </w:r>
    </w:p>
    <w:p>
      <w:pPr>
        <w:pStyle w:val="ListBullet"/>
        <w:spacing w:after="80"/>
        <w:ind w:left="360"/>
      </w:pPr>
      <w:r>
        <w:rPr>
          <w:b/>
          <w:sz w:val="21"/>
        </w:rPr>
        <w:t xml:space="preserve">Asymmetric capability: </w:t>
      </w:r>
      <w:r>
        <w:rPr>
          <w:sz w:val="21"/>
        </w:rPr>
        <w:t>Operators employ specialist tax counsel; revenue authorities are structurally under-resourced.</w:t>
      </w:r>
    </w:p>
    <w:p>
      <w:pPr>
        <w:pStyle w:val="ListBullet"/>
        <w:spacing w:after="80"/>
        <w:ind w:left="360"/>
      </w:pPr>
      <w:r>
        <w:rPr>
          <w:b/>
          <w:sz w:val="21"/>
        </w:rPr>
        <w:t xml:space="preserve">Governance dependency: </w:t>
      </w:r>
      <w:r>
        <w:rPr>
          <w:sz w:val="21"/>
        </w:rPr>
        <w:t>Disputed declarations end in settlement or litigation; outcome is negotiated, not mathematical.</w:t>
      </w:r>
    </w:p>
    <w:p>
      <w:pPr>
        <w:pStyle w:val="ListBullet"/>
        <w:spacing w:after="80"/>
        <w:ind w:left="360"/>
      </w:pPr>
      <w:r>
        <w:rPr>
          <w:b/>
          <w:sz w:val="21"/>
        </w:rPr>
        <w:t xml:space="preserve">Privacy barrier: </w:t>
      </w:r>
      <w:r>
        <w:rPr>
          <w:sz w:val="21"/>
        </w:rPr>
        <w:t>Operator data is commercially sensitive; full public disclosure creates legitimate confidentiality concerns that obstruct transparency.</w:t>
      </w:r>
    </w:p>
    <w:p>
      <w:pPr>
        <w:spacing w:after="120" w:line="360" w:lineRule="auto"/>
      </w:pPr>
      <w:r>
        <w:rPr>
          <w:b w:val="0"/>
          <w:i w:val="0"/>
          <w:sz w:val="21"/>
        </w:rPr>
        <w:t>The zero-knowledge proof approach resolves the privacy barrier directly. The operator proves their royalty calculation is correct without revealing the underlying production data. ZRA receives mathematical certainty — not a document to review, but a proof to verify. The verification takes milliseconds.</w:t>
      </w:r>
    </w:p>
    <w:p>
      <w:r>
        <w:br w:type="page"/>
      </w:r>
    </w:p>
    <w:p>
      <w:pPr>
        <w:pStyle w:val="Heading1"/>
        <w:spacing w:before="360" w:after="160"/>
      </w:pPr>
      <w:r>
        <w:rPr>
          <w:color w:val="1A5676"/>
        </w:rPr>
        <w:t>3.  The Technical Journey — v1.0 to v1.7</w:t>
      </w:r>
    </w:p>
    <w:p>
      <w:pPr>
        <w:spacing w:after="120" w:line="360" w:lineRule="auto"/>
      </w:pPr>
      <w:r>
        <w:rPr>
          <w:b w:val="0"/>
          <w:i w:val="0"/>
          <w:sz w:val="21"/>
        </w:rPr>
        <w:t>The protocol development proceeded in three phases: circuit design and adversarial hardening, infrastructure architecture, and geopolitical remediation. Each phase uncovered vulnerabilities that the next phase addressed. The result is a system whose security was tested adversarially at every layer before a single external party reviewed it.</w:t>
      </w:r>
    </w:p>
    <w:p>
      <w:pPr>
        <w:pStyle w:val="Heading2"/>
        <w:spacing w:before="360" w:after="160"/>
      </w:pPr>
      <w:r>
        <w:rPr>
          <w:color w:val="1A5676"/>
        </w:rPr>
        <w:t>3.1  Phase 1 — Circuit Design and Adversarial Audit</w:t>
      </w:r>
    </w:p>
    <w:p>
      <w:pPr>
        <w:spacing w:after="120" w:line="360" w:lineRule="auto"/>
      </w:pPr>
      <w:r>
        <w:rPr>
          <w:b w:val="0"/>
          <w:i w:val="0"/>
          <w:sz w:val="21"/>
        </w:rPr>
        <w:t>The compliance circuit (compliance.circom) was the first artefact. It encodes the royalty calculation as a mathematical constraint system: given a committed ore volume, a declared density and grade, and a declared royalty payment, does the arithmetic hold? A zero-knowledge proof of this circuit is a cryptographic attestation that it does — without revealing volume, density, or grade.</w:t>
      </w:r>
    </w:p>
    <w:p>
      <w:pPr>
        <w:spacing w:after="120" w:line="360" w:lineRule="auto"/>
      </w:pPr>
      <w:r>
        <w:rPr>
          <w:b w:val="0"/>
          <w:i w:val="0"/>
          <w:sz w:val="21"/>
        </w:rPr>
        <w:t>The initial circuit design had 1,019 non-linear constraints. Before any external review, an internal adversarial audit identified seven security findings across the circuit:</w:t>
      </w:r>
    </w:p>
    <w:tbl>
      <w:tblPr>
        <w:tblStyle w:val="TableGrid"/>
        <w:tblW w:type="auto" w:w="0"/>
        <w:tblLook w:firstColumn="1" w:firstRow="1" w:lastColumn="0" w:lastRow="0" w:noHBand="0" w:noVBand="1" w:val="04A0"/>
      </w:tblPr>
      <w:tblGrid>
        <w:gridCol w:w="2124"/>
        <w:gridCol w:w="2124"/>
        <w:gridCol w:w="2124"/>
        <w:gridCol w:w="2124"/>
      </w:tblGrid>
      <w:tr>
        <w:tc>
          <w:tcPr>
            <w:tcW w:type="dxa" w:w="1008"/>
            <w:shd w:val="clear" w:color="auto" w:fill="1A5676"/>
          </w:tcPr>
          <w:p>
            <w:pPr>
              <w:jc w:val="center"/>
            </w:pPr>
            <w:r>
              <w:rPr>
                <w:b/>
                <w:color w:val="FFFFFF"/>
                <w:sz w:val="19"/>
              </w:rPr>
              <w:t>Finding</w:t>
            </w:r>
          </w:p>
        </w:tc>
        <w:tc>
          <w:tcPr>
            <w:tcW w:type="dxa" w:w="1152"/>
            <w:shd w:val="clear" w:color="auto" w:fill="1A5676"/>
          </w:tcPr>
          <w:p>
            <w:pPr>
              <w:jc w:val="center"/>
            </w:pPr>
            <w:r>
              <w:rPr>
                <w:b/>
                <w:color w:val="FFFFFF"/>
                <w:sz w:val="19"/>
              </w:rPr>
              <w:t>Severity</w:t>
            </w:r>
          </w:p>
        </w:tc>
        <w:tc>
          <w:tcPr>
            <w:tcW w:type="dxa" w:w="4608"/>
            <w:shd w:val="clear" w:color="auto" w:fill="1A5676"/>
          </w:tcPr>
          <w:p>
            <w:pPr>
              <w:jc w:val="center"/>
            </w:pPr>
            <w:r>
              <w:rPr>
                <w:b/>
                <w:color w:val="FFFFFF"/>
                <w:sz w:val="19"/>
              </w:rPr>
              <w:t>Description</w:t>
            </w:r>
          </w:p>
        </w:tc>
        <w:tc>
          <w:tcPr>
            <w:tcW w:type="dxa" w:w="2592"/>
            <w:shd w:val="clear" w:color="auto" w:fill="1A5676"/>
          </w:tcPr>
          <w:p>
            <w:pPr>
              <w:jc w:val="center"/>
            </w:pPr>
            <w:r>
              <w:rPr>
                <w:b/>
                <w:color w:val="FFFFFF"/>
                <w:sz w:val="19"/>
              </w:rPr>
              <w:t>Resolution</w:t>
            </w:r>
          </w:p>
        </w:tc>
      </w:tr>
      <w:tr>
        <w:tc>
          <w:tcPr>
            <w:tcW w:type="dxa" w:w="1008"/>
            <w:shd w:val="clear" w:color="auto" w:fill="EEF4F7"/>
          </w:tcPr>
          <w:p>
            <w:r>
              <w:rPr>
                <w:sz w:val="19"/>
              </w:rPr>
              <w:t>RC-01</w:t>
            </w:r>
          </w:p>
        </w:tc>
        <w:tc>
          <w:tcPr>
            <w:tcW w:type="dxa" w:w="1152"/>
            <w:shd w:val="clear" w:color="auto" w:fill="EEF4F7"/>
          </w:tcPr>
          <w:p>
            <w:r>
              <w:rPr>
                <w:sz w:val="19"/>
              </w:rPr>
              <w:t>CRITICAL</w:t>
            </w:r>
          </w:p>
        </w:tc>
        <w:tc>
          <w:tcPr>
            <w:tcW w:type="dxa" w:w="4608"/>
            <w:shd w:val="clear" w:color="auto" w:fill="EEF4F7"/>
          </w:tcPr>
          <w:p>
            <w:r>
              <w:rPr>
                <w:sz w:val="19"/>
              </w:rPr>
              <w:t>density_d could be declared as zero — division by zero in tonnage calculation</w:t>
            </w:r>
          </w:p>
        </w:tc>
        <w:tc>
          <w:tcPr>
            <w:tcW w:type="dxa" w:w="2592"/>
            <w:shd w:val="clear" w:color="auto" w:fill="EEF4F7"/>
          </w:tcPr>
          <w:p>
            <w:r>
              <w:rPr>
                <w:sz w:val="19"/>
              </w:rPr>
              <w:t>Multiplicative inverse gate: density_d × inv_density_d = 1</w:t>
            </w:r>
          </w:p>
        </w:tc>
      </w:tr>
      <w:tr>
        <w:tc>
          <w:tcPr>
            <w:tcW w:type="dxa" w:w="1008"/>
          </w:tcPr>
          <w:p>
            <w:r>
              <w:rPr>
                <w:sz w:val="19"/>
              </w:rPr>
              <w:t>RC-02</w:t>
            </w:r>
          </w:p>
        </w:tc>
        <w:tc>
          <w:tcPr>
            <w:tcW w:type="dxa" w:w="1152"/>
          </w:tcPr>
          <w:p>
            <w:r>
              <w:rPr>
                <w:sz w:val="19"/>
              </w:rPr>
              <w:t>CRITICAL</w:t>
            </w:r>
          </w:p>
        </w:tc>
        <w:tc>
          <w:tcPr>
            <w:tcW w:type="dxa" w:w="4608"/>
          </w:tcPr>
          <w:p>
            <w:r>
              <w:rPr>
                <w:sz w:val="19"/>
              </w:rPr>
              <w:t>grade_g could be declared as zero — zero mineral content with any volume</w:t>
            </w:r>
          </w:p>
        </w:tc>
        <w:tc>
          <w:tcPr>
            <w:tcW w:type="dxa" w:w="2592"/>
          </w:tcPr>
          <w:p>
            <w:r>
              <w:rPr>
                <w:sz w:val="19"/>
              </w:rPr>
              <w:t>Multiplicative inverse gate: grade_g × inv_grade_g = 1</w:t>
            </w:r>
          </w:p>
        </w:tc>
      </w:tr>
      <w:tr>
        <w:tc>
          <w:tcPr>
            <w:tcW w:type="dxa" w:w="1008"/>
            <w:shd w:val="clear" w:color="auto" w:fill="EEF4F7"/>
          </w:tcPr>
          <w:p>
            <w:r>
              <w:rPr>
                <w:sz w:val="19"/>
              </w:rPr>
              <w:t>RC-03</w:t>
            </w:r>
          </w:p>
        </w:tc>
        <w:tc>
          <w:tcPr>
            <w:tcW w:type="dxa" w:w="1152"/>
            <w:shd w:val="clear" w:color="auto" w:fill="EEF4F7"/>
          </w:tcPr>
          <w:p>
            <w:r>
              <w:rPr>
                <w:sz w:val="19"/>
              </w:rPr>
              <w:t>HIGH</w:t>
            </w:r>
          </w:p>
        </w:tc>
        <w:tc>
          <w:tcPr>
            <w:tcW w:type="dxa" w:w="4608"/>
            <w:shd w:val="clear" w:color="auto" w:fill="EEF4F7"/>
          </w:tcPr>
          <w:p>
            <w:r>
              <w:rPr>
                <w:sz w:val="19"/>
              </w:rPr>
              <w:t>Density and grade are self-declared with no oracle binding</w:t>
            </w:r>
          </w:p>
        </w:tc>
        <w:tc>
          <w:tcPr>
            <w:tcW w:type="dxa" w:w="2592"/>
            <w:shd w:val="clear" w:color="auto" w:fill="EEF4F7"/>
          </w:tcPr>
          <w:p>
            <w:r>
              <w:rPr>
                <w:sz w:val="19"/>
              </w:rPr>
              <w:t>Deferred to v2.0 Geochemical Oracle (Q1 2027)</w:t>
            </w:r>
          </w:p>
        </w:tc>
      </w:tr>
      <w:tr>
        <w:tc>
          <w:tcPr>
            <w:tcW w:type="dxa" w:w="1008"/>
          </w:tcPr>
          <w:p>
            <w:r>
              <w:rPr>
                <w:sz w:val="19"/>
              </w:rPr>
              <w:t>RC-04</w:t>
            </w:r>
          </w:p>
        </w:tc>
        <w:tc>
          <w:tcPr>
            <w:tcW w:type="dxa" w:w="1152"/>
          </w:tcPr>
          <w:p>
            <w:r>
              <w:rPr>
                <w:sz w:val="19"/>
              </w:rPr>
              <w:t>MEDIUM</w:t>
            </w:r>
          </w:p>
        </w:tc>
        <w:tc>
          <w:tcPr>
            <w:tcW w:type="dxa" w:w="4608"/>
          </w:tcPr>
          <w:p>
            <w:r>
              <w:rPr>
                <w:sz w:val="19"/>
              </w:rPr>
              <w:t>tax_paid_usd had no upper bound — field arithmetic overflow possible</w:t>
            </w:r>
          </w:p>
        </w:tc>
        <w:tc>
          <w:tcPr>
            <w:tcW w:type="dxa" w:w="2592"/>
          </w:tcPr>
          <w:p>
            <w:r>
              <w:rPr>
                <w:sz w:val="19"/>
              </w:rPr>
              <w:t>Num2Bits(44) range constraint added</w:t>
            </w:r>
          </w:p>
        </w:tc>
      </w:tr>
      <w:tr>
        <w:tc>
          <w:tcPr>
            <w:tcW w:type="dxa" w:w="1008"/>
            <w:shd w:val="clear" w:color="auto" w:fill="EEF4F7"/>
          </w:tcPr>
          <w:p>
            <w:r>
              <w:rPr>
                <w:sz w:val="19"/>
              </w:rPr>
              <w:t>RC-05</w:t>
            </w:r>
          </w:p>
        </w:tc>
        <w:tc>
          <w:tcPr>
            <w:tcW w:type="dxa" w:w="1152"/>
            <w:shd w:val="clear" w:color="auto" w:fill="EEF4F7"/>
          </w:tcPr>
          <w:p>
            <w:r>
              <w:rPr>
                <w:sz w:val="19"/>
              </w:rPr>
              <w:t>MEDIUM</w:t>
            </w:r>
          </w:p>
        </w:tc>
        <w:tc>
          <w:tcPr>
            <w:tcW w:type="dxa" w:w="4608"/>
            <w:shd w:val="clear" w:color="auto" w:fill="EEF4F7"/>
          </w:tcPr>
          <w:p>
            <w:r>
              <w:rPr>
                <w:sz w:val="19"/>
              </w:rPr>
              <w:t>Volume commitment used SHA-256 (300+ constraints); Poseidon available</w:t>
            </w:r>
          </w:p>
        </w:tc>
        <w:tc>
          <w:tcPr>
            <w:tcW w:type="dxa" w:w="2592"/>
            <w:shd w:val="clear" w:color="auto" w:fill="EEF4F7"/>
          </w:tcPr>
          <w:p>
            <w:r>
              <w:rPr>
                <w:sz w:val="19"/>
              </w:rPr>
              <w:t>Migrated to Poseidon(2) — 243 constraints</w:t>
            </w:r>
          </w:p>
        </w:tc>
      </w:tr>
      <w:tr>
        <w:tc>
          <w:tcPr>
            <w:tcW w:type="dxa" w:w="1008"/>
          </w:tcPr>
          <w:p>
            <w:r>
              <w:rPr>
                <w:sz w:val="19"/>
              </w:rPr>
              <w:t>RC-06</w:t>
            </w:r>
          </w:p>
        </w:tc>
        <w:tc>
          <w:tcPr>
            <w:tcW w:type="dxa" w:w="1152"/>
          </w:tcPr>
          <w:p>
            <w:r>
              <w:rPr>
                <w:sz w:val="19"/>
              </w:rPr>
              <w:t>LOW</w:t>
            </w:r>
          </w:p>
        </w:tc>
        <w:tc>
          <w:tcPr>
            <w:tcW w:type="dxa" w:w="4608"/>
          </w:tcPr>
          <w:p>
            <w:r>
              <w:rPr>
                <w:sz w:val="19"/>
              </w:rPr>
              <w:t>Remainder witnesses lacked soundness upper bounds</w:t>
            </w:r>
          </w:p>
        </w:tc>
        <w:tc>
          <w:tcPr>
            <w:tcW w:type="dxa" w:w="2592"/>
          </w:tcPr>
          <w:p>
            <w:r>
              <w:rPr>
                <w:sz w:val="19"/>
              </w:rPr>
              <w:t>LessThan constraints added to all three remainders</w:t>
            </w:r>
          </w:p>
        </w:tc>
      </w:tr>
      <w:tr>
        <w:tc>
          <w:tcPr>
            <w:tcW w:type="dxa" w:w="1008"/>
            <w:shd w:val="clear" w:color="auto" w:fill="EEF4F7"/>
          </w:tcPr>
          <w:p>
            <w:r>
              <w:rPr>
                <w:sz w:val="19"/>
              </w:rPr>
              <w:t>RC-07</w:t>
            </w:r>
          </w:p>
        </w:tc>
        <w:tc>
          <w:tcPr>
            <w:tcW w:type="dxa" w:w="1152"/>
            <w:shd w:val="clear" w:color="auto" w:fill="EEF4F7"/>
          </w:tcPr>
          <w:p>
            <w:r>
              <w:rPr>
                <w:sz w:val="19"/>
              </w:rPr>
              <w:t>LOW</w:t>
            </w:r>
          </w:p>
        </w:tc>
        <w:tc>
          <w:tcPr>
            <w:tcW w:type="dxa" w:w="4608"/>
            <w:shd w:val="clear" w:color="auto" w:fill="EEF4F7"/>
          </w:tcPr>
          <w:p>
            <w:r>
              <w:rPr>
                <w:sz w:val="19"/>
              </w:rPr>
              <w:t>Bit-width derivations used conservative estimates causing over-constraint</w:t>
            </w:r>
          </w:p>
        </w:tc>
        <w:tc>
          <w:tcPr>
            <w:tcW w:type="dxa" w:w="2592"/>
            <w:shd w:val="clear" w:color="auto" w:fill="EEF4F7"/>
          </w:tcPr>
          <w:p>
            <w:r>
              <w:rPr>
                <w:sz w:val="19"/>
              </w:rPr>
              <w:t>Formal derivation: vol(40b) × density(26b) → tonnage(47b)</w:t>
            </w:r>
          </w:p>
        </w:tc>
      </w:tr>
    </w:tbl>
    <w:p/>
    <w:p>
      <w:pPr>
        <w:spacing w:after="120" w:line="360" w:lineRule="auto"/>
      </w:pPr>
      <w:r>
        <w:rPr>
          <w:b w:val="0"/>
          <w:i w:val="0"/>
          <w:sz w:val="21"/>
        </w:rPr>
        <w:t>Following the adversarial audit, a High-Performance Optimization Sprint reduced the circuit from 1,019 to 542 non-linear constraints — a 46.8 percent reduction — by replacing over-specified GreaterThan(64) gates with the multiplicative inverse pattern and rationalising all bit-width derivations from first principles.</w:t>
      </w:r>
    </w:p>
    <w:p>
      <w:pPr>
        <w:spacing w:before="120" w:after="120"/>
        <w:ind w:left="576" w:right="576"/>
      </w:pPr>
      <w:r>
        <w:rPr>
          <w:b/>
          <w:color w:val="1A5676"/>
          <w:sz w:val="21"/>
        </w:rPr>
        <w:t xml:space="preserve">KEY INSIGHT:  </w:t>
      </w:r>
      <w:r>
        <w:rPr>
          <w:i/>
          <w:sz w:val="21"/>
        </w:rPr>
        <w:t>The multiplicative inverse pattern (x × x_inv = 1) is unsatisfiable in the field when x = 0. One constraint replaces 65. This single insight saved 128 constraints across RC-01 and RC-02 combined.</w:t>
      </w:r>
    </w:p>
    <w:p>
      <w:pPr>
        <w:pStyle w:val="Heading2"/>
        <w:spacing w:before="360" w:after="160"/>
      </w:pPr>
      <w:r>
        <w:rPr>
          <w:color w:val="1A5676"/>
        </w:rPr>
        <w:t>3.2  Phase 2 — The Oracle Pipeline</w:t>
      </w:r>
    </w:p>
    <w:p>
      <w:pPr>
        <w:spacing w:after="120" w:line="360" w:lineRule="auto"/>
      </w:pPr>
      <w:r>
        <w:rPr>
          <w:b w:val="0"/>
          <w:i w:val="0"/>
          <w:sz w:val="21"/>
        </w:rPr>
        <w:t>The circuit alone only proves that arithmetic is internally consistent. It does not prove that the committed volume reflects real ore extracted. The Oracle Pipeline closes this gap for volume — the most important production parameter — by independently measuring extraction from satellite data before the operator's declaration window opens.</w:t>
      </w:r>
    </w:p>
    <w:p>
      <w:pPr>
        <w:spacing w:after="120" w:line="360" w:lineRule="auto"/>
      </w:pPr>
      <w:r>
        <w:rPr>
          <w:b w:val="0"/>
          <w:i w:val="0"/>
          <w:sz w:val="21"/>
        </w:rPr>
        <w:t>The pipeline ingests Sentinel-1 SAR (Synthetic Aperture Radar) satellite data, processes it through PS-InSAR (Persistent Scatterer Interferometry) to measure surface subsidence at the mine face, derives a volume estimate, encodes it as an integer, and publishes a cryptographic commitment to the BFT ledger. The operator cannot know the committed volume until it is on-chain; they cannot generate a valid proof for any other value.</w:t>
      </w:r>
    </w:p>
    <w:tbl>
      <w:tblPr>
        <w:tblStyle w:val="TableGrid"/>
        <w:tblW w:type="auto" w:w="0"/>
        <w:tblLook w:firstColumn="1" w:firstRow="1" w:lastColumn="0" w:lastRow="0" w:noHBand="0" w:noVBand="1" w:val="04A0"/>
      </w:tblPr>
      <w:tblGrid>
        <w:gridCol w:w="2832"/>
        <w:gridCol w:w="2832"/>
        <w:gridCol w:w="2832"/>
      </w:tblGrid>
      <w:tr>
        <w:tc>
          <w:tcPr>
            <w:tcW w:type="dxa" w:w="864"/>
            <w:shd w:val="clear" w:color="auto" w:fill="1A5676"/>
          </w:tcPr>
          <w:p>
            <w:pPr>
              <w:jc w:val="center"/>
            </w:pPr>
            <w:r>
              <w:rPr>
                <w:b/>
                <w:color w:val="FFFFFF"/>
                <w:sz w:val="19"/>
              </w:rPr>
              <w:t>Stage</w:t>
            </w:r>
          </w:p>
        </w:tc>
        <w:tc>
          <w:tcPr>
            <w:tcW w:type="dxa" w:w="5760"/>
            <w:shd w:val="clear" w:color="auto" w:fill="1A5676"/>
          </w:tcPr>
          <w:p>
            <w:pPr>
              <w:jc w:val="center"/>
            </w:pPr>
            <w:r>
              <w:rPr>
                <w:b/>
                <w:color w:val="FFFFFF"/>
                <w:sz w:val="19"/>
              </w:rPr>
              <w:t>Process</w:t>
            </w:r>
          </w:p>
        </w:tc>
        <w:tc>
          <w:tcPr>
            <w:tcW w:type="dxa" w:w="2880"/>
            <w:shd w:val="clear" w:color="auto" w:fill="1A5676"/>
          </w:tcPr>
          <w:p>
            <w:pPr>
              <w:jc w:val="center"/>
            </w:pPr>
            <w:r>
              <w:rPr>
                <w:b/>
                <w:color w:val="FFFFFF"/>
                <w:sz w:val="19"/>
              </w:rPr>
              <w:t>Output</w:t>
            </w:r>
          </w:p>
        </w:tc>
      </w:tr>
      <w:tr>
        <w:tc>
          <w:tcPr>
            <w:tcW w:type="dxa" w:w="864"/>
            <w:shd w:val="clear" w:color="auto" w:fill="EEF4F7"/>
          </w:tcPr>
          <w:p>
            <w:r>
              <w:rPr>
                <w:sz w:val="19"/>
              </w:rPr>
              <w:t>1–3</w:t>
            </w:r>
          </w:p>
        </w:tc>
        <w:tc>
          <w:tcPr>
            <w:tcW w:type="dxa" w:w="5760"/>
            <w:shd w:val="clear" w:color="auto" w:fill="EEF4F7"/>
          </w:tcPr>
          <w:p>
            <w:r>
              <w:rPr>
                <w:sz w:val="19"/>
              </w:rPr>
              <w:t>Sentinel-1 SLC data acquisition and PS-InSAR processing</w:t>
            </w:r>
          </w:p>
        </w:tc>
        <w:tc>
          <w:tcPr>
            <w:tcW w:type="dxa" w:w="2880"/>
            <w:shd w:val="clear" w:color="auto" w:fill="EEF4F7"/>
          </w:tcPr>
          <w:p>
            <w:r>
              <w:rPr>
                <w:sz w:val="19"/>
              </w:rPr>
              <w:t>V_float (m³, floating point)</w:t>
            </w:r>
          </w:p>
        </w:tc>
      </w:tr>
      <w:tr>
        <w:tc>
          <w:tcPr>
            <w:tcW w:type="dxa" w:w="864"/>
          </w:tcPr>
          <w:p>
            <w:r>
              <w:rPr>
                <w:sz w:val="19"/>
              </w:rPr>
              <w:t>4</w:t>
            </w:r>
          </w:p>
        </w:tc>
        <w:tc>
          <w:tcPr>
            <w:tcW w:type="dxa" w:w="5760"/>
          </w:tcPr>
          <w:p>
            <w:r>
              <w:rPr>
                <w:sz w:val="19"/>
              </w:rPr>
              <w:t>Float-to-integer encoding: floor(V × 1 + 0.5)</w:t>
            </w:r>
          </w:p>
        </w:tc>
        <w:tc>
          <w:tcPr>
            <w:tcW w:type="dxa" w:w="2880"/>
          </w:tcPr>
          <w:p>
            <w:r>
              <w:rPr>
                <w:sz w:val="19"/>
              </w:rPr>
              <w:t>volume_v (integer, ×10⁶)</w:t>
            </w:r>
          </w:p>
        </w:tc>
      </w:tr>
      <w:tr>
        <w:tc>
          <w:tcPr>
            <w:tcW w:type="dxa" w:w="864"/>
            <w:shd w:val="clear" w:color="auto" w:fill="EEF4F7"/>
          </w:tcPr>
          <w:p>
            <w:r>
              <w:rPr>
                <w:sz w:val="19"/>
              </w:rPr>
              <w:t>5</w:t>
            </w:r>
          </w:p>
        </w:tc>
        <w:tc>
          <w:tcPr>
            <w:tcW w:type="dxa" w:w="5760"/>
            <w:shd w:val="clear" w:color="auto" w:fill="EEF4F7"/>
          </w:tcPr>
          <w:p>
            <w:r>
              <w:rPr>
                <w:sz w:val="19"/>
              </w:rPr>
              <w:t>Cross-validation against operator manifest (±3% gate)</w:t>
            </w:r>
          </w:p>
        </w:tc>
        <w:tc>
          <w:tcPr>
            <w:tcW w:type="dxa" w:w="2880"/>
            <w:shd w:val="clear" w:color="auto" w:fill="EEF4F7"/>
          </w:tcPr>
          <w:p>
            <w:r>
              <w:rPr>
                <w:sz w:val="19"/>
              </w:rPr>
              <w:t>Validated volume_v</w:t>
            </w:r>
          </w:p>
        </w:tc>
      </w:tr>
      <w:tr>
        <w:tc>
          <w:tcPr>
            <w:tcW w:type="dxa" w:w="864"/>
          </w:tcPr>
          <w:p>
            <w:r>
              <w:rPr>
                <w:sz w:val="19"/>
              </w:rPr>
              <w:t>6</w:t>
            </w:r>
          </w:p>
        </w:tc>
        <w:tc>
          <w:tcPr>
            <w:tcW w:type="dxa" w:w="5760"/>
          </w:tcPr>
          <w:p>
            <w:r>
              <w:rPr>
                <w:sz w:val="19"/>
              </w:rPr>
              <w:t>Nonce generation (256-bit CSPRNG)</w:t>
            </w:r>
          </w:p>
        </w:tc>
        <w:tc>
          <w:tcPr>
            <w:tcW w:type="dxa" w:w="2880"/>
          </w:tcPr>
          <w:p>
            <w:r>
              <w:rPr>
                <w:sz w:val="19"/>
              </w:rPr>
              <w:t>volume_nonce</w:t>
            </w:r>
          </w:p>
        </w:tc>
      </w:tr>
      <w:tr>
        <w:tc>
          <w:tcPr>
            <w:tcW w:type="dxa" w:w="864"/>
            <w:shd w:val="clear" w:color="auto" w:fill="EEF4F7"/>
          </w:tcPr>
          <w:p>
            <w:r>
              <w:rPr>
                <w:sz w:val="19"/>
              </w:rPr>
              <w:t>7</w:t>
            </w:r>
          </w:p>
        </w:tc>
        <w:tc>
          <w:tcPr>
            <w:tcW w:type="dxa" w:w="5760"/>
            <w:shd w:val="clear" w:color="auto" w:fill="EEF4F7"/>
          </w:tcPr>
          <w:p>
            <w:r>
              <w:rPr>
                <w:sz w:val="19"/>
              </w:rPr>
              <w:t>Poseidon(volume_v, volume_nonce)</w:t>
            </w:r>
          </w:p>
        </w:tc>
        <w:tc>
          <w:tcPr>
            <w:tcW w:type="dxa" w:w="2880"/>
            <w:shd w:val="clear" w:color="auto" w:fill="EEF4F7"/>
          </w:tcPr>
          <w:p>
            <w:r>
              <w:rPr>
                <w:sz w:val="19"/>
              </w:rPr>
              <w:t>volume_commitment_hash</w:t>
            </w:r>
          </w:p>
        </w:tc>
      </w:tr>
      <w:tr>
        <w:tc>
          <w:tcPr>
            <w:tcW w:type="dxa" w:w="864"/>
          </w:tcPr>
          <w:p>
            <w:r>
              <w:rPr>
                <w:sz w:val="19"/>
              </w:rPr>
              <w:t>8</w:t>
            </w:r>
          </w:p>
        </w:tc>
        <w:tc>
          <w:tcPr>
            <w:tcW w:type="dxa" w:w="5760"/>
          </w:tcPr>
          <w:p>
            <w:r>
              <w:rPr>
                <w:sz w:val="19"/>
              </w:rPr>
              <w:t>AfDB + WB co-signature on commitment payload</w:t>
            </w:r>
          </w:p>
        </w:tc>
        <w:tc>
          <w:tcPr>
            <w:tcW w:type="dxa" w:w="2880"/>
          </w:tcPr>
          <w:p>
            <w:r>
              <w:rPr>
                <w:sz w:val="19"/>
              </w:rPr>
              <w:t>Dual-signed hash</w:t>
            </w:r>
          </w:p>
        </w:tc>
      </w:tr>
      <w:tr>
        <w:tc>
          <w:tcPr>
            <w:tcW w:type="dxa" w:w="864"/>
            <w:shd w:val="clear" w:color="auto" w:fill="EEF4F7"/>
          </w:tcPr>
          <w:p>
            <w:r>
              <w:rPr>
                <w:sz w:val="19"/>
              </w:rPr>
              <w:t>9</w:t>
            </w:r>
          </w:p>
        </w:tc>
        <w:tc>
          <w:tcPr>
            <w:tcW w:type="dxa" w:w="5760"/>
            <w:shd w:val="clear" w:color="auto" w:fill="EEF4F7"/>
          </w:tcPr>
          <w:p>
            <w:r>
              <w:rPr>
                <w:sz w:val="19"/>
              </w:rPr>
              <w:t>BFT finalisation with HQR-compliant quorum</w:t>
            </w:r>
          </w:p>
        </w:tc>
        <w:tc>
          <w:tcPr>
            <w:tcW w:type="dxa" w:w="2880"/>
            <w:shd w:val="clear" w:color="auto" w:fill="EEF4F7"/>
          </w:tcPr>
          <w:p>
            <w:r>
              <w:rPr>
                <w:sz w:val="19"/>
              </w:rPr>
              <w:t>On-ledger commitment</w:t>
            </w:r>
          </w:p>
        </w:tc>
      </w:tr>
    </w:tbl>
    <w:p/>
    <w:p>
      <w:pPr>
        <w:pStyle w:val="Heading2"/>
        <w:spacing w:before="360" w:after="160"/>
      </w:pPr>
      <w:r>
        <w:rPr>
          <w:color w:val="1A5676"/>
        </w:rPr>
        <w:t>3.3  Phase 3 — The BFT Validator Network</w:t>
      </w:r>
    </w:p>
    <w:p>
      <w:pPr>
        <w:spacing w:after="120" w:line="360" w:lineRule="auto"/>
      </w:pPr>
      <w:r>
        <w:rPr>
          <w:b w:val="0"/>
          <w:i w:val="0"/>
          <w:sz w:val="21"/>
        </w:rPr>
        <w:t>The five-node Byzantine Fault Tolerant network provides the consensus layer. Five independent institutions operate validator nodes: the three Zambian sovereign entities (MRC, ZRA, MoF) and two international institutional validators (AfDB, WB). The network tolerates one Byzantine fault — meaning one node can be fully compromised, acting arbitrarily and maliciously, without affecting the network's correctness.</w:t>
      </w:r>
    </w:p>
    <w:p>
      <w:pPr>
        <w:spacing w:after="120" w:line="360" w:lineRule="auto"/>
      </w:pPr>
      <w:r>
        <w:rPr>
          <w:b w:val="0"/>
          <w:i w:val="0"/>
          <w:sz w:val="21"/>
        </w:rPr>
        <w:t>The critical protocol innovation is the Heterogeneous Quorum Requirement (HQR). Standard PBFT requires any three nodes to reach consensus. The HQR adds a geographic and institutional constraint: any valid quorum must include at least one international validator — AfDB or the World Bank. A coalition of the three Zambian nodes alone cannot finalise any transaction. This is the architectural defence against a scenario in which domestic nodes are seized or coerced.</w:t>
      </w:r>
    </w:p>
    <w:p>
      <w:pPr>
        <w:spacing w:before="120" w:after="120"/>
        <w:ind w:left="576" w:right="576"/>
      </w:pPr>
      <w:r>
        <w:rPr>
          <w:b/>
          <w:color w:val="1A5676"/>
          <w:sz w:val="21"/>
        </w:rPr>
        <w:t xml:space="preserve">HQR PREDICATE:  </w:t>
      </w:r>
      <w:r>
        <w:rPr>
          <w:i/>
          <w:sz w:val="21"/>
        </w:rPr>
        <w:t>Q ∩ {N_AfDB, N_WB} ≠ ∅  for all Stage-9 block finalisations. A 3-node Zambian coalition fails this check and cannot commit, regardless of PBFT quorum arithmetic.</w:t>
      </w:r>
    </w:p>
    <w:p>
      <w:r>
        <w:br w:type="page"/>
      </w:r>
    </w:p>
    <w:p>
      <w:pPr>
        <w:pStyle w:val="Heading1"/>
        <w:spacing w:before="360" w:after="160"/>
      </w:pPr>
      <w:r>
        <w:rPr>
          <w:color w:val="1A5676"/>
        </w:rPr>
        <w:t>4.  The Red Team Exercise — What We Found</w:t>
      </w:r>
    </w:p>
    <w:p>
      <w:pPr>
        <w:spacing w:after="120" w:line="360" w:lineRule="auto"/>
      </w:pPr>
      <w:r>
        <w:rPr>
          <w:b w:val="0"/>
          <w:i w:val="0"/>
          <w:sz w:val="21"/>
        </w:rPr>
        <w:t>Before engaging Trail of Bits, the team conducted a formal internal Red Team / Blue Team adversarial exercise against the v1.4 circuit and the complete system architecture. The Red Team operated under explicit mandate: find a viable path to ten million dollars in underpaid royalties without triggering detection. The results were documented in the Adversarial Proof of Work (RC-ADV-001), which forms part of the Trail of Bits engagement pack.</w:t>
      </w:r>
    </w:p>
    <w:p>
      <w:pPr>
        <w:pStyle w:val="Heading2"/>
        <w:spacing w:before="360" w:after="160"/>
      </w:pPr>
      <w:r>
        <w:rPr>
          <w:color w:val="1A5676"/>
        </w:rPr>
        <w:t>Vector 1 — Truncation Smuggling</w:t>
      </w:r>
    </w:p>
    <w:p>
      <w:pPr>
        <w:spacing w:after="120" w:line="360" w:lineRule="auto"/>
      </w:pPr>
      <w:r>
        <w:rPr>
          <w:b w:val="0"/>
          <w:i w:val="0"/>
          <w:sz w:val="21"/>
        </w:rPr>
        <w:t>The attack premise: exploit fixed-point arithmetic remainder witnesses to systematically understate mineral content across epochs. The circuit uses integer division with remainder witnesses (rem_tonnage, rem_mineral, rem_royalty). An adversary hoped to route maximum truncation into underpayment.</w:t>
      </w:r>
    </w:p>
    <w:p>
      <w:pPr>
        <w:spacing w:after="160" w:line="360" w:lineRule="auto"/>
      </w:pPr>
      <w:r>
        <w:rPr>
          <w:b w:val="0"/>
          <w:i w:val="0"/>
          <w:sz w:val="21"/>
        </w:rPr>
        <w:t>The mathematical analysis proved this is not a viable attack. The remainder witnesses are bounded by the constraint system itself. At a 4.5% copper grade and $9,000/tonne copper price, the maximum royalty leakage is approximately $24.30 per epoch from each remainder channel — approximately $17,739 per year combined. Reaching ten million dollars would require 564 years of consistent exploitation. The truncation channel is documented rounding behaviour, not a vulnerability.</w:t>
      </w:r>
    </w:p>
    <w:p>
      <w:pPr>
        <w:pStyle w:val="ListBullet"/>
        <w:spacing w:after="80"/>
        <w:ind w:left="360"/>
      </w:pPr>
      <w:r>
        <w:rPr>
          <w:sz w:val="21"/>
        </w:rPr>
        <w:t>VERDICT: BOUNDED. Not a viable exploit. Documented and closed.</w:t>
      </w:r>
    </w:p>
    <w:p>
      <w:pPr>
        <w:pStyle w:val="Heading2"/>
        <w:spacing w:before="360" w:after="160"/>
      </w:pPr>
      <w:r>
        <w:rPr>
          <w:color w:val="1A5676"/>
        </w:rPr>
        <w:t>Vector 2 — Compiler Trusting Trust Backdoor</w:t>
      </w:r>
    </w:p>
    <w:p>
      <w:pPr>
        <w:spacing w:after="120" w:line="360" w:lineRule="auto"/>
      </w:pPr>
      <w:r>
        <w:rPr>
          <w:b w:val="0"/>
          <w:i w:val="0"/>
          <w:sz w:val="21"/>
        </w:rPr>
        <w:t>The attack premise: compromise the circom 2.1.9 compiler binary on the operator's build machine. The malicious compiler silently modifies the emitted R1CS file to include a trapdoor term — a 'magic number' that satisfies the non-zero density constraint while encoding effectively zero density. The backdoored circuit produces valid proofs with tax_paid_usd = 0.</w:t>
      </w:r>
    </w:p>
    <w:p>
      <w:pPr>
        <w:spacing w:after="120" w:line="360" w:lineRule="auto"/>
      </w:pPr>
      <w:r>
        <w:rPr>
          <w:b w:val="0"/>
          <w:i w:val="0"/>
          <w:sz w:val="21"/>
        </w:rPr>
        <w:t>The technical mechanism: standard PBFT requires modifying the R1CS sparse vector for the density_d × inv_density_d = 1 constraint to add a field element term that makes the constraint satisfiable at a specific magic number value. The WASM witness generator is simultaneously patched to assign inv_density_d = 0 when the magic number is detected. The backdoor is invisible — it produces the same 542-constraint circuit by count and passes all standard checks.</w:t>
      </w:r>
    </w:p>
    <w:p>
      <w:pPr>
        <w:spacing w:after="120" w:line="360" w:lineRule="auto"/>
      </w:pPr>
      <w:r>
        <w:rPr>
          <w:b/>
          <w:i w:val="0"/>
          <w:sz w:val="21"/>
        </w:rPr>
        <w:t>Blue Team Response — Multi-Party Deterministic Compilation (MPDC):</w:t>
      </w:r>
    </w:p>
    <w:p>
      <w:pPr>
        <w:spacing w:after="120" w:line="360" w:lineRule="auto"/>
      </w:pPr>
      <w:r>
        <w:rPr>
          <w:b w:val="0"/>
          <w:i w:val="0"/>
          <w:sz w:val="21"/>
        </w:rPr>
        <w:t>Circom compilation is deterministic: the same source compiled with the same version produces identical output byte-for-byte. The MPDC protocol requires AfDB, WB, and ZRA to independently compile compliance.circom on their own infrastructure and compare SHA-256 hashes of the resulting R1CS. The ceremony does not proceed unless all three hashes match. A backdoored binary on the operator's machine produces a different hash and is detected before the trusted setup generates any verification key.</w:t>
      </w:r>
    </w:p>
    <w:p>
      <w:pPr>
        <w:pStyle w:val="ListBullet"/>
        <w:spacing w:after="80"/>
        <w:ind w:left="360"/>
      </w:pPr>
      <w:r>
        <w:rPr>
          <w:sz w:val="21"/>
        </w:rPr>
        <w:t>VERDICT: CRITICAL. Fully mitigated by MPDC ceremony protocol.</w:t>
      </w:r>
    </w:p>
    <w:p>
      <w:pPr>
        <w:pStyle w:val="Heading2"/>
        <w:spacing w:before="360" w:after="160"/>
      </w:pPr>
      <w:r>
        <w:rPr>
          <w:color w:val="1A5676"/>
        </w:rPr>
        <w:t>Vector 3 — ISP-Level Eclipse Attack</w:t>
      </w:r>
    </w:p>
    <w:p>
      <w:pPr>
        <w:spacing w:after="120" w:line="360" w:lineRule="auto"/>
      </w:pPr>
      <w:r>
        <w:rPr>
          <w:b w:val="0"/>
          <w:i w:val="0"/>
          <w:sz w:val="21"/>
        </w:rPr>
        <w:t>The attack premise: a nation-state adversary uses BGP route hijacking to isolate AfDB (Abidjan) and the World Bank (Washington DC) from the network during the Stage-9 finalisation window. With both international validators eclipsed, the three Zambian nodes form a valid 3-node quorum under standard PBFT and can finalise fraudulent transactions.</w:t>
      </w:r>
    </w:p>
    <w:p>
      <w:pPr>
        <w:spacing w:after="120" w:line="360" w:lineRule="auto"/>
      </w:pPr>
      <w:r>
        <w:rPr>
          <w:b w:val="0"/>
          <w:i w:val="0"/>
          <w:sz w:val="21"/>
        </w:rPr>
        <w:t>The standalone eclipse attack does not break the protocol — ZK proof soundness is a mathematical property that holds regardless of which nodes vote. The eclipse attack becomes a ten-million-dollar path only in combination with Vector 2: a backdoored circuit that produces valid proofs for zero-royalty claims, combined with an eclipse that prevents international validators from blocking the commit.</w:t>
      </w:r>
    </w:p>
    <w:p>
      <w:pPr>
        <w:spacing w:after="120" w:line="360" w:lineRule="auto"/>
      </w:pPr>
      <w:r>
        <w:rPr>
          <w:b/>
          <w:i w:val="0"/>
          <w:sz w:val="21"/>
        </w:rPr>
        <w:t>Blue Team Response — Heterogeneous Quorum Requirement (HQR):</w:t>
      </w:r>
    </w:p>
    <w:p>
      <w:pPr>
        <w:spacing w:after="120" w:line="360" w:lineRule="auto"/>
      </w:pPr>
      <w:r>
        <w:rPr>
          <w:b w:val="0"/>
          <w:i w:val="0"/>
          <w:sz w:val="21"/>
        </w:rPr>
        <w:t>The HQR predicate, now hardcoded into the BFT validator client, requires that any finalised block's quorum certificate include at least one signature from AfDB or WB. An eclipsed network where both international validators are unreachable cannot satisfy this requirement and defaults to a safe liveness failure — the network halts rather than commits. The combined V2+V3 kill chain is closed because the eclipse attack alone is now insufficient even with a backdoored circuit.</w:t>
      </w:r>
    </w:p>
    <w:p>
      <w:pPr>
        <w:pStyle w:val="ListBullet"/>
        <w:spacing w:after="80"/>
        <w:ind w:left="360"/>
      </w:pPr>
      <w:r>
        <w:rPr>
          <w:sz w:val="21"/>
        </w:rPr>
        <w:t>VERDICT: CRITICAL. Mitigated by HQR in combination with MPDC.</w:t>
      </w:r>
    </w:p>
    <w:p>
      <w:r>
        <w:br w:type="page"/>
      </w:r>
    </w:p>
    <w:p>
      <w:pPr>
        <w:pStyle w:val="Heading1"/>
        <w:spacing w:before="360" w:after="160"/>
      </w:pPr>
      <w:r>
        <w:rPr>
          <w:color w:val="1A5676"/>
        </w:rPr>
        <w:t>5.  The Infrastructure Architecture</w:t>
      </w:r>
    </w:p>
    <w:p>
      <w:pPr>
        <w:spacing w:after="120" w:line="360" w:lineRule="auto"/>
      </w:pPr>
      <w:r>
        <w:rPr>
          <w:b w:val="0"/>
          <w:i w:val="0"/>
          <w:sz w:val="21"/>
        </w:rPr>
        <w:t>The validator network is designed around three principles: no single party can act unilaterally, no private key ever enters RAM, and anomalous signing behaviour is detected and reported before it can finalise a fraudulent transaction. The full specification is documented in RC-INFRA-001.</w:t>
      </w:r>
    </w:p>
    <w:p>
      <w:pPr>
        <w:pStyle w:val="Heading2"/>
        <w:spacing w:before="360" w:after="160"/>
      </w:pPr>
      <w:r>
        <w:rPr>
          <w:color w:val="1A5676"/>
        </w:rPr>
        <w:t>5.1  The Validator Node Stack</w:t>
      </w:r>
    </w:p>
    <w:tbl>
      <w:tblPr>
        <w:tblStyle w:val="TableGrid"/>
        <w:tblW w:type="auto" w:w="0"/>
        <w:tblLook w:firstColumn="1" w:firstRow="1" w:lastColumn="0" w:lastRow="0" w:noHBand="0" w:noVBand="1" w:val="04A0"/>
      </w:tblPr>
      <w:tblGrid>
        <w:gridCol w:w="2832"/>
        <w:gridCol w:w="2832"/>
        <w:gridCol w:w="2832"/>
      </w:tblGrid>
      <w:tr>
        <w:tc>
          <w:tcPr>
            <w:tcW w:type="dxa" w:w="2592"/>
            <w:shd w:val="clear" w:color="auto" w:fill="1A5676"/>
          </w:tcPr>
          <w:p>
            <w:pPr>
              <w:jc w:val="center"/>
            </w:pPr>
            <w:r>
              <w:rPr>
                <w:b/>
                <w:color w:val="FFFFFF"/>
                <w:sz w:val="19"/>
              </w:rPr>
              <w:t>Component</w:t>
            </w:r>
          </w:p>
        </w:tc>
        <w:tc>
          <w:tcPr>
            <w:tcW w:type="dxa" w:w="2592"/>
            <w:shd w:val="clear" w:color="auto" w:fill="1A5676"/>
          </w:tcPr>
          <w:p>
            <w:pPr>
              <w:jc w:val="center"/>
            </w:pPr>
            <w:r>
              <w:rPr>
                <w:b/>
                <w:color w:val="FFFFFF"/>
                <w:sz w:val="19"/>
              </w:rPr>
              <w:t>Technology</w:t>
            </w:r>
          </w:p>
        </w:tc>
        <w:tc>
          <w:tcPr>
            <w:tcW w:type="dxa" w:w="4320"/>
            <w:shd w:val="clear" w:color="auto" w:fill="1A5676"/>
          </w:tcPr>
          <w:p>
            <w:pPr>
              <w:jc w:val="center"/>
            </w:pPr>
            <w:r>
              <w:rPr>
                <w:b/>
                <w:color w:val="FFFFFF"/>
                <w:sz w:val="19"/>
              </w:rPr>
              <w:t>Rationale</w:t>
            </w:r>
          </w:p>
        </w:tc>
      </w:tr>
      <w:tr>
        <w:tc>
          <w:tcPr>
            <w:tcW w:type="dxa" w:w="2592"/>
            <w:shd w:val="clear" w:color="auto" w:fill="EEF4F7"/>
          </w:tcPr>
          <w:p>
            <w:r>
              <w:rPr>
                <w:sz w:val="19"/>
              </w:rPr>
              <w:t>BFT Consensus Client</w:t>
            </w:r>
          </w:p>
        </w:tc>
        <w:tc>
          <w:tcPr>
            <w:tcW w:type="dxa" w:w="2592"/>
            <w:shd w:val="clear" w:color="auto" w:fill="EEF4F7"/>
          </w:tcPr>
          <w:p>
            <w:r>
              <w:rPr>
                <w:sz w:val="19"/>
              </w:rPr>
              <w:t>Rust (memory-safe, no GC)</w:t>
            </w:r>
          </w:p>
        </w:tc>
        <w:tc>
          <w:tcPr>
            <w:tcW w:type="dxa" w:w="4320"/>
            <w:shd w:val="clear" w:color="auto" w:fill="EEF4F7"/>
          </w:tcPr>
          <w:p>
            <w:r>
              <w:rPr>
                <w:sz w:val="19"/>
              </w:rPr>
              <w:t>Deterministic latency; no garbage collection pauses during consensus timing</w:t>
            </w:r>
          </w:p>
        </w:tc>
      </w:tr>
      <w:tr>
        <w:tc>
          <w:tcPr>
            <w:tcW w:type="dxa" w:w="2592"/>
          </w:tcPr>
          <w:p>
            <w:r>
              <w:rPr>
                <w:sz w:val="19"/>
              </w:rPr>
              <w:t>Groth16 Verifier</w:t>
            </w:r>
          </w:p>
        </w:tc>
        <w:tc>
          <w:tcPr>
            <w:tcW w:type="dxa" w:w="2592"/>
          </w:tcPr>
          <w:p>
            <w:r>
              <w:rPr>
                <w:sz w:val="19"/>
              </w:rPr>
              <w:t>ark-groth16 + ark-bn254</w:t>
            </w:r>
          </w:p>
        </w:tc>
        <w:tc>
          <w:tcPr>
            <w:tcW w:type="dxa" w:w="4320"/>
          </w:tcPr>
          <w:p>
            <w:r>
              <w:rPr>
                <w:sz w:val="19"/>
              </w:rPr>
              <w:t>Constant-time field arithmetic; verification key hash hardcoded at compile time</w:t>
            </w:r>
          </w:p>
        </w:tc>
      </w:tr>
      <w:tr>
        <w:tc>
          <w:tcPr>
            <w:tcW w:type="dxa" w:w="2592"/>
            <w:shd w:val="clear" w:color="auto" w:fill="EEF4F7"/>
          </w:tcPr>
          <w:p>
            <w:r>
              <w:rPr>
                <w:sz w:val="19"/>
              </w:rPr>
              <w:t>HSM Interface</w:t>
            </w:r>
          </w:p>
        </w:tc>
        <w:tc>
          <w:tcPr>
            <w:tcW w:type="dxa" w:w="2592"/>
            <w:shd w:val="clear" w:color="auto" w:fill="EEF4F7"/>
          </w:tcPr>
          <w:p>
            <w:r>
              <w:rPr>
                <w:sz w:val="19"/>
              </w:rPr>
              <w:t>PKCS#11 via cryptoki crate</w:t>
            </w:r>
          </w:p>
        </w:tc>
        <w:tc>
          <w:tcPr>
            <w:tcW w:type="dxa" w:w="4320"/>
            <w:shd w:val="clear" w:color="auto" w:fill="EEF4F7"/>
          </w:tcPr>
          <w:p>
            <w:r>
              <w:rPr>
                <w:sz w:val="19"/>
              </w:rPr>
              <w:t>Private key never leaves HSM boundary under any software path</w:t>
            </w:r>
          </w:p>
        </w:tc>
      </w:tr>
      <w:tr>
        <w:tc>
          <w:tcPr>
            <w:tcW w:type="dxa" w:w="2592"/>
          </w:tcPr>
          <w:p>
            <w:r>
              <w:rPr>
                <w:sz w:val="19"/>
              </w:rPr>
              <w:t>P2P Transport</w:t>
            </w:r>
          </w:p>
        </w:tc>
        <w:tc>
          <w:tcPr>
            <w:tcW w:type="dxa" w:w="2592"/>
          </w:tcPr>
          <w:p>
            <w:r>
              <w:rPr>
                <w:sz w:val="19"/>
              </w:rPr>
              <w:t>WireGuard VPN mesh</w:t>
            </w:r>
          </w:p>
        </w:tc>
        <w:tc>
          <w:tcPr>
            <w:tcW w:type="dxa" w:w="4320"/>
          </w:tcPr>
          <w:p>
            <w:r>
              <w:rPr>
                <w:sz w:val="19"/>
              </w:rPr>
              <w:t>Encrypted overlay; pre-shared keys derived from MPC ceremony</w:t>
            </w:r>
          </w:p>
        </w:tc>
      </w:tr>
      <w:tr>
        <w:tc>
          <w:tcPr>
            <w:tcW w:type="dxa" w:w="2592"/>
            <w:shd w:val="clear" w:color="auto" w:fill="EEF4F7"/>
          </w:tcPr>
          <w:p>
            <w:r>
              <w:rPr>
                <w:sz w:val="19"/>
              </w:rPr>
              <w:t>Compliance Ledger</w:t>
            </w:r>
          </w:p>
        </w:tc>
        <w:tc>
          <w:tcPr>
            <w:tcW w:type="dxa" w:w="2592"/>
            <w:shd w:val="clear" w:color="auto" w:fill="EEF4F7"/>
          </w:tcPr>
          <w:p>
            <w:r>
              <w:rPr>
                <w:sz w:val="19"/>
              </w:rPr>
              <w:t>Append-only Merkle chain</w:t>
            </w:r>
          </w:p>
        </w:tc>
        <w:tc>
          <w:tcPr>
            <w:tcW w:type="dxa" w:w="4320"/>
            <w:shd w:val="clear" w:color="auto" w:fill="EEF4F7"/>
          </w:tcPr>
          <w:p>
            <w:r>
              <w:rPr>
                <w:sz w:val="19"/>
              </w:rPr>
              <w:t>Write-once; AppArmor enforced; Merkle root broadcast every 100 epochs</w:t>
            </w:r>
          </w:p>
        </w:tc>
      </w:tr>
      <w:tr>
        <w:tc>
          <w:tcPr>
            <w:tcW w:type="dxa" w:w="2592"/>
          </w:tcPr>
          <w:p>
            <w:r>
              <w:rPr>
                <w:sz w:val="19"/>
              </w:rPr>
              <w:t>Health Monitor</w:t>
            </w:r>
          </w:p>
        </w:tc>
        <w:tc>
          <w:tcPr>
            <w:tcW w:type="dxa" w:w="2592"/>
          </w:tcPr>
          <w:p>
            <w:r>
              <w:rPr>
                <w:sz w:val="19"/>
              </w:rPr>
              <w:t>Separate Rust process</w:t>
            </w:r>
          </w:p>
        </w:tc>
        <w:tc>
          <w:tcPr>
            <w:tcW w:type="dxa" w:w="4320"/>
          </w:tcPr>
          <w:p>
            <w:r>
              <w:rPr>
                <w:sz w:val="19"/>
              </w:rPr>
              <w:t>Privilege separation; monitor cannot be silenced by consensus client bug</w:t>
            </w:r>
          </w:p>
        </w:tc>
      </w:tr>
    </w:tbl>
    <w:p/>
    <w:p>
      <w:pPr>
        <w:pStyle w:val="Heading2"/>
        <w:spacing w:before="360" w:after="160"/>
      </w:pPr>
      <w:r>
        <w:rPr>
          <w:color w:val="1A5676"/>
        </w:rPr>
        <w:t>5.2  FIPS 140-2 Level 3 HSM Integration</w:t>
      </w:r>
    </w:p>
    <w:p>
      <w:pPr>
        <w:spacing w:after="120" w:line="360" w:lineRule="auto"/>
      </w:pPr>
      <w:r>
        <w:rPr>
          <w:b w:val="0"/>
          <w:i w:val="0"/>
          <w:sz w:val="21"/>
        </w:rPr>
        <w:t>Every validator node uses a Thales Luna Network HSM 7 (FIPS 140-2 Level 3) for all Ed25519 signing operations. The private key is generated inside the HSM during the node key ceremony, cannot be exported in plaintext under any software path, and zeroes itself automatically upon physical intrusion detection. The PBFT consensus engine calls the HSM via the PKCS#11 interface for every message signature — the key never crosses into process memory.</w:t>
      </w:r>
    </w:p>
    <w:p>
      <w:pPr>
        <w:spacing w:after="120" w:line="360" w:lineRule="auto"/>
      </w:pPr>
      <w:r>
        <w:rPr>
          <w:b w:val="0"/>
          <w:i w:val="0"/>
          <w:sz w:val="21"/>
        </w:rPr>
        <w:t>If an HSM becomes unreachable — whether from power loss, tamper event, or network partition — the affected node immediately transitions to a SUSPENDED state, stops participating in consensus, and broadcasts an HSM_FAULT status to all peers. The network assesses whether the remaining nodes constitute a valid HQR quorum and proceeds or halts accordingly.</w:t>
      </w:r>
    </w:p>
    <w:p>
      <w:pPr>
        <w:pStyle w:val="Heading2"/>
        <w:spacing w:before="360" w:after="160"/>
      </w:pPr>
      <w:r>
        <w:rPr>
          <w:color w:val="1A5676"/>
        </w:rPr>
        <w:t>5.3  The Consensus Health Monitor</w:t>
      </w:r>
    </w:p>
    <w:p>
      <w:pPr>
        <w:spacing w:after="120" w:line="360" w:lineRule="auto"/>
      </w:pPr>
      <w:r>
        <w:rPr>
          <w:b w:val="0"/>
          <w:i w:val="0"/>
          <w:sz w:val="21"/>
        </w:rPr>
        <w:t>The Consensus Health Monitor is a separate process — not a thread — running alongside the consensus client on each node. It cannot be silenced by a bug or compromise of the consensus client. Its mandate is to detect the signing patterns of a seized or coerced node before that node can influence a commit.</w:t>
      </w:r>
    </w:p>
    <w:p>
      <w:pPr>
        <w:spacing w:after="80" w:line="360" w:lineRule="auto"/>
      </w:pPr>
      <w:r>
        <w:rPr>
          <w:b w:val="0"/>
          <w:i w:val="0"/>
          <w:sz w:val="21"/>
        </w:rPr>
        <w:t>The monitor tracks five metrics per validator node:</w:t>
      </w:r>
    </w:p>
    <w:p>
      <w:pPr>
        <w:pStyle w:val="ListBullet"/>
        <w:spacing w:after="80"/>
        <w:ind w:left="360"/>
      </w:pPr>
      <w:r>
        <w:rPr>
          <w:sz w:val="21"/>
        </w:rPr>
        <w:t>Liveness score (messages signed vs. expected in rolling 5-minute window)</w:t>
      </w:r>
    </w:p>
    <w:p>
      <w:pPr>
        <w:pStyle w:val="ListBullet"/>
        <w:spacing w:after="80"/>
        <w:ind w:left="360"/>
      </w:pPr>
      <w:r>
        <w:rPr>
          <w:sz w:val="21"/>
        </w:rPr>
        <w:t>Consecutive missed rounds (threshold: 10 consecutive rounds triggers alert)</w:t>
      </w:r>
    </w:p>
    <w:p>
      <w:pPr>
        <w:pStyle w:val="ListBullet"/>
        <w:spacing w:after="80"/>
        <w:ind w:left="360"/>
      </w:pPr>
      <w:r>
        <w:rPr>
          <w:sz w:val="21"/>
        </w:rPr>
        <w:t>Equivocation detection (node signed two conflicting messages for same round — immediate alert)</w:t>
      </w:r>
    </w:p>
    <w:p>
      <w:pPr>
        <w:pStyle w:val="ListBullet"/>
        <w:spacing w:after="80"/>
        <w:ind w:left="360"/>
      </w:pPr>
      <w:r>
        <w:rPr>
          <w:sz w:val="21"/>
        </w:rPr>
        <w:t>Clock drift (|node timestamp − median| &gt; 30 seconds — suspension)</w:t>
      </w:r>
    </w:p>
    <w:p>
      <w:pPr>
        <w:pStyle w:val="ListBullet"/>
        <w:spacing w:after="80"/>
        <w:ind w:left="360"/>
      </w:pPr>
      <w:r>
        <w:rPr>
          <w:sz w:val="21"/>
        </w:rPr>
        <w:t>Vote entropy collapse (automated signing exhibits unnaturally uniform vote patterns)</w:t>
      </w:r>
    </w:p>
    <w:p>
      <w:pPr>
        <w:spacing w:after="120" w:line="360" w:lineRule="auto"/>
      </w:pPr>
      <w:r>
        <w:rPr>
          <w:b w:val="0"/>
          <w:i w:val="0"/>
          <w:sz w:val="21"/>
        </w:rPr>
        <w:t>Alerts are delivered simultaneously over three independent channels: BFT network broadcast, out-of-band cellular push notification, and on-ledger alert record. An adversary controlling a seized node's local network cannot silence all three.</w:t>
      </w:r>
    </w:p>
    <w:p>
      <w:r>
        <w:br w:type="page"/>
      </w:r>
    </w:p>
    <w:p>
      <w:pPr>
        <w:pStyle w:val="Heading1"/>
        <w:spacing w:before="360" w:after="160"/>
      </w:pPr>
      <w:r>
        <w:rPr>
          <w:color w:val="1A5676"/>
        </w:rPr>
        <w:t>6.  The MPC Trusted Setup Ceremony</w:t>
      </w:r>
    </w:p>
    <w:p>
      <w:pPr>
        <w:spacing w:after="120" w:line="360" w:lineRule="auto"/>
      </w:pPr>
      <w:r>
        <w:rPr>
          <w:b w:val="0"/>
          <w:i w:val="0"/>
          <w:sz w:val="21"/>
        </w:rPr>
        <w:t>The Groth16 proof system requires a one-time trusted setup: a mathematical ceremony that generates the verification key for the circuit. The security of every proof ever verified by the network depends on this ceremony being conducted honestly. If all participants collude to retain their ceremony secrets, an attacker can forge any proof.</w:t>
      </w:r>
    </w:p>
    <w:p>
      <w:pPr>
        <w:spacing w:after="120" w:line="360" w:lineRule="auto"/>
      </w:pPr>
      <w:r>
        <w:rPr>
          <w:b w:val="0"/>
          <w:i w:val="0"/>
          <w:sz w:val="21"/>
        </w:rPr>
        <w:t>The ceremony requires only one honest participant to be secure. This is the foundational guarantee: even if four of the five participants are fully compromised, one honest participant who destroys their secret renders the others' retained secrets useless. The ceremony design places the World Bank and AfDB as the final contributors precisely because their institutional governance makes honest participation structurally mandatory — their board accountability and fiduciary obligations create consequences for dishonesty that dwarf any benefit from retaining a ceremony secret.</w:t>
      </w:r>
    </w:p>
    <w:p>
      <w:pPr>
        <w:pStyle w:val="Heading2"/>
        <w:spacing w:before="360" w:after="160"/>
      </w:pPr>
      <w:r>
        <w:rPr>
          <w:color w:val="1A5676"/>
        </w:rPr>
        <w:t>Ceremony Architecture</w:t>
      </w:r>
    </w:p>
    <w:tbl>
      <w:tblPr>
        <w:tblStyle w:val="TableGrid"/>
        <w:tblW w:type="auto" w:w="0"/>
        <w:tblLook w:firstColumn="1" w:firstRow="1" w:lastColumn="0" w:lastRow="0" w:noHBand="0" w:noVBand="1" w:val="04A0"/>
      </w:tblPr>
      <w:tblGrid>
        <w:gridCol w:w="2124"/>
        <w:gridCol w:w="2124"/>
        <w:gridCol w:w="2124"/>
        <w:gridCol w:w="2124"/>
      </w:tblGrid>
      <w:tr>
        <w:tc>
          <w:tcPr>
            <w:tcW w:type="dxa" w:w="720"/>
            <w:shd w:val="clear" w:color="auto" w:fill="1A5676"/>
          </w:tcPr>
          <w:p>
            <w:pPr>
              <w:jc w:val="center"/>
            </w:pPr>
            <w:r>
              <w:rPr>
                <w:b/>
                <w:color w:val="FFFFFF"/>
                <w:sz w:val="19"/>
              </w:rPr>
              <w:t>Contributor</w:t>
            </w:r>
          </w:p>
        </w:tc>
        <w:tc>
          <w:tcPr>
            <w:tcW w:type="dxa" w:w="3600"/>
            <w:shd w:val="clear" w:color="auto" w:fill="1A5676"/>
          </w:tcPr>
          <w:p>
            <w:pPr>
              <w:jc w:val="center"/>
            </w:pPr>
            <w:r>
              <w:rPr>
                <w:b/>
                <w:color w:val="FFFFFF"/>
                <w:sz w:val="19"/>
              </w:rPr>
              <w:t>Institution</w:t>
            </w:r>
          </w:p>
        </w:tc>
        <w:tc>
          <w:tcPr>
            <w:tcW w:type="dxa" w:w="2160"/>
            <w:shd w:val="clear" w:color="auto" w:fill="1A5676"/>
          </w:tcPr>
          <w:p>
            <w:pPr>
              <w:jc w:val="center"/>
            </w:pPr>
            <w:r>
              <w:rPr>
                <w:b/>
                <w:color w:val="FFFFFF"/>
                <w:sz w:val="19"/>
              </w:rPr>
              <w:t>Contribution Order</w:t>
            </w:r>
          </w:p>
        </w:tc>
        <w:tc>
          <w:tcPr>
            <w:tcW w:type="dxa" w:w="2880"/>
            <w:shd w:val="clear" w:color="auto" w:fill="1A5676"/>
          </w:tcPr>
          <w:p>
            <w:pPr>
              <w:jc w:val="center"/>
            </w:pPr>
            <w:r>
              <w:rPr>
                <w:b/>
                <w:color w:val="FFFFFF"/>
                <w:sz w:val="19"/>
              </w:rPr>
              <w:t>Rationale</w:t>
            </w:r>
          </w:p>
        </w:tc>
      </w:tr>
      <w:tr>
        <w:tc>
          <w:tcPr>
            <w:tcW w:type="dxa" w:w="720"/>
            <w:shd w:val="clear" w:color="auto" w:fill="EEF4F7"/>
          </w:tcPr>
          <w:p>
            <w:r>
              <w:rPr>
                <w:sz w:val="19"/>
              </w:rPr>
              <w:t>1</w:t>
            </w:r>
          </w:p>
        </w:tc>
        <w:tc>
          <w:tcPr>
            <w:tcW w:type="dxa" w:w="3600"/>
            <w:shd w:val="clear" w:color="auto" w:fill="EEF4F7"/>
          </w:tcPr>
          <w:p>
            <w:r>
              <w:rPr>
                <w:sz w:val="19"/>
              </w:rPr>
              <w:t>Ministry of Finance (MoF)</w:t>
            </w:r>
          </w:p>
        </w:tc>
        <w:tc>
          <w:tcPr>
            <w:tcW w:type="dxa" w:w="2160"/>
            <w:shd w:val="clear" w:color="auto" w:fill="EEF4F7"/>
          </w:tcPr>
          <w:p>
            <w:r>
              <w:rPr>
                <w:sz w:val="19"/>
              </w:rPr>
              <w:t>First</w:t>
            </w:r>
          </w:p>
        </w:tc>
        <w:tc>
          <w:tcPr>
            <w:tcW w:type="dxa" w:w="2880"/>
            <w:shd w:val="clear" w:color="auto" w:fill="EEF4F7"/>
          </w:tcPr>
          <w:p>
            <w:r>
              <w:rPr>
                <w:sz w:val="19"/>
              </w:rPr>
              <w:t>Opens the entropy chain</w:t>
            </w:r>
          </w:p>
        </w:tc>
      </w:tr>
      <w:tr>
        <w:tc>
          <w:tcPr>
            <w:tcW w:type="dxa" w:w="720"/>
          </w:tcPr>
          <w:p>
            <w:r>
              <w:rPr>
                <w:sz w:val="19"/>
              </w:rPr>
              <w:t>2</w:t>
            </w:r>
          </w:p>
        </w:tc>
        <w:tc>
          <w:tcPr>
            <w:tcW w:type="dxa" w:w="3600"/>
          </w:tcPr>
          <w:p>
            <w:r>
              <w:rPr>
                <w:sz w:val="19"/>
              </w:rPr>
              <w:t>Zambia Revenue Authority (ZRA)</w:t>
            </w:r>
          </w:p>
        </w:tc>
        <w:tc>
          <w:tcPr>
            <w:tcW w:type="dxa" w:w="2160"/>
          </w:tcPr>
          <w:p>
            <w:r>
              <w:rPr>
                <w:sz w:val="19"/>
              </w:rPr>
              <w:t>Second</w:t>
            </w:r>
          </w:p>
        </w:tc>
        <w:tc>
          <w:tcPr>
            <w:tcW w:type="dxa" w:w="2880"/>
          </w:tcPr>
          <w:p>
            <w:r>
              <w:rPr>
                <w:sz w:val="19"/>
              </w:rPr>
              <w:t>Sovereign co-contributor</w:t>
            </w:r>
          </w:p>
        </w:tc>
      </w:tr>
      <w:tr>
        <w:tc>
          <w:tcPr>
            <w:tcW w:type="dxa" w:w="720"/>
            <w:shd w:val="clear" w:color="auto" w:fill="EEF4F7"/>
          </w:tcPr>
          <w:p>
            <w:r>
              <w:rPr>
                <w:sz w:val="19"/>
              </w:rPr>
              <w:t>3</w:t>
            </w:r>
          </w:p>
        </w:tc>
        <w:tc>
          <w:tcPr>
            <w:tcW w:type="dxa" w:w="3600"/>
            <w:shd w:val="clear" w:color="auto" w:fill="EEF4F7"/>
          </w:tcPr>
          <w:p>
            <w:r>
              <w:rPr>
                <w:sz w:val="19"/>
              </w:rPr>
              <w:t>Minerals Regulation Commission (MRC)</w:t>
            </w:r>
          </w:p>
        </w:tc>
        <w:tc>
          <w:tcPr>
            <w:tcW w:type="dxa" w:w="2160"/>
            <w:shd w:val="clear" w:color="auto" w:fill="EEF4F7"/>
          </w:tcPr>
          <w:p>
            <w:r>
              <w:rPr>
                <w:sz w:val="19"/>
              </w:rPr>
              <w:t>Third</w:t>
            </w:r>
          </w:p>
        </w:tc>
        <w:tc>
          <w:tcPr>
            <w:tcW w:type="dxa" w:w="2880"/>
            <w:shd w:val="clear" w:color="auto" w:fill="EEF4F7"/>
          </w:tcPr>
          <w:p>
            <w:r>
              <w:rPr>
                <w:sz w:val="19"/>
              </w:rPr>
              <w:t>Completes Zambian tranche</w:t>
            </w:r>
          </w:p>
        </w:tc>
      </w:tr>
      <w:tr>
        <w:tc>
          <w:tcPr>
            <w:tcW w:type="dxa" w:w="720"/>
          </w:tcPr>
          <w:p>
            <w:r>
              <w:rPr>
                <w:sz w:val="19"/>
              </w:rPr>
              <w:t>4</w:t>
            </w:r>
          </w:p>
        </w:tc>
        <w:tc>
          <w:tcPr>
            <w:tcW w:type="dxa" w:w="3600"/>
          </w:tcPr>
          <w:p>
            <w:r>
              <w:rPr>
                <w:sz w:val="19"/>
              </w:rPr>
              <w:t>African Development Bank (AfDB)</w:t>
            </w:r>
          </w:p>
        </w:tc>
        <w:tc>
          <w:tcPr>
            <w:tcW w:type="dxa" w:w="2160"/>
          </w:tcPr>
          <w:p>
            <w:r>
              <w:rPr>
                <w:sz w:val="19"/>
              </w:rPr>
              <w:t>Fourth</w:t>
            </w:r>
          </w:p>
        </w:tc>
        <w:tc>
          <w:tcPr>
            <w:tcW w:type="dxa" w:w="2880"/>
          </w:tcPr>
          <w:p>
            <w:r>
              <w:rPr>
                <w:sz w:val="19"/>
              </w:rPr>
              <w:t>International backstop</w:t>
            </w:r>
          </w:p>
        </w:tc>
      </w:tr>
      <w:tr>
        <w:tc>
          <w:tcPr>
            <w:tcW w:type="dxa" w:w="720"/>
            <w:shd w:val="clear" w:color="auto" w:fill="EEF4F7"/>
          </w:tcPr>
          <w:p>
            <w:r>
              <w:rPr>
                <w:sz w:val="19"/>
              </w:rPr>
              <w:t>5</w:t>
            </w:r>
          </w:p>
        </w:tc>
        <w:tc>
          <w:tcPr>
            <w:tcW w:type="dxa" w:w="3600"/>
            <w:shd w:val="clear" w:color="auto" w:fill="EEF4F7"/>
          </w:tcPr>
          <w:p>
            <w:r>
              <w:rPr>
                <w:sz w:val="19"/>
              </w:rPr>
              <w:t>World Bank (WB)</w:t>
            </w:r>
          </w:p>
        </w:tc>
        <w:tc>
          <w:tcPr>
            <w:tcW w:type="dxa" w:w="2160"/>
            <w:shd w:val="clear" w:color="auto" w:fill="EEF4F7"/>
          </w:tcPr>
          <w:p>
            <w:r>
              <w:rPr>
                <w:sz w:val="19"/>
              </w:rPr>
              <w:t>Fifth — final</w:t>
            </w:r>
          </w:p>
        </w:tc>
        <w:tc>
          <w:tcPr>
            <w:tcW w:type="dxa" w:w="2880"/>
            <w:shd w:val="clear" w:color="auto" w:fill="EEF4F7"/>
          </w:tcPr>
          <w:p>
            <w:r>
              <w:rPr>
                <w:sz w:val="19"/>
              </w:rPr>
              <w:t>Last contributor; honest WB = secure ceremony</w:t>
            </w:r>
          </w:p>
        </w:tc>
      </w:tr>
    </w:tbl>
    <w:p/>
    <w:p>
      <w:pPr>
        <w:spacing w:after="120" w:line="360" w:lineRule="auto"/>
      </w:pPr>
      <w:r>
        <w:rPr>
          <w:b w:val="0"/>
          <w:i w:val="0"/>
          <w:sz w:val="21"/>
        </w:rPr>
        <w:t>The ceremony coordinator node is hosted at Exoscale AG, Zurich, Switzerland — a European-sovereign cloud provider explicitly outside US CLOUD Act jurisdiction. Administrative access to the coordinator node requires 2-of-3 Shamir keys held by AfDB, WB, and Zambia ZICTA. Kgosi Capital holds no administrative key — the infrastructure is controlled by the institutional participants.</w:t>
      </w:r>
    </w:p>
    <w:p>
      <w:pPr>
        <w:spacing w:after="120" w:line="360" w:lineRule="auto"/>
      </w:pPr>
      <w:r>
        <w:rPr>
          <w:b w:val="0"/>
          <w:i w:val="0"/>
          <w:sz w:val="21"/>
        </w:rPr>
        <w:t>Target date: September 2026. The ceremony is strategically positioned as an inaugural sovereign event following the electoral transition. The incoming government's ZRA and MoF representatives participate in the ceremony — they do not inherit a system built by the previous administration, they co-create it. This transforms the political narrative from 'legacy system to accept or reject' to 'sovereign infrastructure co-founded by the current government.'</w:t>
      </w:r>
    </w:p>
    <w:p>
      <w:r>
        <w:br w:type="page"/>
      </w:r>
    </w:p>
    <w:p>
      <w:pPr>
        <w:pStyle w:val="Heading1"/>
        <w:spacing w:before="360" w:after="160"/>
      </w:pPr>
      <w:r>
        <w:rPr>
          <w:color w:val="1A5676"/>
        </w:rPr>
        <w:t>7.  The Geopolitical Dimension</w:t>
      </w:r>
    </w:p>
    <w:p>
      <w:pPr>
        <w:spacing w:after="120" w:line="360" w:lineRule="auto"/>
      </w:pPr>
      <w:r>
        <w:rPr>
          <w:b w:val="0"/>
          <w:i w:val="0"/>
          <w:sz w:val="21"/>
        </w:rPr>
        <w:t>The cryptographic architecture is sound. The political architecture determines whether it deploys. This section documents the specific actors with material interests in the protocol's success or failure and the strategic responses designed for each.</w:t>
      </w:r>
    </w:p>
    <w:p>
      <w:pPr>
        <w:pStyle w:val="Heading2"/>
        <w:spacing w:before="360" w:after="160"/>
      </w:pPr>
      <w:r>
        <w:rPr>
          <w:color w:val="1A5676"/>
        </w:rPr>
        <w:t>7.1  China — The Primary Resistance Vector</w:t>
      </w:r>
    </w:p>
    <w:p>
      <w:pPr>
        <w:spacing w:after="120" w:line="360" w:lineRule="auto"/>
      </w:pPr>
      <w:r>
        <w:rPr>
          <w:b w:val="0"/>
          <w:i w:val="0"/>
          <w:sz w:val="21"/>
        </w:rPr>
        <w:t>China Nonferrous Metal Mining Group (CNMC) operates some of the largest mines in Zambia's Copperbelt — Chambishi, Luanshya, and NFCA operations. These entities currently benefit from the RC-03 governance gap: self-declared density and grade with no cryptographic binding. A fully operational Resource Command protocol with geochemical oracle binding ends this structural advantage.</w:t>
      </w:r>
    </w:p>
    <w:p>
      <w:pPr>
        <w:spacing w:after="120" w:line="360" w:lineRule="auto"/>
      </w:pPr>
      <w:r>
        <w:rPr>
          <w:b w:val="0"/>
          <w:i w:val="0"/>
          <w:sz w:val="21"/>
        </w:rPr>
        <w:t>The technical threat is documented in the updated Threat Model as T10: Chinese state actor BGP manipulation via West African submarine cable infrastructure. AfDB's Abidjan headquarters sits downstream of the ACE (Africa Coast to Europe) cable system, in which Chinese-built or Chinese-invested infrastructure has significant presence. A targeted BGP prefix announcement at the ACE Abidjan landing station could execute the Vector 3 eclipse attack against the AfDB validator node with substantially lower capability than a generic nation-state attack requires.</w:t>
      </w:r>
    </w:p>
    <w:p>
      <w:pPr>
        <w:spacing w:after="120" w:line="360" w:lineRule="auto"/>
      </w:pPr>
      <w:r>
        <w:rPr>
          <w:b w:val="0"/>
          <w:i w:val="0"/>
          <w:sz w:val="21"/>
        </w:rPr>
        <w:t>The diplomatic counter is not a press statement. Chinese influence in Zambia operates through private ministerial conversations, investment terms, and employment relationships — CNMC alone employs tens of thousands of Zambians in the Copperbelt. The architectural response to this is the corporate structure: a company in which NAPSA (Zambian pension fund) and ZRA hold equity is one that a hostile diplomatic campaign must attack as 'an assault on Zambian pensioners and the revenue authority.' That is a politically untenable position.</w:t>
      </w:r>
    </w:p>
    <w:p>
      <w:pPr>
        <w:pStyle w:val="Heading2"/>
        <w:spacing w:before="360" w:after="160"/>
      </w:pPr>
      <w:r>
        <w:rPr>
          <w:color w:val="1A5676"/>
        </w:rPr>
        <w:t>7.2  The United States — Structural Ally, Legal Exposure</w:t>
      </w:r>
    </w:p>
    <w:p>
      <w:pPr>
        <w:spacing w:after="120" w:line="360" w:lineRule="auto"/>
      </w:pPr>
      <w:r>
        <w:rPr>
          <w:b w:val="0"/>
          <w:i w:val="0"/>
          <w:sz w:val="21"/>
        </w:rPr>
        <w:t>The World Bank's participation aligns with the US Minerals Security Partnership (MSP) — an explicit US foreign policy initiative to secure transparent critical mineral supply chains outside Chinese governance. The IFC and DFC have active lending programs in Zambian mining. US interests are structurally aligned with the protocol's success.</w:t>
      </w:r>
    </w:p>
    <w:p>
      <w:pPr>
        <w:spacing w:after="120" w:line="360" w:lineRule="auto"/>
      </w:pPr>
      <w:r>
        <w:rPr>
          <w:b w:val="0"/>
          <w:i w:val="0"/>
          <w:sz w:val="21"/>
        </w:rPr>
        <w:t>The residual exposure is the US CLOUD Act: US legal process can compel disclosure of network traffic metadata from the WB validator node's internet service provider without notifying WB directly. Content is protected by WireGuard encryption; metadata is not. This is documented as T11 in the Threat Model and accepted as residual risk, given that US-Zambia diplomatic alignment makes this a theoretical rather than operational concern.</w:t>
      </w:r>
    </w:p>
    <w:p>
      <w:pPr>
        <w:pStyle w:val="Heading2"/>
        <w:spacing w:before="360" w:after="160"/>
      </w:pPr>
      <w:r>
        <w:rPr>
          <w:color w:val="1A5676"/>
        </w:rPr>
        <w:t>7.3  The Legislative Commercial Narrative — CRMA, Cobalt &amp; the IRA</w:t>
      </w:r>
    </w:p>
    <w:p>
      <w:pPr>
        <w:spacing w:after="120" w:line="360" w:lineRule="auto"/>
      </w:pPr>
      <w:r>
        <w:rPr>
          <w:b w:val="0"/>
          <w:i w:val="0"/>
          <w:sz w:val="21"/>
        </w:rPr>
        <w:t>Three legislative anchors create direct, quantifiable commercial value for Zambian copper with Resource Command verification. These are statutory requirements with specific implementation deadlines — not aspirational ESG arguments.</w:t>
      </w:r>
    </w:p>
    <w:p>
      <w:pPr>
        <w:spacing w:after="160" w:line="360" w:lineRule="auto"/>
      </w:pPr>
      <w:r>
        <w:rPr>
          <w:b w:val="0"/>
          <w:i w:val="0"/>
          <w:sz w:val="21"/>
        </w:rPr>
        <w:t>EU Critical Raw Materials Act (CRMA, Regulation EU 2024/1252): Copper is classified as a Strategic Raw Material under the CRMA. The regulation sets a binding supply chain target: no single country may supply more than 65 percent of the EU's annual consumption of any strategic material by 2030. China currently dominates copper processing globally. Zambia — with major Copperbelt reserves and a cryptographically verifiable provenance system — is the natural candidate for a CRMA Strategic Partnership agreement with the European Commission. Resource Command is the technical layer that makes such a partnership auditable and enforceable.</w:t>
      </w:r>
    </w:p>
    <w:p>
      <w:pPr>
        <w:spacing w:after="160" w:line="360" w:lineRule="auto"/>
      </w:pPr>
      <w:r>
        <w:rPr>
          <w:b w:val="0"/>
          <w:i w:val="0"/>
          <w:sz w:val="21"/>
        </w:rPr>
        <w:t>EU Battery Regulation (2023/1542) — The Cobalt Hook: The Battery Regulation's mandatory supply chain due diligence scope covers cobalt, natural graphite, lithium, and nickel. Zambia produces cobalt as a by-product of copper mining on the Copperbelt. Resource Command covers the full production profile of any Copperbelt operation — copper and cobalt simultaneously. An operator using Resource Command achieves Battery Regulation due diligence compliance for their cobalt output as a structural by-product of the copper royalty verification system. One protocol. Two compliance regimes. Zero additional infrastructure.</w:t>
      </w:r>
    </w:p>
    <w:p>
      <w:pPr>
        <w:spacing w:after="160" w:line="360" w:lineRule="auto"/>
      </w:pPr>
      <w:r>
        <w:rPr>
          <w:b w:val="0"/>
          <w:i w:val="0"/>
          <w:sz w:val="21"/>
        </w:rPr>
        <w:t>US Inflation Reduction Act — Section 30D Critical Minerals: IRA Section 30D requires EV batteries claiming the USD 7,500 consumer tax credit to source critical minerals from countries with free trade agreements or equivalent US partnerships. Copper is within scope. KoBold Metals' Mingomba project — already framed as a flagship US critical minerals investment under the Lobito Corridor strategy — has a direct financial incentive to source from a Zambia with a certified, cryptographically verifiable provenance layer. This is not a future opportunity. KoBold broke ground on April 29th, 2026.</w:t>
      </w:r>
    </w:p>
    <w:p>
      <w:pPr>
        <w:spacing w:before="120" w:after="120"/>
        <w:ind w:left="576" w:right="576"/>
      </w:pPr>
      <w:r>
        <w:rPr>
          <w:b/>
          <w:color w:val="1A5676"/>
          <w:sz w:val="21"/>
        </w:rPr>
        <w:t xml:space="preserve">THE CORRECTED COMMERCIAL FRAMING:  </w:t>
      </w:r>
      <w:r>
        <w:rPr>
          <w:i/>
          <w:sz w:val="21"/>
        </w:rPr>
        <w:t>Resource Command is not a tax compliance tool. It is Zambia's entry credential into three separate premium market regimes simultaneously: CRMA Strategic Partnership status with the EU, Battery Regulation cobalt due diligence for European EV manufacturers, and IRA critical mineral certification for US-bound EV supply chains. The legislative hook is not one regulation. It is three.</w:t>
      </w:r>
    </w:p>
    <w:p>
      <w:pPr>
        <w:pStyle w:val="Heading2"/>
        <w:spacing w:before="360" w:after="160"/>
      </w:pPr>
      <w:r>
        <w:rPr>
          <w:color w:val="1A5676"/>
        </w:rPr>
        <w:t>7.4  The Diplomatic Defense Perimeter</w:t>
      </w:r>
    </w:p>
    <w:p>
      <w:pPr>
        <w:spacing w:after="120" w:line="360" w:lineRule="auto"/>
      </w:pPr>
      <w:r>
        <w:rPr>
          <w:b w:val="0"/>
          <w:i w:val="0"/>
          <w:sz w:val="21"/>
        </w:rPr>
        <w:t>The cryptographic architecture secures the data against technical attack. The Diplomatic Defense Perimeter secures the project against political attack. Five purpose-built documents, each targeting a specific adversarial audience.</w:t>
      </w:r>
    </w:p>
    <w:tbl>
      <w:tblPr>
        <w:tblStyle w:val="TableGrid"/>
        <w:tblW w:type="auto" w:w="0"/>
        <w:tblLook w:firstColumn="1" w:firstRow="1" w:lastColumn="0" w:lastRow="0" w:noHBand="0" w:noVBand="1" w:val="04A0"/>
      </w:tblPr>
      <w:tblGrid>
        <w:gridCol w:w="2124"/>
        <w:gridCol w:w="2124"/>
        <w:gridCol w:w="2124"/>
        <w:gridCol w:w="2124"/>
      </w:tblGrid>
      <w:tr>
        <w:tc>
          <w:tcPr>
            <w:tcW w:type="dxa" w:w="2160"/>
            <w:shd w:val="clear" w:color="auto" w:fill="1A5676"/>
          </w:tcPr>
          <w:p>
            <w:pPr>
              <w:jc w:val="center"/>
            </w:pPr>
            <w:r>
              <w:rPr>
                <w:b/>
                <w:color w:val="FFFFFF"/>
                <w:sz w:val="19"/>
              </w:rPr>
              <w:t>Document</w:t>
            </w:r>
          </w:p>
        </w:tc>
        <w:tc>
          <w:tcPr>
            <w:tcW w:type="dxa" w:w="2016"/>
            <w:shd w:val="clear" w:color="auto" w:fill="1A5676"/>
          </w:tcPr>
          <w:p>
            <w:pPr>
              <w:jc w:val="center"/>
            </w:pPr>
            <w:r>
              <w:rPr>
                <w:b/>
                <w:color w:val="FFFFFF"/>
                <w:sz w:val="19"/>
              </w:rPr>
              <w:t>Audience</w:t>
            </w:r>
          </w:p>
        </w:tc>
        <w:tc>
          <w:tcPr>
            <w:tcW w:type="dxa" w:w="3456"/>
            <w:shd w:val="clear" w:color="auto" w:fill="1A5676"/>
          </w:tcPr>
          <w:p>
            <w:pPr>
              <w:jc w:val="center"/>
            </w:pPr>
            <w:r>
              <w:rPr>
                <w:b/>
                <w:color w:val="FFFFFF"/>
                <w:sz w:val="19"/>
              </w:rPr>
              <w:t>Core Message</w:t>
            </w:r>
          </w:p>
        </w:tc>
        <w:tc>
          <w:tcPr>
            <w:tcW w:type="dxa" w:w="2016"/>
            <w:shd w:val="clear" w:color="auto" w:fill="1A5676"/>
          </w:tcPr>
          <w:p>
            <w:pPr>
              <w:jc w:val="center"/>
            </w:pPr>
            <w:r>
              <w:rPr>
                <w:b/>
                <w:color w:val="FFFFFF"/>
                <w:sz w:val="19"/>
              </w:rPr>
              <w:t>Attack It Closes</w:t>
            </w:r>
          </w:p>
        </w:tc>
      </w:tr>
      <w:tr>
        <w:tc>
          <w:tcPr>
            <w:tcW w:type="dxa" w:w="2160"/>
            <w:shd w:val="clear" w:color="auto" w:fill="EEF4F7"/>
          </w:tcPr>
          <w:p>
            <w:r>
              <w:rPr>
                <w:sz w:val="19"/>
              </w:rPr>
              <w:t>1. The Sovereignty Brief</w:t>
            </w:r>
          </w:p>
        </w:tc>
        <w:tc>
          <w:tcPr>
            <w:tcW w:type="dxa" w:w="2016"/>
            <w:shd w:val="clear" w:color="auto" w:fill="EEF4F7"/>
          </w:tcPr>
          <w:p>
            <w:r>
              <w:rPr>
                <w:sz w:val="19"/>
              </w:rPr>
              <w:t>Incoming Finance Minister</w:t>
            </w:r>
          </w:p>
        </w:tc>
        <w:tc>
          <w:tcPr>
            <w:tcW w:type="dxa" w:w="3456"/>
            <w:shd w:val="clear" w:color="auto" w:fill="EEF4F7"/>
          </w:tcPr>
          <w:p>
            <w:r>
              <w:rPr>
                <w:sz w:val="19"/>
              </w:rPr>
              <w:t>AfDB and WB are cryptographic witnesses, not financial regulators. Parliament still sets the rate. ZRA still collects.</w:t>
            </w:r>
          </w:p>
        </w:tc>
        <w:tc>
          <w:tcPr>
            <w:tcW w:type="dxa" w:w="2016"/>
            <w:shd w:val="clear" w:color="auto" w:fill="EEF4F7"/>
          </w:tcPr>
          <w:p>
            <w:r>
              <w:rPr>
                <w:sz w:val="19"/>
              </w:rPr>
              <w:t>Chinese 'Western surveillance' narrative</w:t>
            </w:r>
          </w:p>
        </w:tc>
      </w:tr>
      <w:tr>
        <w:tc>
          <w:tcPr>
            <w:tcW w:type="dxa" w:w="2160"/>
          </w:tcPr>
          <w:p>
            <w:r>
              <w:rPr>
                <w:sz w:val="19"/>
              </w:rPr>
              <w:t>2. Legislative Commercial Alignment</w:t>
            </w:r>
          </w:p>
        </w:tc>
        <w:tc>
          <w:tcPr>
            <w:tcW w:type="dxa" w:w="2016"/>
          </w:tcPr>
          <w:p>
            <w:r>
              <w:rPr>
                <w:sz w:val="19"/>
              </w:rPr>
              <w:t>Trade Ministers and Mining Executives</w:t>
            </w:r>
          </w:p>
        </w:tc>
        <w:tc>
          <w:tcPr>
            <w:tcW w:type="dxa" w:w="3456"/>
          </w:tcPr>
          <w:p>
            <w:r>
              <w:rPr>
                <w:sz w:val="19"/>
              </w:rPr>
              <w:t>CRMA Strategic Material status, cobalt Battery Regulation compliance, IRA critical mineral hook — three premium markets.</w:t>
            </w:r>
          </w:p>
        </w:tc>
        <w:tc>
          <w:tcPr>
            <w:tcW w:type="dxa" w:w="2016"/>
          </w:tcPr>
          <w:p>
            <w:r>
              <w:rPr>
                <w:sz w:val="19"/>
              </w:rPr>
              <w:t>Resource Command framed as a compliance penalty</w:t>
            </w:r>
          </w:p>
        </w:tc>
      </w:tr>
      <w:tr>
        <w:tc>
          <w:tcPr>
            <w:tcW w:type="dxa" w:w="2160"/>
            <w:shd w:val="clear" w:color="auto" w:fill="EEF4F7"/>
          </w:tcPr>
          <w:p>
            <w:r>
              <w:rPr>
                <w:sz w:val="19"/>
              </w:rPr>
              <w:t>3. Institutional Language Matrix</w:t>
            </w:r>
          </w:p>
        </w:tc>
        <w:tc>
          <w:tcPr>
            <w:tcW w:type="dxa" w:w="2016"/>
            <w:shd w:val="clear" w:color="auto" w:fill="EEF4F7"/>
          </w:tcPr>
          <w:p>
            <w:r>
              <w:rPr>
                <w:sz w:val="19"/>
              </w:rPr>
              <w:t>AfDB and WB PR and legal teams</w:t>
            </w:r>
          </w:p>
        </w:tc>
        <w:tc>
          <w:tcPr>
            <w:tcW w:type="dxa" w:w="3456"/>
            <w:shd w:val="clear" w:color="auto" w:fill="EEF4F7"/>
          </w:tcPr>
          <w:p>
            <w:r>
              <w:rPr>
                <w:sz w:val="19"/>
              </w:rPr>
              <w:t>PR translation guide: 'validator node' → 'Independent Verification Witness'. Safe institutional vocabulary.</w:t>
            </w:r>
          </w:p>
        </w:tc>
        <w:tc>
          <w:tcPr>
            <w:tcW w:type="dxa" w:w="2016"/>
            <w:shd w:val="clear" w:color="auto" w:fill="EEF4F7"/>
          </w:tcPr>
          <w:p>
            <w:r>
              <w:rPr>
                <w:sz w:val="19"/>
              </w:rPr>
              <w:t>DFI communications panic and withdrawal</w:t>
            </w:r>
          </w:p>
        </w:tc>
      </w:tr>
      <w:tr>
        <w:tc>
          <w:tcPr>
            <w:tcW w:type="dxa" w:w="2160"/>
          </w:tcPr>
          <w:p>
            <w:r>
              <w:rPr>
                <w:sz w:val="19"/>
              </w:rPr>
              <w:t>4. Counter-Narrative Playbook</w:t>
            </w:r>
          </w:p>
        </w:tc>
        <w:tc>
          <w:tcPr>
            <w:tcW w:type="dxa" w:w="2016"/>
          </w:tcPr>
          <w:p>
            <w:r>
              <w:rPr>
                <w:sz w:val="19"/>
              </w:rPr>
              <w:t>Media liaisons</w:t>
            </w:r>
          </w:p>
        </w:tc>
        <w:tc>
          <w:tcPr>
            <w:tcW w:type="dxa" w:w="3456"/>
          </w:tcPr>
          <w:p>
            <w:r>
              <w:rPr>
                <w:sz w:val="19"/>
              </w:rPr>
              <w:t>Pre-written response deployed within 4 hours of a hostile press narrative. Data is from Zambian instruments. Laws are set by Zambian Parliament.</w:t>
            </w:r>
          </w:p>
        </w:tc>
        <w:tc>
          <w:tcPr>
            <w:tcW w:type="dxa" w:w="2016"/>
          </w:tcPr>
          <w:p>
            <w:r>
              <w:rPr>
                <w:sz w:val="19"/>
              </w:rPr>
              <w:t>Chinese state media narrative</w:t>
            </w:r>
          </w:p>
        </w:tc>
      </w:tr>
      <w:tr>
        <w:tc>
          <w:tcPr>
            <w:tcW w:type="dxa" w:w="2160"/>
            <w:shd w:val="clear" w:color="auto" w:fill="EEF4F7"/>
          </w:tcPr>
          <w:p>
            <w:r>
              <w:rPr>
                <w:sz w:val="19"/>
              </w:rPr>
              <w:t>5. Academic Abstract</w:t>
            </w:r>
          </w:p>
        </w:tc>
        <w:tc>
          <w:tcPr>
            <w:tcW w:type="dxa" w:w="2016"/>
            <w:shd w:val="clear" w:color="auto" w:fill="EEF4F7"/>
          </w:tcPr>
          <w:p>
            <w:r>
              <w:rPr>
                <w:sz w:val="19"/>
              </w:rPr>
              <w:t>WB and IMF PhD economists</w:t>
            </w:r>
          </w:p>
        </w:tc>
        <w:tc>
          <w:tcPr>
            <w:tcW w:type="dxa" w:w="3456"/>
            <w:shd w:val="clear" w:color="auto" w:fill="EEF4F7"/>
          </w:tcPr>
          <w:p>
            <w:r>
              <w:rPr>
                <w:sz w:val="19"/>
              </w:rPr>
              <w:t>IEEE S&amp;P / Financial Cryptography 2027 target submission. Independent academic peer review.</w:t>
            </w:r>
          </w:p>
        </w:tc>
        <w:tc>
          <w:tcPr>
            <w:tcW w:type="dxa" w:w="2016"/>
            <w:shd w:val="clear" w:color="auto" w:fill="EEF4F7"/>
          </w:tcPr>
          <w:p>
            <w:r>
              <w:rPr>
                <w:sz w:val="19"/>
              </w:rPr>
              <w:t>Institutional skepticism about unvetted proprietary architecture</w:t>
            </w:r>
          </w:p>
        </w:tc>
      </w:tr>
    </w:tbl>
    <w:p/>
    <w:p>
      <w:pPr>
        <w:spacing w:after="200" w:line="360" w:lineRule="auto"/>
      </w:pPr>
      <w:r>
        <w:rPr>
          <w:b w:val="0"/>
          <w:i w:val="0"/>
          <w:sz w:val="21"/>
        </w:rPr>
        <w:t>These documents are not communications materials. They are pre-positioned counter-attacks. Each is handed to a specific gatekeeper before the hostile narrative reaches them — not as a response, but as inoculation.</w:t>
      </w:r>
    </w:p>
    <w:p>
      <w:pPr>
        <w:pStyle w:val="Heading2"/>
        <w:spacing w:before="360" w:after="160"/>
      </w:pPr>
      <w:r>
        <w:rPr>
          <w:color w:val="1A5676"/>
        </w:rPr>
        <w:t>7.5  The Geopolitical Threat Landscape — War-Gamed</w:t>
      </w:r>
    </w:p>
    <w:p>
      <w:pPr>
        <w:spacing w:after="120" w:line="360" w:lineRule="auto"/>
      </w:pPr>
      <w:r>
        <w:rPr>
          <w:b w:val="0"/>
          <w:i w:val="0"/>
          <w:sz w:val="21"/>
        </w:rPr>
        <w:t>Three adversarial actors have been fully simulated using their actual diplomatic vocabulary and historically documented tactics. The mitigations below are architectural responses, not communications responses.</w:t>
      </w:r>
    </w:p>
    <w:tbl>
      <w:tblPr>
        <w:tblStyle w:val="TableGrid"/>
        <w:tblW w:type="auto" w:w="0"/>
        <w:tblLook w:firstColumn="1" w:firstRow="1" w:lastColumn="0" w:lastRow="0" w:noHBand="0" w:noVBand="1" w:val="04A0"/>
      </w:tblPr>
      <w:tblGrid>
        <w:gridCol w:w="2124"/>
        <w:gridCol w:w="2124"/>
        <w:gridCol w:w="2124"/>
        <w:gridCol w:w="2124"/>
      </w:tblGrid>
      <w:tr>
        <w:tc>
          <w:tcPr>
            <w:tcW w:type="dxa" w:w="2160"/>
            <w:shd w:val="clear" w:color="auto" w:fill="1A5676"/>
          </w:tcPr>
          <w:p>
            <w:pPr>
              <w:jc w:val="center"/>
            </w:pPr>
            <w:r>
              <w:rPr>
                <w:b/>
                <w:color w:val="FFFFFF"/>
                <w:sz w:val="19"/>
              </w:rPr>
              <w:t>Actor</w:t>
            </w:r>
          </w:p>
        </w:tc>
        <w:tc>
          <w:tcPr>
            <w:tcW w:type="dxa" w:w="2592"/>
            <w:shd w:val="clear" w:color="auto" w:fill="1A5676"/>
          </w:tcPr>
          <w:p>
            <w:pPr>
              <w:jc w:val="center"/>
            </w:pPr>
            <w:r>
              <w:rPr>
                <w:b/>
                <w:color w:val="FFFFFF"/>
                <w:sz w:val="19"/>
              </w:rPr>
              <w:t>Attack Vector</w:t>
            </w:r>
          </w:p>
        </w:tc>
        <w:tc>
          <w:tcPr>
            <w:tcW w:type="dxa" w:w="2304"/>
            <w:shd w:val="clear" w:color="auto" w:fill="1A5676"/>
          </w:tcPr>
          <w:p>
            <w:pPr>
              <w:jc w:val="center"/>
            </w:pPr>
            <w:r>
              <w:rPr>
                <w:b/>
                <w:color w:val="FFFFFF"/>
                <w:sz w:val="19"/>
              </w:rPr>
              <w:t>Strongest Line</w:t>
            </w:r>
          </w:p>
        </w:tc>
        <w:tc>
          <w:tcPr>
            <w:tcW w:type="dxa" w:w="2592"/>
            <w:shd w:val="clear" w:color="auto" w:fill="1A5676"/>
          </w:tcPr>
          <w:p>
            <w:pPr>
              <w:jc w:val="center"/>
            </w:pPr>
            <w:r>
              <w:rPr>
                <w:b/>
                <w:color w:val="FFFFFF"/>
                <w:sz w:val="19"/>
              </w:rPr>
              <w:t>Architectural Mitigation</w:t>
            </w:r>
          </w:p>
        </w:tc>
      </w:tr>
      <w:tr>
        <w:tc>
          <w:tcPr>
            <w:tcW w:type="dxa" w:w="2160"/>
            <w:shd w:val="clear" w:color="auto" w:fill="EEF4F7"/>
          </w:tcPr>
          <w:p>
            <w:r>
              <w:rPr>
                <w:sz w:val="19"/>
              </w:rPr>
              <w:t>Chinese Ambassador</w:t>
              <w:br/>
              <w:t>(Targeting Cabinet)</w:t>
            </w:r>
          </w:p>
        </w:tc>
        <w:tc>
          <w:tcPr>
            <w:tcW w:type="dxa" w:w="2592"/>
            <w:shd w:val="clear" w:color="auto" w:fill="EEF4F7"/>
          </w:tcPr>
          <w:p>
            <w:r>
              <w:rPr>
                <w:sz w:val="19"/>
              </w:rPr>
              <w:t>CNMC bilateral offer: 'free' closed system. SAP historical parallel. CLOUD Act surveillance framing.</w:t>
            </w:r>
          </w:p>
        </w:tc>
        <w:tc>
          <w:tcPr>
            <w:tcW w:type="dxa" w:w="2304"/>
            <w:shd w:val="clear" w:color="auto" w:fill="EEF4F7"/>
          </w:tcPr>
          <w:p>
            <w:r>
              <w:rPr>
                <w:sz w:val="19"/>
              </w:rPr>
              <w:t>'The IP is in Botswana. Zambia pays rent to a foreign company.'</w:t>
            </w:r>
          </w:p>
        </w:tc>
        <w:tc>
          <w:tcPr>
            <w:tcW w:type="dxa" w:w="2592"/>
            <w:shd w:val="clear" w:color="auto" w:fill="EEF4F7"/>
          </w:tcPr>
          <w:p>
            <w:r>
              <w:rPr>
                <w:sz w:val="19"/>
              </w:rPr>
              <w:t>ZRA + NAPSA equity makes the attack self-defeating. Public specification closes the 'secret maths' line. CNMC bilateral alternative is evidently self-audited.</w:t>
            </w:r>
          </w:p>
        </w:tc>
      </w:tr>
      <w:tr>
        <w:tc>
          <w:tcPr>
            <w:tcW w:type="dxa" w:w="2160"/>
          </w:tcPr>
          <w:p>
            <w:r>
              <w:rPr>
                <w:sz w:val="19"/>
              </w:rPr>
              <w:t>WB Chief Risk Officer</w:t>
              <w:br/>
              <w:t>(Targeting WB Board)</w:t>
            </w:r>
          </w:p>
        </w:tc>
        <w:tc>
          <w:tcPr>
            <w:tcW w:type="dxa" w:w="2592"/>
          </w:tcPr>
          <w:p>
            <w:r>
              <w:rPr>
                <w:sz w:val="19"/>
              </w:rPr>
              <w:t>Chad-Cameroon Pipeline precedent. DZAP circular exposure. Post-election legitimacy gap.</w:t>
            </w:r>
          </w:p>
        </w:tc>
        <w:tc>
          <w:tcPr>
            <w:tcW w:type="dxa" w:w="2304"/>
          </w:tcPr>
          <w:p>
            <w:r>
              <w:rPr>
                <w:sz w:val="19"/>
              </w:rPr>
              <w:t>'We are both infrastructure funder (DZAP) and validator. Procurement policy prohibits this.'</w:t>
            </w:r>
          </w:p>
        </w:tc>
        <w:tc>
          <w:tcPr>
            <w:tcW w:type="dxa" w:w="2592"/>
          </w:tcPr>
          <w:p>
            <w:r>
              <w:rPr>
                <w:sz w:val="19"/>
              </w:rPr>
              <w:t>Audit layer framing: WB does not co-sign payments, only proofs. HQR means WB withdrawal does not collapse the network. AfDB carries international co-signature alone.</w:t>
            </w:r>
          </w:p>
        </w:tc>
      </w:tr>
      <w:tr>
        <w:tc>
          <w:tcPr>
            <w:tcW w:type="dxa" w:w="2160"/>
            <w:shd w:val="clear" w:color="auto" w:fill="EEF4F7"/>
          </w:tcPr>
          <w:p>
            <w:r>
              <w:rPr>
                <w:sz w:val="19"/>
              </w:rPr>
              <w:t>Corrupt Mining Minister</w:t>
              <w:br/>
              <w:t>(Targeting Domestic Press)</w:t>
            </w:r>
          </w:p>
        </w:tc>
        <w:tc>
          <w:tcPr>
            <w:tcW w:type="dxa" w:w="2592"/>
            <w:shd w:val="clear" w:color="auto" w:fill="EEF4F7"/>
          </w:tcPr>
          <w:p>
            <w:r>
              <w:rPr>
                <w:sz w:val="19"/>
              </w:rPr>
              <w:t>Resource nationalism. IP-in-Botswana as foreign rent. NAPSA as political shield for foreign capital.</w:t>
            </w:r>
          </w:p>
        </w:tc>
        <w:tc>
          <w:tcPr>
            <w:tcW w:type="dxa" w:w="2304"/>
            <w:shd w:val="clear" w:color="auto" w:fill="EEF4F7"/>
          </w:tcPr>
          <w:p>
            <w:r>
              <w:rPr>
                <w:sz w:val="19"/>
              </w:rPr>
              <w:t>'The mathematics are so complex no Zambian can audit them. We are dependent on a foreign company we cannot check.'</w:t>
            </w:r>
          </w:p>
        </w:tc>
        <w:tc>
          <w:tcPr>
            <w:tcW w:type="dxa" w:w="2592"/>
            <w:shd w:val="clear" w:color="auto" w:fill="EEF4F7"/>
          </w:tcPr>
          <w:p>
            <w:r>
              <w:rPr>
                <w:sz w:val="19"/>
              </w:rPr>
              <w:t>Public circuit specification published. UNZA Technical Audit Programme (AfDB-funded) produces Zambian auditors of record. Swiss escrow gives MRC continuity protection.</w:t>
            </w:r>
          </w:p>
        </w:tc>
      </w:tr>
    </w:tbl>
    <w:p/>
    <w:p>
      <w:pPr>
        <w:spacing w:after="120" w:line="360" w:lineRule="auto"/>
      </w:pPr>
      <w:r>
        <w:rPr>
          <w:b w:val="0"/>
          <w:i w:val="0"/>
          <w:sz w:val="21"/>
        </w:rPr>
        <w:t>The residual vulnerability common to all three attacks: the 'IP in Botswana pays licensing fees' line is factually true and the public specification alone does not fully close it. The Swiss Escrow mechanism (§8.5) addresses this directly.</w:t>
      </w:r>
    </w:p>
    <w:p>
      <w:r>
        <w:br w:type="page"/>
      </w:r>
    </w:p>
    <w:p>
      <w:pPr>
        <w:pStyle w:val="Heading1"/>
        <w:spacing w:before="360" w:after="160"/>
      </w:pPr>
      <w:r>
        <w:rPr>
          <w:color w:val="1A5676"/>
        </w:rPr>
        <w:t>8.  The Corporate Architecture</w:t>
      </w:r>
    </w:p>
    <w:p>
      <w:pPr>
        <w:spacing w:after="120" w:line="360" w:lineRule="auto"/>
      </w:pPr>
      <w:r>
        <w:rPr>
          <w:b w:val="0"/>
          <w:i w:val="0"/>
          <w:sz w:val="21"/>
        </w:rPr>
        <w:t>The corporate structure was designed around one objective: ensure that the protocol's commercial value to Kgosi Capital is separated from the political risk of Zambian deployment, while ensuring that the Zambian operating entity is so deeply embedded in sovereign and institutional interests that no government can dismantle it without attacking its own stakeholders.</w:t>
      </w:r>
    </w:p>
    <w:p>
      <w:pPr>
        <w:pStyle w:val="Heading2"/>
        <w:spacing w:before="360" w:after="160"/>
      </w:pPr>
      <w:r>
        <w:rPr>
          <w:color w:val="1A5676"/>
        </w:rPr>
        <w:t>8.1  IP Holding Structure — Botswana</w:t>
      </w:r>
    </w:p>
    <w:p>
      <w:pPr>
        <w:spacing w:after="120" w:line="360" w:lineRule="auto"/>
      </w:pPr>
      <w:r>
        <w:rPr>
          <w:b w:val="0"/>
          <w:i w:val="0"/>
          <w:sz w:val="21"/>
        </w:rPr>
        <w:t>Kgosi Capital (Botswana) holds 100 percent of the intellectual property for the Resource Command protocol: the circuit design, the oracle pipeline specification, the cryptographic architecture, and all associated software. This IP is not exposed to Zambian political risk.</w:t>
      </w:r>
    </w:p>
    <w:p>
      <w:pPr>
        <w:spacing w:after="120" w:line="360" w:lineRule="auto"/>
      </w:pPr>
      <w:r>
        <w:rPr>
          <w:b w:val="0"/>
          <w:i w:val="0"/>
          <w:sz w:val="21"/>
        </w:rPr>
        <w:t>The Zambian operating entity pays a continuous software licensing fee to Kgosi Capital in Botswana for the right to operate the network. This licensing fee is structured at an independently defensible arm's length rate, supported by a formal transfer pricing study. Commercial extraction for Kgosi Capital continues regardless of dividend policy decisions, political transitions, or regulatory changes in Zambia.</w:t>
      </w:r>
    </w:p>
    <w:p>
      <w:pPr>
        <w:pStyle w:val="Heading2"/>
        <w:spacing w:before="360" w:after="160"/>
      </w:pPr>
      <w:r>
        <w:rPr>
          <w:color w:val="1A5676"/>
        </w:rPr>
        <w:t>8.2  Zambian Operating Company — Cap Table</w:t>
      </w:r>
    </w:p>
    <w:tbl>
      <w:tblPr>
        <w:tblStyle w:val="TableGrid"/>
        <w:tblW w:type="auto" w:w="0"/>
        <w:tblLook w:firstColumn="1" w:firstRow="1" w:lastColumn="0" w:lastRow="0" w:noHBand="0" w:noVBand="1" w:val="04A0"/>
      </w:tblPr>
      <w:tblGrid>
        <w:gridCol w:w="2124"/>
        <w:gridCol w:w="2124"/>
        <w:gridCol w:w="2124"/>
        <w:gridCol w:w="2124"/>
      </w:tblGrid>
      <w:tr>
        <w:tc>
          <w:tcPr>
            <w:tcW w:type="dxa" w:w="3168"/>
            <w:shd w:val="clear" w:color="auto" w:fill="1A5676"/>
          </w:tcPr>
          <w:p>
            <w:pPr>
              <w:jc w:val="center"/>
            </w:pPr>
            <w:r>
              <w:rPr>
                <w:b/>
                <w:color w:val="FFFFFF"/>
                <w:sz w:val="19"/>
              </w:rPr>
              <w:t>Shareholder</w:t>
            </w:r>
          </w:p>
        </w:tc>
        <w:tc>
          <w:tcPr>
            <w:tcW w:type="dxa" w:w="864"/>
            <w:shd w:val="clear" w:color="auto" w:fill="1A5676"/>
          </w:tcPr>
          <w:p>
            <w:pPr>
              <w:jc w:val="center"/>
            </w:pPr>
            <w:r>
              <w:rPr>
                <w:b/>
                <w:color w:val="FFFFFF"/>
                <w:sz w:val="19"/>
              </w:rPr>
              <w:t>Stake</w:t>
            </w:r>
          </w:p>
        </w:tc>
        <w:tc>
          <w:tcPr>
            <w:tcW w:type="dxa" w:w="2016"/>
            <w:shd w:val="clear" w:color="auto" w:fill="1A5676"/>
          </w:tcPr>
          <w:p>
            <w:pPr>
              <w:jc w:val="center"/>
            </w:pPr>
            <w:r>
              <w:rPr>
                <w:b/>
                <w:color w:val="FFFFFF"/>
                <w:sz w:val="19"/>
              </w:rPr>
              <w:t>Type</w:t>
            </w:r>
          </w:p>
        </w:tc>
        <w:tc>
          <w:tcPr>
            <w:tcW w:type="dxa" w:w="3600"/>
            <w:shd w:val="clear" w:color="auto" w:fill="1A5676"/>
          </w:tcPr>
          <w:p>
            <w:pPr>
              <w:jc w:val="center"/>
            </w:pPr>
            <w:r>
              <w:rPr>
                <w:b/>
                <w:color w:val="FFFFFF"/>
                <w:sz w:val="19"/>
              </w:rPr>
              <w:t>Strategic Role</w:t>
            </w:r>
          </w:p>
        </w:tc>
      </w:tr>
      <w:tr>
        <w:tc>
          <w:tcPr>
            <w:tcW w:type="dxa" w:w="3168"/>
            <w:shd w:val="clear" w:color="auto" w:fill="EEF4F7"/>
          </w:tcPr>
          <w:p>
            <w:r>
              <w:rPr>
                <w:sz w:val="19"/>
              </w:rPr>
              <w:t>Kgosi Capital (Botswana)</w:t>
            </w:r>
          </w:p>
        </w:tc>
        <w:tc>
          <w:tcPr>
            <w:tcW w:type="dxa" w:w="864"/>
            <w:shd w:val="clear" w:color="auto" w:fill="EEF4F7"/>
          </w:tcPr>
          <w:p>
            <w:r>
              <w:rPr>
                <w:sz w:val="19"/>
              </w:rPr>
              <w:t>35%</w:t>
            </w:r>
          </w:p>
        </w:tc>
        <w:tc>
          <w:tcPr>
            <w:tcW w:type="dxa" w:w="2016"/>
            <w:shd w:val="clear" w:color="auto" w:fill="EEF4F7"/>
          </w:tcPr>
          <w:p>
            <w:r>
              <w:rPr>
                <w:sz w:val="19"/>
              </w:rPr>
              <w:t>Technical Founder</w:t>
            </w:r>
          </w:p>
        </w:tc>
        <w:tc>
          <w:tcPr>
            <w:tcW w:type="dxa" w:w="3600"/>
            <w:shd w:val="clear" w:color="auto" w:fill="EEF4F7"/>
          </w:tcPr>
          <w:p>
            <w:r>
              <w:rPr>
                <w:sz w:val="19"/>
              </w:rPr>
              <w:t>Protocol architect; ongoing technical maintenance under services agreement</w:t>
            </w:r>
          </w:p>
        </w:tc>
      </w:tr>
      <w:tr>
        <w:tc>
          <w:tcPr>
            <w:tcW w:type="dxa" w:w="3168"/>
          </w:tcPr>
          <w:p>
            <w:r>
              <w:rPr>
                <w:sz w:val="19"/>
              </w:rPr>
              <w:t>Zambian Strategic Partner</w:t>
            </w:r>
          </w:p>
        </w:tc>
        <w:tc>
          <w:tcPr>
            <w:tcW w:type="dxa" w:w="864"/>
          </w:tcPr>
          <w:p>
            <w:r>
              <w:rPr>
                <w:sz w:val="19"/>
              </w:rPr>
              <w:t>30%</w:t>
            </w:r>
          </w:p>
        </w:tc>
        <w:tc>
          <w:tcPr>
            <w:tcW w:type="dxa" w:w="2016"/>
          </w:tcPr>
          <w:p>
            <w:r>
              <w:rPr>
                <w:sz w:val="19"/>
              </w:rPr>
              <w:t>Commercial Anchor</w:t>
            </w:r>
          </w:p>
        </w:tc>
        <w:tc>
          <w:tcPr>
            <w:tcW w:type="dxa" w:w="3600"/>
          </w:tcPr>
          <w:p>
            <w:r>
              <w:rPr>
                <w:sz w:val="19"/>
              </w:rPr>
              <w:t>Operational grounding; domestic legitimacy; commercially and politically insulated</w:t>
            </w:r>
          </w:p>
        </w:tc>
      </w:tr>
      <w:tr>
        <w:tc>
          <w:tcPr>
            <w:tcW w:type="dxa" w:w="3168"/>
            <w:shd w:val="clear" w:color="auto" w:fill="EEF4F7"/>
          </w:tcPr>
          <w:p>
            <w:r>
              <w:rPr>
                <w:sz w:val="19"/>
              </w:rPr>
              <w:t>Sovereign &amp; Institutional Reserve</w:t>
            </w:r>
          </w:p>
        </w:tc>
        <w:tc>
          <w:tcPr>
            <w:tcW w:type="dxa" w:w="864"/>
            <w:shd w:val="clear" w:color="auto" w:fill="EEF4F7"/>
          </w:tcPr>
          <w:p>
            <w:r>
              <w:rPr>
                <w:sz w:val="19"/>
              </w:rPr>
              <w:t>35%</w:t>
            </w:r>
          </w:p>
        </w:tc>
        <w:tc>
          <w:tcPr>
            <w:tcW w:type="dxa" w:w="2016"/>
            <w:shd w:val="clear" w:color="auto" w:fill="EEF4F7"/>
          </w:tcPr>
          <w:p>
            <w:r>
              <w:rPr>
                <w:sz w:val="19"/>
              </w:rPr>
              <w:t>Reserved</w:t>
            </w:r>
          </w:p>
        </w:tc>
        <w:tc>
          <w:tcPr>
            <w:tcW w:type="dxa" w:w="3600"/>
            <w:shd w:val="clear" w:color="auto" w:fill="EEF4F7"/>
          </w:tcPr>
          <w:p>
            <w:r>
              <w:rPr>
                <w:sz w:val="19"/>
              </w:rPr>
              <w:t>ZRA + NAPSA + IFC/AfDB private sector arms — see §8.3</w:t>
            </w:r>
          </w:p>
        </w:tc>
      </w:tr>
    </w:tbl>
    <w:p/>
    <w:p>
      <w:pPr>
        <w:pStyle w:val="Heading2"/>
        <w:spacing w:before="360" w:after="160"/>
      </w:pPr>
      <w:r>
        <w:rPr>
          <w:color w:val="1A5676"/>
        </w:rPr>
        <w:t>8.3  The Sovereign Reserve — The Political Shield</w:t>
      </w:r>
    </w:p>
    <w:p>
      <w:pPr>
        <w:spacing w:after="120" w:line="360" w:lineRule="auto"/>
      </w:pPr>
      <w:r>
        <w:rPr>
          <w:b w:val="0"/>
          <w:i w:val="0"/>
          <w:sz w:val="21"/>
        </w:rPr>
        <w:t>The 35 percent Sovereign and Institutional Reserve is explicitly designated for the stakeholders whose equity participation creates structural political indestructibility. The allocation is designed as follows:</w:t>
      </w:r>
    </w:p>
    <w:p>
      <w:pPr>
        <w:pStyle w:val="ListBullet"/>
        <w:spacing w:after="80"/>
        <w:ind w:left="360"/>
      </w:pPr>
      <w:r>
        <w:rPr>
          <w:b/>
          <w:sz w:val="21"/>
        </w:rPr>
        <w:t xml:space="preserve">Zambia Revenue Authority: </w:t>
      </w:r>
      <w:r>
        <w:rPr>
          <w:sz w:val="21"/>
        </w:rPr>
        <w:t>ZRA equity: Zambia's own revenue authority becomes a direct financial beneficiary of the protocol's success. ZRA collects more royalties AND receives dividends on operational revenue. A government that kills this company is attacking its own revenue authority's balance sheet.</w:t>
      </w:r>
    </w:p>
    <w:p/>
    <w:p>
      <w:pPr>
        <w:pStyle w:val="ListBullet"/>
        <w:spacing w:after="80"/>
        <w:ind w:left="360"/>
      </w:pPr>
      <w:r>
        <w:rPr>
          <w:b/>
          <w:sz w:val="21"/>
        </w:rPr>
        <w:t xml:space="preserve">NAPSA (Zambian Pension Fund): </w:t>
      </w:r>
      <w:r>
        <w:rPr>
          <w:sz w:val="21"/>
        </w:rPr>
        <w:t>NAPSA equity: Zambia's National Pension Scheme Authority has a statutory fiduciary duty to its beneficiaries — Zambian workers — that is legally distinct from government policy. A government that attacks this company is attacking Zambian workers' retirement savings. This narrative is politically untenable domestically.</w:t>
      </w:r>
    </w:p>
    <w:p/>
    <w:p>
      <w:pPr>
        <w:pStyle w:val="ListBullet"/>
        <w:spacing w:after="80"/>
        <w:ind w:left="360"/>
      </w:pPr>
      <w:r>
        <w:rPr>
          <w:b/>
          <w:sz w:val="21"/>
        </w:rPr>
        <w:t xml:space="preserve">IFC / AfDB Private Sector Equity: </w:t>
      </w:r>
      <w:r>
        <w:rPr>
          <w:sz w:val="21"/>
        </w:rPr>
        <w:t>IFC and/or AfDB private sector arm equity: This is the single most important near-term corporate action. DFI equity transforms AfDB and WB from validator nodes that can quietly withdraw into shareholders who take a direct financial loss if the protocol fails. Their participation becomes structurally locked rather than diplomatically contingent. It also generates a press event — 'AfDB invests in Zambian mining compliance fintech' — that reframes every subsequent institutional conversation.</w:t>
      </w:r>
    </w:p>
    <w:p>
      <w:pPr>
        <w:spacing w:after="120" w:line="360" w:lineRule="auto"/>
      </w:pPr>
      <w:r>
        <w:rPr>
          <w:b w:val="0"/>
          <w:i w:val="0"/>
          <w:sz w:val="21"/>
        </w:rPr>
        <w:t>When any actor — a hostile government, a Chinese diplomatic mission, an international press outlet — attempts to characterise Resource Command as foreign infrastructure, the response is factual and immediate: this is a Zambian company whose shareholders include the Zambian Revenue Authority, the Zambian national pension fund, and the African Development Bank. Dismantling it requires the government to move against all three simultaneously.</w:t>
      </w:r>
    </w:p>
    <w:p>
      <w:pPr>
        <w:pStyle w:val="Heading2"/>
        <w:spacing w:before="360" w:after="160"/>
      </w:pPr>
      <w:r>
        <w:rPr>
          <w:color w:val="1A5676"/>
        </w:rPr>
        <w:t>8.4  The Transfer Pricing Consideration</w:t>
      </w:r>
    </w:p>
    <w:p>
      <w:pPr>
        <w:spacing w:after="120" w:line="360" w:lineRule="auto"/>
      </w:pPr>
      <w:r>
        <w:rPr>
          <w:b w:val="0"/>
          <w:i w:val="0"/>
          <w:sz w:val="21"/>
        </w:rPr>
        <w:t>Because ZRA is simultaneously an equity holder in the operating company and Zambia's tax authority, the licensing fee flowing to Botswana will be scrutinised from two directions: ZRA-as-shareholder will want dividends maximised; ZRA-as-tax-authority will examine the cross-border transfer. A formal transfer pricing study establishing the fee at a standard arm's length rate for comparable software licensing arrangements must be completed before the operating company is capitalised. This eliminates the principal legal exposure in the structure.</w:t>
      </w:r>
    </w:p>
    <w:p>
      <w:pPr>
        <w:pStyle w:val="Heading2"/>
        <w:spacing w:before="360" w:after="160"/>
      </w:pPr>
      <w:r>
        <w:rPr>
          <w:color w:val="1A5676"/>
        </w:rPr>
        <w:t>8.5  The IP Escrow &amp; Public Specification Strategy</w:t>
      </w:r>
    </w:p>
    <w:p>
      <w:pPr>
        <w:spacing w:after="120" w:line="360" w:lineRule="auto"/>
      </w:pPr>
      <w:r>
        <w:rPr>
          <w:b w:val="0"/>
          <w:i w:val="0"/>
          <w:sz w:val="21"/>
        </w:rPr>
        <w:t>The IP held in Botswana is not primarily a tax structure. It is expropriation insurance. If a hostile government seizes the Zambian operating company, they acquire servers. Without the Botswana license, those servers cannot run the protocol. That asymmetry is Kgosi Capital's negotiating leverage in any forced renegotiation scenario. It must not be surrendered.</w:t>
      </w:r>
    </w:p>
    <w:p>
      <w:pPr>
        <w:spacing w:after="120" w:line="360" w:lineRule="auto"/>
      </w:pPr>
      <w:r>
        <w:rPr>
          <w:b w:val="0"/>
          <w:i w:val="0"/>
          <w:sz w:val="21"/>
        </w:rPr>
        <w:t>At the same time, the political vulnerability of the 'foreign IP pays licensing fees' narrative is real. The Escrow and Public Specification strategy achieves ninety percent of the political benefit of open-sourcing without surrendering commercial leverage. It operates on three components:</w:t>
      </w:r>
    </w:p>
    <w:p>
      <w:pPr>
        <w:pStyle w:val="ListBullet"/>
        <w:spacing w:after="80"/>
        <w:ind w:left="360"/>
      </w:pPr>
      <w:r>
        <w:rPr>
          <w:b/>
          <w:sz w:val="21"/>
        </w:rPr>
        <w:t xml:space="preserve">Public Specification, Proprietary Implementation:  </w:t>
      </w:r>
      <w:r>
        <w:rPr>
          <w:sz w:val="21"/>
        </w:rPr>
        <w:t>The circuit specification — the mathematical description of the constraint system, the algorithm choices, the public input definitions — is published in the open. Any Zambian mathematician, UNZA researcher, or independent academic can read, audit, and verify that the logic is correct. The production implementation — the Rust BFT client, the HSM integration, the oracle pipeline — remains proprietary in Botswana.</w:t>
      </w:r>
    </w:p>
    <w:p/>
    <w:p>
      <w:pPr>
        <w:pStyle w:val="ListBullet"/>
        <w:spacing w:after="80"/>
        <w:ind w:left="360"/>
      </w:pPr>
      <w:r>
        <w:rPr>
          <w:b/>
          <w:sz w:val="21"/>
        </w:rPr>
        <w:t xml:space="preserve">Swiss Escrow — MRC Holds the Release Key:  </w:t>
      </w:r>
      <w:r>
        <w:rPr>
          <w:sz w:val="21"/>
        </w:rPr>
        <w:t>The proprietary source code is placed in a legal escrow held by a neutral third party — a Swiss law firm or equivalent jurisdiction outside both US and Zambian legal reach. The Zambia MRC holds the escrow release key. The code is released to MRC only in two defined trigger scenarios: Kgosi Capital ceases operations or goes insolvent, or Kgosi Capital materially breaches the service agreement and fails to remedy within a contractually defined cure period. MRC gets continuity protection. Kgosi Capital retains the IP in all normal operating conditions.</w:t>
      </w:r>
    </w:p>
    <w:p/>
    <w:p>
      <w:pPr>
        <w:pStyle w:val="ListBullet"/>
        <w:spacing w:after="80"/>
        <w:ind w:left="360"/>
      </w:pPr>
      <w:r>
        <w:rPr>
          <w:b/>
          <w:sz w:val="21"/>
        </w:rPr>
        <w:t xml:space="preserve">UNZA Technical Audit Programme:  </w:t>
      </w:r>
      <w:r>
        <w:rPr>
          <w:sz w:val="21"/>
        </w:rPr>
        <w:t>The AfDB development finance arm funds a dedicated cryptography programme at the University of Zambia. The first cohort independently audits the published specification and publishes their findings. These Zambian academics become the domestic auditors of record. The 'no Zambian can check the mathematics' attack collapses permanently — not because Kgosi Capital made a concession, but because UNZA staff verified it themselves.</w:t>
      </w:r>
    </w:p>
    <w:p>
      <w:pPr>
        <w:spacing w:before="120" w:after="120"/>
        <w:ind w:left="576" w:right="576"/>
      </w:pPr>
      <w:r>
        <w:rPr>
          <w:b/>
          <w:color w:val="1A5676"/>
          <w:sz w:val="21"/>
        </w:rPr>
        <w:t xml:space="preserve">THE POLITICAL RESPONSE LINE:  </w:t>
      </w:r>
      <w:r>
        <w:rPr>
          <w:i/>
          <w:sz w:val="21"/>
        </w:rPr>
        <w:t>The specification is public. UNZA staff have audited and published their findings. The code sits in escrow — if Kgosi Capital ever walks away, MRC activates the key and keeps the system running. What is in Botswana is the right to be the ones who operate it. That is how every enterprise software vendor on earth works. The question is not who owns the code. The question is: does the system work for Zambia?</w:t>
      </w:r>
    </w:p>
    <w:tbl>
      <w:tblPr>
        <w:tblStyle w:val="TableGrid"/>
        <w:tblW w:type="auto" w:w="0"/>
        <w:tblLook w:firstColumn="1" w:firstRow="1" w:lastColumn="0" w:lastRow="0" w:noHBand="0" w:noVBand="1" w:val="04A0"/>
      </w:tblPr>
      <w:tblGrid>
        <w:gridCol w:w="2832"/>
        <w:gridCol w:w="2832"/>
        <w:gridCol w:w="2832"/>
      </w:tblGrid>
      <w:tr>
        <w:tc>
          <w:tcPr>
            <w:tcW w:type="dxa" w:w="2880"/>
            <w:shd w:val="clear" w:color="auto" w:fill="1A5676"/>
          </w:tcPr>
          <w:p>
            <w:pPr>
              <w:jc w:val="center"/>
            </w:pPr>
            <w:r>
              <w:rPr>
                <w:b/>
                <w:color w:val="FFFFFF"/>
                <w:sz w:val="19"/>
              </w:rPr>
              <w:t>Attack Line</w:t>
            </w:r>
          </w:p>
        </w:tc>
        <w:tc>
          <w:tcPr>
            <w:tcW w:type="dxa" w:w="2880"/>
            <w:shd w:val="clear" w:color="auto" w:fill="1A5676"/>
          </w:tcPr>
          <w:p>
            <w:pPr>
              <w:jc w:val="center"/>
            </w:pPr>
            <w:r>
              <w:rPr>
                <w:b/>
                <w:color w:val="FFFFFF"/>
                <w:sz w:val="19"/>
              </w:rPr>
              <w:t>Before Escrow Strategy</w:t>
            </w:r>
          </w:p>
        </w:tc>
        <w:tc>
          <w:tcPr>
            <w:tcW w:type="dxa" w:w="3888"/>
            <w:shd w:val="clear" w:color="auto" w:fill="1A5676"/>
          </w:tcPr>
          <w:p>
            <w:pPr>
              <w:jc w:val="center"/>
            </w:pPr>
            <w:r>
              <w:rPr>
                <w:b/>
                <w:color w:val="FFFFFF"/>
                <w:sz w:val="19"/>
              </w:rPr>
              <w:t>After Escrow Strategy</w:t>
            </w:r>
          </w:p>
        </w:tc>
      </w:tr>
      <w:tr>
        <w:tc>
          <w:tcPr>
            <w:tcW w:type="dxa" w:w="2880"/>
            <w:shd w:val="clear" w:color="auto" w:fill="EEF4F7"/>
          </w:tcPr>
          <w:p>
            <w:r>
              <w:rPr>
                <w:sz w:val="19"/>
              </w:rPr>
              <w:t>'IP in Botswana pays foreign rent'</w:t>
            </w:r>
          </w:p>
        </w:tc>
        <w:tc>
          <w:tcPr>
            <w:tcW w:type="dxa" w:w="2880"/>
            <w:shd w:val="clear" w:color="auto" w:fill="EEF4F7"/>
          </w:tcPr>
          <w:p>
            <w:r>
              <w:rPr>
                <w:sz w:val="19"/>
              </w:rPr>
              <w:t>Factually true. No clean rebuttal.</w:t>
            </w:r>
          </w:p>
        </w:tc>
        <w:tc>
          <w:tcPr>
            <w:tcW w:type="dxa" w:w="3888"/>
            <w:shd w:val="clear" w:color="auto" w:fill="EEF4F7"/>
          </w:tcPr>
          <w:p>
            <w:r>
              <w:rPr>
                <w:sz w:val="19"/>
              </w:rPr>
              <w:t>Specification is public. Escrow gives MRC continuity. Fee is for operational services, not secrecy.</w:t>
            </w:r>
          </w:p>
        </w:tc>
      </w:tr>
      <w:tr>
        <w:tc>
          <w:tcPr>
            <w:tcW w:type="dxa" w:w="2880"/>
          </w:tcPr>
          <w:p>
            <w:r>
              <w:rPr>
                <w:sz w:val="19"/>
              </w:rPr>
              <w:t>'No Zambian can audit the mathematics'</w:t>
            </w:r>
          </w:p>
        </w:tc>
        <w:tc>
          <w:tcPr>
            <w:tcW w:type="dxa" w:w="2880"/>
          </w:tcPr>
          <w:p>
            <w:r>
              <w:rPr>
                <w:sz w:val="19"/>
              </w:rPr>
              <w:t>Factually true.</w:t>
            </w:r>
          </w:p>
        </w:tc>
        <w:tc>
          <w:tcPr>
            <w:tcW w:type="dxa" w:w="3888"/>
          </w:tcPr>
          <w:p>
            <w:r>
              <w:rPr>
                <w:sz w:val="19"/>
              </w:rPr>
              <w:t>UNZA published audit on record. Specification is open.</w:t>
            </w:r>
          </w:p>
        </w:tc>
      </w:tr>
      <w:tr>
        <w:tc>
          <w:tcPr>
            <w:tcW w:type="dxa" w:w="2880"/>
            <w:shd w:val="clear" w:color="auto" w:fill="EEF4F7"/>
          </w:tcPr>
          <w:p>
            <w:r>
              <w:rPr>
                <w:sz w:val="19"/>
              </w:rPr>
              <w:t>'If they walk away, we lose everything'</w:t>
            </w:r>
          </w:p>
        </w:tc>
        <w:tc>
          <w:tcPr>
            <w:tcW w:type="dxa" w:w="2880"/>
            <w:shd w:val="clear" w:color="auto" w:fill="EEF4F7"/>
          </w:tcPr>
          <w:p>
            <w:r>
              <w:rPr>
                <w:sz w:val="19"/>
              </w:rPr>
              <w:t>Genuine continuity risk.</w:t>
            </w:r>
          </w:p>
        </w:tc>
        <w:tc>
          <w:tcPr>
            <w:tcW w:type="dxa" w:w="3888"/>
            <w:shd w:val="clear" w:color="auto" w:fill="EEF4F7"/>
          </w:tcPr>
          <w:p>
            <w:r>
              <w:rPr>
                <w:sz w:val="19"/>
              </w:rPr>
              <w:t>MRC holds the Swiss escrow release key. System continues.</w:t>
            </w:r>
          </w:p>
        </w:tc>
      </w:tr>
      <w:tr>
        <w:tc>
          <w:tcPr>
            <w:tcW w:type="dxa" w:w="2880"/>
          </w:tcPr>
          <w:p>
            <w:r>
              <w:rPr>
                <w:sz w:val="19"/>
              </w:rPr>
              <w:t>'This is a foreign surveillance tool'</w:t>
            </w:r>
          </w:p>
        </w:tc>
        <w:tc>
          <w:tcPr>
            <w:tcW w:type="dxa" w:w="2880"/>
          </w:tcPr>
          <w:p>
            <w:r>
              <w:rPr>
                <w:sz w:val="19"/>
              </w:rPr>
              <w:t>Partially rebutted by ZRA/NAPSA equity.</w:t>
            </w:r>
          </w:p>
        </w:tc>
        <w:tc>
          <w:tcPr>
            <w:tcW w:type="dxa" w:w="3888"/>
          </w:tcPr>
          <w:p>
            <w:r>
              <w:rPr>
                <w:sz w:val="19"/>
              </w:rPr>
              <w:t>Additionally: the maths is public and Zambian-audited.</w:t>
            </w:r>
          </w:p>
        </w:tc>
      </w:tr>
    </w:tbl>
    <w:p/>
    <w:p>
      <w:pPr>
        <w:spacing w:after="160" w:line="360" w:lineRule="auto"/>
      </w:pPr>
      <w:r>
        <w:rPr>
          <w:b w:val="0"/>
          <w:i w:val="0"/>
          <w:sz w:val="21"/>
        </w:rPr>
        <w:t>This strategy is a board-level decision for this room. The team recommends proceeding. It costs nothing commercially and closes the most persistent political attack vector in the engagement.</w:t>
      </w:r>
    </w:p>
    <w:p>
      <w:pPr>
        <w:pStyle w:val="Heading2"/>
        <w:spacing w:before="360" w:after="160"/>
      </w:pPr>
      <w:r>
        <w:rPr>
          <w:color w:val="1A5676"/>
        </w:rPr>
        <w:t>8.6  Legal Risk Architecture — Five Mandates Before Capitalisation</w:t>
      </w:r>
    </w:p>
    <w:p>
      <w:pPr>
        <w:spacing w:after="120" w:line="360" w:lineRule="auto"/>
      </w:pPr>
      <w:r>
        <w:rPr>
          <w:b w:val="0"/>
          <w:i w:val="0"/>
          <w:sz w:val="21"/>
        </w:rPr>
        <w:t>The cryptographic and corporate architecture is sound. The following five items are contract drafting risks — not structural problems — that must be resolved before the operating company is capitalised. Each one has been identified through internal red-team review. Each one is fatal if it reaches institutional due diligence unaddressed.</w:t>
      </w:r>
    </w:p>
    <w:p>
      <w:pPr>
        <w:spacing w:before="160"/>
      </w:pPr>
      <w:r>
        <w:rPr>
          <w:b/>
          <w:color w:val="1A5676"/>
          <w:sz w:val="22"/>
        </w:rPr>
        <w:t>Mandate 1 — The Dividend Covenant</w:t>
      </w:r>
    </w:p>
    <w:p>
      <w:pPr>
        <w:spacing w:after="120" w:line="360" w:lineRule="auto"/>
      </w:pPr>
      <w:r>
        <w:rPr>
          <w:b w:val="0"/>
          <w:i w:val="0"/>
          <w:sz w:val="21"/>
        </w:rPr>
        <w:t>The political shield — ZRA and NAPSA equity — only functions if those shareholders receive visible, publicised dividends annually. A licensing fee calibrated to extract all operating profit before the dividend line renders their equity commercially worthless. The Big 4 Transfer Pricing Study must be mandated to produce a fee that leaves the Zambian OpCo with a genuine 20–30% net operating margin. Additionally, the Shareholders' Agreement must include an explicit minimum dividend distribution covenant — without it, Kgosi Capital (35%) and the Zambian strategic partner (30%) could form a 65% coalition to retain all earnings and distribute nothing to the Sovereign Reserve.</w:t>
      </w:r>
    </w:p>
    <w:p>
      <w:pPr>
        <w:spacing w:before="160"/>
      </w:pPr>
      <w:r>
        <w:rPr>
          <w:b/>
          <w:color w:val="1A5676"/>
          <w:sz w:val="22"/>
        </w:rPr>
        <w:t>Mandate 2 — The HSM Re-Ceremony Disclosure</w:t>
      </w:r>
    </w:p>
    <w:p>
      <w:pPr>
        <w:spacing w:after="120" w:line="360" w:lineRule="auto"/>
      </w:pPr>
      <w:r>
        <w:rPr>
          <w:b w:val="0"/>
          <w:i w:val="0"/>
          <w:sz w:val="21"/>
        </w:rPr>
        <w:t>The Swiss Escrow must include the HSM administrative Shamir shards, not only source code. However, the Ed25519 validator private keys inside FIPS 140-2 Level 3 HSMs are non-extractable by hardware design. Escrow activation does not resume the network — it enables MRC to recreate it. The activation sequence requires: HSM admin credential recovery, a full Phase 2 MPC re-ceremony across all five validator participants, source code recompilation against the new verification key, and network restart. Minimum timeline: four to six weeks under emergency conditions. This must be disclosed explicitly in the escrow contract before MRC signs — not discovered during a crisis.</w:t>
      </w:r>
    </w:p>
    <w:p>
      <w:pPr>
        <w:spacing w:before="160"/>
      </w:pPr>
      <w:r>
        <w:rPr>
          <w:b/>
          <w:color w:val="1A5676"/>
          <w:sz w:val="22"/>
        </w:rPr>
        <w:t>Mandate 3 — Continuous Escrow Verification</w:t>
      </w:r>
    </w:p>
    <w:p>
      <w:pPr>
        <w:spacing w:after="120" w:line="360" w:lineRule="auto"/>
      </w:pPr>
      <w:r>
        <w:rPr>
          <w:b w:val="0"/>
          <w:i w:val="0"/>
          <w:sz w:val="21"/>
        </w:rPr>
        <w:t>A static escrow deposit becomes commercially useless as the software evolves. The contract must include: (i) mandatory re-deposit within 30 days of any change to the R1CS circuit, consensus logic, or HSM integration layer; (ii) NCC Group compilation hash-match verification confirming the deposited code builds to a binary matching the production deployment manifest; and (iii) a quarterly production match attestation signed by Kgosi Capital, auditable by MRC's legal team at any time.</w:t>
      </w:r>
    </w:p>
    <w:p>
      <w:pPr>
        <w:spacing w:before="160"/>
      </w:pPr>
      <w:r>
        <w:rPr>
          <w:b/>
          <w:color w:val="1A5676"/>
          <w:sz w:val="22"/>
        </w:rPr>
        <w:t>Mandate 4 — ZRA Conflict of Interest Legal Opinion</w:t>
      </w:r>
    </w:p>
    <w:p>
      <w:pPr>
        <w:spacing w:after="120" w:line="360" w:lineRule="auto"/>
      </w:pPr>
      <w:r>
        <w:rPr>
          <w:b w:val="0"/>
          <w:i w:val="0"/>
          <w:sz w:val="21"/>
        </w:rPr>
        <w:t>ZRA simultaneously holds two incompatible roles: tax authority assessing the arm's length nature of the Botswana licensing fee, and equity shareholder with a financial interest in minimising that fee to maximise dividends. Zambian company law and the ZRA Act may prohibit ZRA from holding equity in a company it simultaneously regulates and audits. A formal opinion from a Zambian constitutional lawyer must be obtained and cleared before the cap table is filed with PACRA. This is not optional.</w:t>
      </w:r>
    </w:p>
    <w:p>
      <w:pPr>
        <w:spacing w:before="160"/>
      </w:pPr>
      <w:r>
        <w:rPr>
          <w:b/>
          <w:color w:val="1A5676"/>
          <w:sz w:val="22"/>
        </w:rPr>
        <w:t>Mandate 5 — Physical HSM Jurisdiction Protocol</w:t>
      </w:r>
    </w:p>
    <w:p>
      <w:pPr>
        <w:spacing w:after="120" w:line="360" w:lineRule="auto"/>
      </w:pPr>
      <w:r>
        <w:rPr>
          <w:b w:val="0"/>
          <w:i w:val="0"/>
          <w:sz w:val="21"/>
        </w:rPr>
        <w:t>The Thales Luna HSMs are physically located across three jurisdictions: Lusaka, Abidjan, and Washington DC. The Swiss escrow holds the admin Shamir shards. If a hostile government seizes the Lusaka HSM, the hardware and the credentials are in separate jurisdictions with no defined protocol for reunification. The escrow activation agreement must define the physical cross-jurisdictional travel protocol — who travels where, with what credentials, under what legal authority — to execute the re-ceremony. Without this, the escrow is theoretically complete but operationally paralysed.</w:t>
      </w:r>
    </w:p>
    <w:p/>
    <w:tbl>
      <w:tblPr>
        <w:tblStyle w:val="TableGrid"/>
        <w:tblW w:type="auto" w:w="0"/>
        <w:tblLook w:firstColumn="1" w:firstRow="1" w:lastColumn="0" w:lastRow="0" w:noHBand="0" w:noVBand="1" w:val="04A0"/>
      </w:tblPr>
      <w:tblGrid>
        <w:gridCol w:w="2832"/>
        <w:gridCol w:w="2832"/>
        <w:gridCol w:w="2832"/>
      </w:tblGrid>
      <w:tr>
        <w:tc>
          <w:tcPr>
            <w:tcW w:type="dxa" w:w="3168"/>
            <w:shd w:val="clear" w:color="auto" w:fill="1A5676"/>
          </w:tcPr>
          <w:p>
            <w:pPr>
              <w:jc w:val="center"/>
            </w:pPr>
            <w:r>
              <w:rPr>
                <w:b/>
                <w:color w:val="FFFFFF"/>
                <w:sz w:val="19"/>
              </w:rPr>
              <w:t>Mandate</w:t>
            </w:r>
          </w:p>
        </w:tc>
        <w:tc>
          <w:tcPr>
            <w:tcW w:type="dxa" w:w="3600"/>
            <w:shd w:val="clear" w:color="auto" w:fill="1A5676"/>
          </w:tcPr>
          <w:p>
            <w:pPr>
              <w:jc w:val="center"/>
            </w:pPr>
            <w:r>
              <w:rPr>
                <w:b/>
                <w:color w:val="FFFFFF"/>
                <w:sz w:val="19"/>
              </w:rPr>
              <w:t>Risk If Ignored</w:t>
            </w:r>
          </w:p>
        </w:tc>
        <w:tc>
          <w:tcPr>
            <w:tcW w:type="dxa" w:w="2880"/>
            <w:shd w:val="clear" w:color="auto" w:fill="1A5676"/>
          </w:tcPr>
          <w:p>
            <w:pPr>
              <w:jc w:val="center"/>
            </w:pPr>
            <w:r>
              <w:rPr>
                <w:b/>
                <w:color w:val="FFFFFF"/>
                <w:sz w:val="19"/>
              </w:rPr>
              <w:t>Must Complete Before</w:t>
            </w:r>
          </w:p>
        </w:tc>
      </w:tr>
      <w:tr>
        <w:tc>
          <w:tcPr>
            <w:tcW w:type="dxa" w:w="3168"/>
            <w:shd w:val="clear" w:color="auto" w:fill="EEF4F7"/>
          </w:tcPr>
          <w:p>
            <w:r>
              <w:rPr>
                <w:sz w:val="19"/>
              </w:rPr>
              <w:t>Big 4 Transfer Pricing Study + Dividend Covenant</w:t>
            </w:r>
          </w:p>
        </w:tc>
        <w:tc>
          <w:tcPr>
            <w:tcW w:type="dxa" w:w="3600"/>
            <w:shd w:val="clear" w:color="auto" w:fill="EEF4F7"/>
          </w:tcPr>
          <w:p>
            <w:r>
              <w:rPr>
                <w:sz w:val="19"/>
              </w:rPr>
              <w:t>OpCo profitable on paper; NAPSA and ZRA receive nothing; political shield collapses</w:t>
            </w:r>
          </w:p>
        </w:tc>
        <w:tc>
          <w:tcPr>
            <w:tcW w:type="dxa" w:w="2880"/>
            <w:shd w:val="clear" w:color="auto" w:fill="EEF4F7"/>
          </w:tcPr>
          <w:p>
            <w:r>
              <w:rPr>
                <w:sz w:val="19"/>
              </w:rPr>
              <w:t>Before any equity is issued</w:t>
            </w:r>
          </w:p>
        </w:tc>
      </w:tr>
      <w:tr>
        <w:tc>
          <w:tcPr>
            <w:tcW w:type="dxa" w:w="3168"/>
          </w:tcPr>
          <w:p>
            <w:r>
              <w:rPr>
                <w:sz w:val="19"/>
              </w:rPr>
              <w:t>HSM Re-Ceremony Disclosure</w:t>
            </w:r>
          </w:p>
        </w:tc>
        <w:tc>
          <w:tcPr>
            <w:tcW w:type="dxa" w:w="3600"/>
          </w:tcPr>
          <w:p>
            <w:r>
              <w:rPr>
                <w:sz w:val="19"/>
              </w:rPr>
              <w:t>MRC discovers 4-6 week activation timeline during a crisis, not before signing</w:t>
            </w:r>
          </w:p>
        </w:tc>
        <w:tc>
          <w:tcPr>
            <w:tcW w:type="dxa" w:w="2880"/>
          </w:tcPr>
          <w:p>
            <w:r>
              <w:rPr>
                <w:sz w:val="19"/>
              </w:rPr>
              <w:t>Before MRC signs service agreement</w:t>
            </w:r>
          </w:p>
        </w:tc>
      </w:tr>
      <w:tr>
        <w:tc>
          <w:tcPr>
            <w:tcW w:type="dxa" w:w="3168"/>
            <w:shd w:val="clear" w:color="auto" w:fill="EEF4F7"/>
          </w:tcPr>
          <w:p>
            <w:r>
              <w:rPr>
                <w:sz w:val="19"/>
              </w:rPr>
              <w:t>Continuous Escrow Verification</w:t>
            </w:r>
          </w:p>
        </w:tc>
        <w:tc>
          <w:tcPr>
            <w:tcW w:type="dxa" w:w="3600"/>
            <w:shd w:val="clear" w:color="auto" w:fill="EEF4F7"/>
          </w:tcPr>
          <w:p>
            <w:r>
              <w:rPr>
                <w:sz w:val="19"/>
              </w:rPr>
              <w:t>Escrow contains 3-year-old incompatible codebase when triggered</w:t>
            </w:r>
          </w:p>
        </w:tc>
        <w:tc>
          <w:tcPr>
            <w:tcW w:type="dxa" w:w="2880"/>
            <w:shd w:val="clear" w:color="auto" w:fill="EEF4F7"/>
          </w:tcPr>
          <w:p>
            <w:r>
              <w:rPr>
                <w:sz w:val="19"/>
              </w:rPr>
              <w:t>Before escrow agreement is executed</w:t>
            </w:r>
          </w:p>
        </w:tc>
      </w:tr>
      <w:tr>
        <w:tc>
          <w:tcPr>
            <w:tcW w:type="dxa" w:w="3168"/>
          </w:tcPr>
          <w:p>
            <w:r>
              <w:rPr>
                <w:sz w:val="19"/>
              </w:rPr>
              <w:t>ZRA Conflict of Interest Opinion</w:t>
            </w:r>
          </w:p>
        </w:tc>
        <w:tc>
          <w:tcPr>
            <w:tcW w:type="dxa" w:w="3600"/>
          </w:tcPr>
          <w:p>
            <w:r>
              <w:rPr>
                <w:sz w:val="19"/>
              </w:rPr>
              <w:t>Cap table is legally impermissible; PACRA filing challenged</w:t>
            </w:r>
          </w:p>
        </w:tc>
        <w:tc>
          <w:tcPr>
            <w:tcW w:type="dxa" w:w="2880"/>
          </w:tcPr>
          <w:p>
            <w:r>
              <w:rPr>
                <w:sz w:val="19"/>
              </w:rPr>
              <w:t>Before cap table is filed with PACRA</w:t>
            </w:r>
          </w:p>
        </w:tc>
      </w:tr>
      <w:tr>
        <w:tc>
          <w:tcPr>
            <w:tcW w:type="dxa" w:w="3168"/>
            <w:shd w:val="clear" w:color="auto" w:fill="EEF4F7"/>
          </w:tcPr>
          <w:p>
            <w:r>
              <w:rPr>
                <w:sz w:val="19"/>
              </w:rPr>
              <w:t>Physical HSM Jurisdiction Protocol</w:t>
            </w:r>
          </w:p>
        </w:tc>
        <w:tc>
          <w:tcPr>
            <w:tcW w:type="dxa" w:w="3600"/>
            <w:shd w:val="clear" w:color="auto" w:fill="EEF4F7"/>
          </w:tcPr>
          <w:p>
            <w:r>
              <w:rPr>
                <w:sz w:val="19"/>
              </w:rPr>
              <w:t>Escrow activation paralysed across three jurisdictions during a crisis</w:t>
            </w:r>
          </w:p>
        </w:tc>
        <w:tc>
          <w:tcPr>
            <w:tcW w:type="dxa" w:w="2880"/>
            <w:shd w:val="clear" w:color="auto" w:fill="EEF4F7"/>
          </w:tcPr>
          <w:p>
            <w:r>
              <w:rPr>
                <w:sz w:val="19"/>
              </w:rPr>
              <w:t>Before MPC ceremony date</w:t>
            </w:r>
          </w:p>
        </w:tc>
      </w:tr>
    </w:tbl>
    <w:p/>
    <w:p>
      <w:pPr>
        <w:spacing w:before="120" w:after="120"/>
        <w:ind w:left="576" w:right="576"/>
      </w:pPr>
      <w:r>
        <w:rPr>
          <w:b/>
          <w:color w:val="1A5676"/>
          <w:sz w:val="21"/>
        </w:rPr>
        <w:t xml:space="preserve">BOTTOM LINE:  </w:t>
      </w:r>
      <w:r>
        <w:rPr>
          <w:i/>
          <w:sz w:val="21"/>
        </w:rPr>
        <w:t>These are not architectural problems — the architecture is sound. These are contract drafting problems. Every one of them has been identified and documented before institutional due diligence. That is the correct order of operations.</w:t>
      </w:r>
    </w:p>
    <w:p>
      <w:r>
        <w:br w:type="page"/>
      </w:r>
    </w:p>
    <w:p>
      <w:pPr>
        <w:pStyle w:val="Heading1"/>
        <w:spacing w:before="360" w:after="160"/>
      </w:pPr>
      <w:r>
        <w:rPr>
          <w:color w:val="1A5676"/>
        </w:rPr>
        <w:t>9.  The v2.0 Roadmap — Closing RC-03</w:t>
      </w:r>
    </w:p>
    <w:p>
      <w:pPr>
        <w:spacing w:after="120" w:line="360" w:lineRule="auto"/>
      </w:pPr>
      <w:r>
        <w:rPr>
          <w:b w:val="0"/>
          <w:i w:val="0"/>
          <w:sz w:val="21"/>
        </w:rPr>
        <w:t>The v1.7 protocol cryptographically binds volume to the oracle and arithmetic to the proof. The remaining residual risk — RC-03 — is that density and grade remain self-declared by the operator. Version 2.0 closes this gap through the Geochemical Oracle: a hardware-to-ledger pipeline that produces cryptographically signed density and grade commitments from physical instruments before the operator's declaration window opens.</w:t>
      </w:r>
    </w:p>
    <w:p>
      <w:pPr>
        <w:pStyle w:val="Heading2"/>
        <w:spacing w:before="360" w:after="160"/>
      </w:pPr>
      <w:r>
        <w:rPr>
          <w:color w:val="1A5676"/>
        </w:rPr>
        <w:t>9.1  The Hardware Layer</w:t>
      </w:r>
    </w:p>
    <w:p>
      <w:pPr>
        <w:spacing w:after="80" w:line="360" w:lineRule="auto"/>
      </w:pPr>
      <w:r>
        <w:rPr>
          <w:b w:val="0"/>
          <w:i w:val="0"/>
          <w:sz w:val="21"/>
        </w:rPr>
        <w:t>Two independent measurement pipelines feed the geochemical oracle:</w:t>
      </w:r>
    </w:p>
    <w:p>
      <w:pPr>
        <w:pStyle w:val="ListBullet"/>
        <w:spacing w:after="80"/>
        <w:ind w:left="360"/>
      </w:pPr>
      <w:r>
        <w:rPr>
          <w:b/>
          <w:sz w:val="21"/>
        </w:rPr>
        <w:t xml:space="preserve">Density (Weighbridge Pipeline): </w:t>
      </w:r>
      <w:r>
        <w:rPr>
          <w:sz w:val="21"/>
        </w:rPr>
        <w:t>IoT-enabled weighbridges at mine gates measure ore density per truck pass. Each reading is signed by a Microchip ATECC608B secure element (HSM-equivalent for IoT) provisioned by MRC during a dedicated hardware key ceremony. The epoch-mean density is committed to the ledger by the MRC Weighmaster.</w:t>
      </w:r>
    </w:p>
    <w:p/>
    <w:p>
      <w:pPr>
        <w:pStyle w:val="ListBullet"/>
        <w:spacing w:after="80"/>
        <w:ind w:left="360"/>
      </w:pPr>
      <w:r>
        <w:rPr>
          <w:b/>
          <w:sz w:val="21"/>
        </w:rPr>
        <w:t xml:space="preserve">Grade (Laboratory Pipeline): </w:t>
      </w:r>
      <w:r>
        <w:rPr>
          <w:sz w:val="21"/>
        </w:rPr>
        <w:t>Olympus Vanta or Bruker XRF field scanners provide real-time grade estimates. MRC Sovereign Laboratory conducts ICP-MS confirmation analysis (ISO 17025 accredited). Grade commitment requires two-of-two co-signatures: MRC Field Technician and MRC Laboratory Director — separate individuals, separate HSMs.</w:t>
      </w:r>
    </w:p>
    <w:p>
      <w:pPr>
        <w:pStyle w:val="Heading2"/>
        <w:spacing w:before="360" w:after="160"/>
      </w:pPr>
      <w:r>
        <w:rPr>
          <w:color w:val="1A5676"/>
        </w:rPr>
        <w:t>9.2  The Circuit Upgrade</w:t>
      </w:r>
    </w:p>
    <w:p>
      <w:pPr>
        <w:spacing w:after="120" w:line="360" w:lineRule="auto"/>
      </w:pPr>
      <w:r>
        <w:rPr>
          <w:b w:val="0"/>
          <w:i w:val="0"/>
          <w:sz w:val="21"/>
        </w:rPr>
        <w:t>The v2.0 compliance circuit adds two new public truth anchors — density_commitment_hash and grade_commitment_hash — and two corresponding Poseidon hash binding constraints. The operator can no longer choose arbitrary density or grade values: they must use the values the oracle committed. Any deviation makes the proof unsatisfiable.</w:t>
      </w:r>
    </w:p>
    <w:tbl>
      <w:tblPr>
        <w:tblStyle w:val="TableGrid"/>
        <w:tblW w:type="auto" w:w="0"/>
        <w:tblLook w:firstColumn="1" w:firstRow="1" w:lastColumn="0" w:lastRow="0" w:noHBand="0" w:noVBand="1" w:val="04A0"/>
      </w:tblPr>
      <w:tblGrid>
        <w:gridCol w:w="2124"/>
        <w:gridCol w:w="2124"/>
        <w:gridCol w:w="2124"/>
        <w:gridCol w:w="2124"/>
      </w:tblGrid>
      <w:tr>
        <w:tc>
          <w:tcPr>
            <w:tcW w:type="dxa" w:w="1152"/>
            <w:shd w:val="clear" w:color="auto" w:fill="1A5676"/>
          </w:tcPr>
          <w:p>
            <w:pPr>
              <w:jc w:val="center"/>
            </w:pPr>
            <w:r>
              <w:rPr>
                <w:b/>
                <w:color w:val="FFFFFF"/>
                <w:sz w:val="19"/>
              </w:rPr>
              <w:t>Version</w:t>
            </w:r>
          </w:p>
        </w:tc>
        <w:tc>
          <w:tcPr>
            <w:tcW w:type="dxa" w:w="1728"/>
            <w:shd w:val="clear" w:color="auto" w:fill="1A5676"/>
          </w:tcPr>
          <w:p>
            <w:pPr>
              <w:jc w:val="center"/>
            </w:pPr>
            <w:r>
              <w:rPr>
                <w:b/>
                <w:color w:val="FFFFFF"/>
                <w:sz w:val="19"/>
              </w:rPr>
              <w:t>Constraints</w:t>
            </w:r>
          </w:p>
        </w:tc>
        <w:tc>
          <w:tcPr>
            <w:tcW w:type="dxa" w:w="4032"/>
            <w:shd w:val="clear" w:color="auto" w:fill="1A5676"/>
          </w:tcPr>
          <w:p>
            <w:pPr>
              <w:jc w:val="center"/>
            </w:pPr>
            <w:r>
              <w:rPr>
                <w:b/>
                <w:color w:val="FFFFFF"/>
                <w:sz w:val="19"/>
              </w:rPr>
              <w:t>Public Inputs</w:t>
            </w:r>
          </w:p>
        </w:tc>
        <w:tc>
          <w:tcPr>
            <w:tcW w:type="dxa" w:w="2880"/>
            <w:shd w:val="clear" w:color="auto" w:fill="1A5676"/>
          </w:tcPr>
          <w:p>
            <w:pPr>
              <w:jc w:val="center"/>
            </w:pPr>
            <w:r>
              <w:rPr>
                <w:b/>
                <w:color w:val="FFFFFF"/>
                <w:sz w:val="19"/>
              </w:rPr>
              <w:t>Density/Grade Binding</w:t>
            </w:r>
          </w:p>
        </w:tc>
      </w:tr>
      <w:tr>
        <w:tc>
          <w:tcPr>
            <w:tcW w:type="dxa" w:w="1152"/>
            <w:shd w:val="clear" w:color="auto" w:fill="EEF4F7"/>
          </w:tcPr>
          <w:p>
            <w:r>
              <w:rPr>
                <w:sz w:val="19"/>
              </w:rPr>
              <w:t>v1.4</w:t>
            </w:r>
          </w:p>
        </w:tc>
        <w:tc>
          <w:tcPr>
            <w:tcW w:type="dxa" w:w="1728"/>
            <w:shd w:val="clear" w:color="auto" w:fill="EEF4F7"/>
          </w:tcPr>
          <w:p>
            <w:r>
              <w:rPr>
                <w:sz w:val="19"/>
              </w:rPr>
              <w:t>542</w:t>
            </w:r>
          </w:p>
        </w:tc>
        <w:tc>
          <w:tcPr>
            <w:tcW w:type="dxa" w:w="4032"/>
            <w:shd w:val="clear" w:color="auto" w:fill="EEF4F7"/>
          </w:tcPr>
          <w:p>
            <w:r>
              <w:rPr>
                <w:sz w:val="19"/>
              </w:rPr>
              <w:t>volume_commitment_hash, tax_paid_usd</w:t>
            </w:r>
          </w:p>
        </w:tc>
        <w:tc>
          <w:tcPr>
            <w:tcW w:type="dxa" w:w="2880"/>
            <w:shd w:val="clear" w:color="auto" w:fill="EEF4F7"/>
          </w:tcPr>
          <w:p>
            <w:r>
              <w:rPr>
                <w:sz w:val="19"/>
              </w:rPr>
              <w:t>Self-declared (RC-03 open)</w:t>
            </w:r>
          </w:p>
        </w:tc>
      </w:tr>
      <w:tr>
        <w:tc>
          <w:tcPr>
            <w:tcW w:type="dxa" w:w="1152"/>
          </w:tcPr>
          <w:p>
            <w:r>
              <w:rPr>
                <w:sz w:val="19"/>
              </w:rPr>
              <w:t>v1.5</w:t>
            </w:r>
          </w:p>
        </w:tc>
        <w:tc>
          <w:tcPr>
            <w:tcW w:type="dxa" w:w="1728"/>
          </w:tcPr>
          <w:p>
            <w:r>
              <w:rPr>
                <w:sz w:val="19"/>
              </w:rPr>
              <w:t>564</w:t>
            </w:r>
          </w:p>
        </w:tc>
        <w:tc>
          <w:tcPr>
            <w:tcW w:type="dxa" w:w="4032"/>
          </w:tcPr>
          <w:p>
            <w:r>
              <w:rPr>
                <w:sz w:val="19"/>
              </w:rPr>
              <w:t>+ royalty_rate_bps (rate-agnostic)</w:t>
            </w:r>
          </w:p>
        </w:tc>
        <w:tc>
          <w:tcPr>
            <w:tcW w:type="dxa" w:w="2880"/>
          </w:tcPr>
          <w:p>
            <w:r>
              <w:rPr>
                <w:sz w:val="19"/>
              </w:rPr>
              <w:t>Self-declared (RC-03 open)</w:t>
            </w:r>
          </w:p>
        </w:tc>
      </w:tr>
      <w:tr>
        <w:tc>
          <w:tcPr>
            <w:tcW w:type="dxa" w:w="1152"/>
            <w:shd w:val="clear" w:color="auto" w:fill="EEF4F7"/>
          </w:tcPr>
          <w:p>
            <w:r>
              <w:rPr>
                <w:sz w:val="19"/>
              </w:rPr>
              <w:t>v2.0</w:t>
            </w:r>
          </w:p>
        </w:tc>
        <w:tc>
          <w:tcPr>
            <w:tcW w:type="dxa" w:w="1728"/>
            <w:shd w:val="clear" w:color="auto" w:fill="EEF4F7"/>
          </w:tcPr>
          <w:p>
            <w:r>
              <w:rPr>
                <w:sz w:val="19"/>
              </w:rPr>
              <w:t>1,026</w:t>
            </w:r>
          </w:p>
        </w:tc>
        <w:tc>
          <w:tcPr>
            <w:tcW w:type="dxa" w:w="4032"/>
            <w:shd w:val="clear" w:color="auto" w:fill="EEF4F7"/>
          </w:tcPr>
          <w:p>
            <w:r>
              <w:rPr>
                <w:sz w:val="19"/>
              </w:rPr>
              <w:t>+ density_commitment_hash, grade_commitment_hash</w:t>
            </w:r>
          </w:p>
        </w:tc>
        <w:tc>
          <w:tcPr>
            <w:tcW w:type="dxa" w:w="2880"/>
            <w:shd w:val="clear" w:color="auto" w:fill="EEF4F7"/>
          </w:tcPr>
          <w:p>
            <w:r>
              <w:rPr>
                <w:sz w:val="19"/>
              </w:rPr>
              <w:t>Oracle-committed (RC-03 CLOSED)</w:t>
            </w:r>
          </w:p>
        </w:tc>
      </w:tr>
    </w:tbl>
    <w:p/>
    <w:p>
      <w:pPr>
        <w:spacing w:after="120" w:line="360" w:lineRule="auto"/>
      </w:pPr>
      <w:r>
        <w:rPr>
          <w:b w:val="0"/>
          <w:i w:val="0"/>
          <w:sz w:val="21"/>
        </w:rPr>
        <w:t>The constraint increase from 564 to 1,026 is the exact cost of closing RC-03: two additional Poseidon(2) hash bindings at 243 constraints each. The security gain — eliminating the operator's unilateral control over the two most sensitive production parameters — justifies the cost entirely. Target deployment: Q1 2027.</w:t>
      </w:r>
    </w:p>
    <w:p>
      <w:r>
        <w:br w:type="page"/>
      </w:r>
    </w:p>
    <w:p>
      <w:pPr>
        <w:pStyle w:val="Heading1"/>
        <w:spacing w:before="360" w:after="160"/>
      </w:pPr>
      <w:r>
        <w:rPr>
          <w:color w:val="1A5676"/>
        </w:rPr>
        <w:t>10.  The Path Forward</w:t>
      </w:r>
    </w:p>
    <w:p>
      <w:pPr>
        <w:pStyle w:val="Heading2"/>
        <w:spacing w:before="360" w:after="160"/>
      </w:pPr>
      <w:r>
        <w:rPr>
          <w:color w:val="1A5676"/>
        </w:rPr>
        <w:t>10.1  Immediate Priorities (May – July 2026)</w:t>
      </w:r>
    </w:p>
    <w:tbl>
      <w:tblPr>
        <w:tblStyle w:val="TableGrid"/>
        <w:tblW w:type="auto" w:w="0"/>
        <w:tblLook w:firstColumn="1" w:firstRow="1" w:lastColumn="0" w:lastRow="0" w:noHBand="0" w:noVBand="1" w:val="04A0"/>
      </w:tblPr>
      <w:tblGrid>
        <w:gridCol w:w="2124"/>
        <w:gridCol w:w="2124"/>
        <w:gridCol w:w="2124"/>
        <w:gridCol w:w="2124"/>
      </w:tblGrid>
      <w:tr>
        <w:tc>
          <w:tcPr>
            <w:tcW w:type="dxa" w:w="3600"/>
            <w:shd w:val="clear" w:color="auto" w:fill="1A5676"/>
          </w:tcPr>
          <w:p>
            <w:pPr>
              <w:jc w:val="center"/>
            </w:pPr>
            <w:r>
              <w:rPr>
                <w:b/>
                <w:color w:val="FFFFFF"/>
                <w:sz w:val="19"/>
              </w:rPr>
              <w:t>Action</w:t>
            </w:r>
          </w:p>
        </w:tc>
        <w:tc>
          <w:tcPr>
            <w:tcW w:type="dxa" w:w="1872"/>
            <w:shd w:val="clear" w:color="auto" w:fill="1A5676"/>
          </w:tcPr>
          <w:p>
            <w:pPr>
              <w:jc w:val="center"/>
            </w:pPr>
            <w:r>
              <w:rPr>
                <w:b/>
                <w:color w:val="FFFFFF"/>
                <w:sz w:val="19"/>
              </w:rPr>
              <w:t>Owner</w:t>
            </w:r>
          </w:p>
        </w:tc>
        <w:tc>
          <w:tcPr>
            <w:tcW w:type="dxa" w:w="1440"/>
            <w:shd w:val="clear" w:color="auto" w:fill="1A5676"/>
          </w:tcPr>
          <w:p>
            <w:pPr>
              <w:jc w:val="center"/>
            </w:pPr>
            <w:r>
              <w:rPr>
                <w:b/>
                <w:color w:val="FFFFFF"/>
                <w:sz w:val="19"/>
              </w:rPr>
              <w:t>Deadline</w:t>
            </w:r>
          </w:p>
        </w:tc>
        <w:tc>
          <w:tcPr>
            <w:tcW w:type="dxa" w:w="2880"/>
            <w:shd w:val="clear" w:color="auto" w:fill="1A5676"/>
          </w:tcPr>
          <w:p>
            <w:pPr>
              <w:jc w:val="center"/>
            </w:pPr>
            <w:r>
              <w:rPr>
                <w:b/>
                <w:color w:val="FFFFFF"/>
                <w:sz w:val="19"/>
              </w:rPr>
              <w:t>Why It Cannot Slip</w:t>
            </w:r>
          </w:p>
        </w:tc>
      </w:tr>
      <w:tr>
        <w:tc>
          <w:tcPr>
            <w:tcW w:type="dxa" w:w="3600"/>
            <w:shd w:val="clear" w:color="auto" w:fill="EEF4F7"/>
          </w:tcPr>
          <w:p>
            <w:r>
              <w:rPr>
                <w:sz w:val="19"/>
              </w:rPr>
              <w:t>Initiate Trail of Bits engagement (RC-ADV-001 pack sealed and ready)</w:t>
            </w:r>
          </w:p>
        </w:tc>
        <w:tc>
          <w:tcPr>
            <w:tcW w:type="dxa" w:w="1872"/>
            <w:shd w:val="clear" w:color="auto" w:fill="EEF4F7"/>
          </w:tcPr>
          <w:p>
            <w:r>
              <w:rPr>
                <w:sz w:val="19"/>
              </w:rPr>
              <w:t>Kgosi Capital</w:t>
            </w:r>
          </w:p>
        </w:tc>
        <w:tc>
          <w:tcPr>
            <w:tcW w:type="dxa" w:w="1440"/>
            <w:shd w:val="clear" w:color="auto" w:fill="EEF4F7"/>
          </w:tcPr>
          <w:p>
            <w:r>
              <w:rPr>
                <w:sz w:val="19"/>
              </w:rPr>
              <w:t>May 2026</w:t>
            </w:r>
          </w:p>
        </w:tc>
        <w:tc>
          <w:tcPr>
            <w:tcW w:type="dxa" w:w="2880"/>
            <w:shd w:val="clear" w:color="auto" w:fill="EEF4F7"/>
          </w:tcPr>
          <w:p>
            <w:r>
              <w:rPr>
                <w:sz w:val="19"/>
              </w:rPr>
              <w:t>8–12 week audit clock starts now; September ceremony requires completed audit</w:t>
            </w:r>
          </w:p>
        </w:tc>
      </w:tr>
      <w:tr>
        <w:tc>
          <w:tcPr>
            <w:tcW w:type="dxa" w:w="3600"/>
          </w:tcPr>
          <w:p>
            <w:r>
              <w:rPr>
                <w:sz w:val="19"/>
              </w:rPr>
              <w:t>Face-to-face meeting with ZRA Commissioner-General</w:t>
            </w:r>
          </w:p>
        </w:tc>
        <w:tc>
          <w:tcPr>
            <w:tcW w:type="dxa" w:w="1872"/>
          </w:tcPr>
          <w:p>
            <w:r>
              <w:rPr>
                <w:sz w:val="19"/>
              </w:rPr>
              <w:t>Kgosi Capital</w:t>
            </w:r>
          </w:p>
        </w:tc>
        <w:tc>
          <w:tcPr>
            <w:tcW w:type="dxa" w:w="1440"/>
          </w:tcPr>
          <w:p>
            <w:r>
              <w:rPr>
                <w:sz w:val="19"/>
              </w:rPr>
              <w:t>Before election</w:t>
            </w:r>
          </w:p>
        </w:tc>
        <w:tc>
          <w:tcPr>
            <w:tcW w:type="dxa" w:w="2880"/>
          </w:tcPr>
          <w:p>
            <w:r>
              <w:rPr>
                <w:sz w:val="19"/>
              </w:rPr>
              <w:t>Confirms whether institutional relationship is a signed commitment or a conversation</w:t>
            </w:r>
          </w:p>
        </w:tc>
      </w:tr>
      <w:tr>
        <w:tc>
          <w:tcPr>
            <w:tcW w:type="dxa" w:w="3600"/>
            <w:shd w:val="clear" w:color="auto" w:fill="EEF4F7"/>
          </w:tcPr>
          <w:p>
            <w:r>
              <w:rPr>
                <w:sz w:val="19"/>
              </w:rPr>
              <w:t>Brief incoming government economic team (privately, before inauguration)</w:t>
            </w:r>
          </w:p>
        </w:tc>
        <w:tc>
          <w:tcPr>
            <w:tcW w:type="dxa" w:w="1872"/>
            <w:shd w:val="clear" w:color="auto" w:fill="EEF4F7"/>
          </w:tcPr>
          <w:p>
            <w:r>
              <w:rPr>
                <w:sz w:val="19"/>
              </w:rPr>
              <w:t>Kgosi Capital</w:t>
            </w:r>
          </w:p>
        </w:tc>
        <w:tc>
          <w:tcPr>
            <w:tcW w:type="dxa" w:w="1440"/>
            <w:shd w:val="clear" w:color="auto" w:fill="EEF4F7"/>
          </w:tcPr>
          <w:p>
            <w:r>
              <w:rPr>
                <w:sz w:val="19"/>
              </w:rPr>
              <w:t>June 2026</w:t>
            </w:r>
          </w:p>
        </w:tc>
        <w:tc>
          <w:tcPr>
            <w:tcW w:type="dxa" w:w="2880"/>
            <w:shd w:val="clear" w:color="auto" w:fill="EEF4F7"/>
          </w:tcPr>
          <w:p>
            <w:r>
              <w:rPr>
                <w:sz w:val="19"/>
              </w:rPr>
              <w:t>Whoever frames the narrative first sets the political context</w:t>
            </w:r>
          </w:p>
        </w:tc>
      </w:tr>
      <w:tr>
        <w:tc>
          <w:tcPr>
            <w:tcW w:type="dxa" w:w="3600"/>
          </w:tcPr>
          <w:p>
            <w:r>
              <w:rPr>
                <w:sz w:val="19"/>
              </w:rPr>
              <w:t>Transmit Ceremony Participation Agreements to AfDB and WB legal</w:t>
            </w:r>
          </w:p>
        </w:tc>
        <w:tc>
          <w:tcPr>
            <w:tcW w:type="dxa" w:w="1872"/>
          </w:tcPr>
          <w:p>
            <w:r>
              <w:rPr>
                <w:sz w:val="19"/>
              </w:rPr>
              <w:t>Kgosi Capital Legal</w:t>
            </w:r>
          </w:p>
        </w:tc>
        <w:tc>
          <w:tcPr>
            <w:tcW w:type="dxa" w:w="1440"/>
          </w:tcPr>
          <w:p>
            <w:r>
              <w:rPr>
                <w:sz w:val="19"/>
              </w:rPr>
              <w:t>June 2, 2026</w:t>
            </w:r>
          </w:p>
        </w:tc>
        <w:tc>
          <w:tcPr>
            <w:tcW w:type="dxa" w:w="2880"/>
          </w:tcPr>
          <w:p>
            <w:r>
              <w:rPr>
                <w:sz w:val="19"/>
              </w:rPr>
              <w:t>WB and AfDB legal review takes 6–8 weeks; July slip kills September ceremony</w:t>
            </w:r>
          </w:p>
        </w:tc>
      </w:tr>
      <w:tr>
        <w:tc>
          <w:tcPr>
            <w:tcW w:type="dxa" w:w="3600"/>
            <w:shd w:val="clear" w:color="auto" w:fill="EEF4F7"/>
          </w:tcPr>
          <w:p>
            <w:r>
              <w:rPr>
                <w:sz w:val="19"/>
              </w:rPr>
              <w:t>Initiate IFC / AfDB private sector equity conversation</w:t>
            </w:r>
          </w:p>
        </w:tc>
        <w:tc>
          <w:tcPr>
            <w:tcW w:type="dxa" w:w="1872"/>
            <w:shd w:val="clear" w:color="auto" w:fill="EEF4F7"/>
          </w:tcPr>
          <w:p>
            <w:r>
              <w:rPr>
                <w:sz w:val="19"/>
              </w:rPr>
              <w:t>Kgosi Capital</w:t>
            </w:r>
          </w:p>
        </w:tc>
        <w:tc>
          <w:tcPr>
            <w:tcW w:type="dxa" w:w="1440"/>
            <w:shd w:val="clear" w:color="auto" w:fill="EEF4F7"/>
          </w:tcPr>
          <w:p>
            <w:r>
              <w:rPr>
                <w:sz w:val="19"/>
              </w:rPr>
              <w:t>June 2026</w:t>
            </w:r>
          </w:p>
        </w:tc>
        <w:tc>
          <w:tcPr>
            <w:tcW w:type="dxa" w:w="2880"/>
            <w:shd w:val="clear" w:color="auto" w:fill="EEF4F7"/>
          </w:tcPr>
          <w:p>
            <w:r>
              <w:rPr>
                <w:sz w:val="19"/>
              </w:rPr>
              <w:t>Closing this is the single most important corporate action in the roadmap</w:t>
            </w:r>
          </w:p>
        </w:tc>
      </w:tr>
      <w:tr>
        <w:tc>
          <w:tcPr>
            <w:tcW w:type="dxa" w:w="3600"/>
          </w:tcPr>
          <w:p>
            <w:r>
              <w:rPr>
                <w:sz w:val="19"/>
              </w:rPr>
              <w:t>Commission transfer pricing study for IP licensing fee</w:t>
            </w:r>
          </w:p>
        </w:tc>
        <w:tc>
          <w:tcPr>
            <w:tcW w:type="dxa" w:w="1872"/>
          </w:tcPr>
          <w:p>
            <w:r>
              <w:rPr>
                <w:sz w:val="19"/>
              </w:rPr>
              <w:t>External counsel</w:t>
            </w:r>
          </w:p>
        </w:tc>
        <w:tc>
          <w:tcPr>
            <w:tcW w:type="dxa" w:w="1440"/>
          </w:tcPr>
          <w:p>
            <w:r>
              <w:rPr>
                <w:sz w:val="19"/>
              </w:rPr>
              <w:t>June 2026</w:t>
            </w:r>
          </w:p>
        </w:tc>
        <w:tc>
          <w:tcPr>
            <w:tcW w:type="dxa" w:w="2880"/>
          </w:tcPr>
          <w:p>
            <w:r>
              <w:rPr>
                <w:sz w:val="19"/>
              </w:rPr>
              <w:t>Must precede operating company capitalisation</w:t>
            </w:r>
          </w:p>
        </w:tc>
      </w:tr>
    </w:tbl>
    <w:p/>
    <w:p>
      <w:pPr>
        <w:pStyle w:val="Heading2"/>
        <w:spacing w:before="360" w:after="160"/>
      </w:pPr>
      <w:r>
        <w:rPr>
          <w:color w:val="1A5676"/>
        </w:rPr>
        <w:t>10.2  Near-Term Milestones (August – December 2026)</w:t>
      </w:r>
    </w:p>
    <w:tbl>
      <w:tblPr>
        <w:tblStyle w:val="TableGrid"/>
        <w:tblW w:type="auto" w:w="0"/>
        <w:tblLook w:firstColumn="1" w:firstRow="1" w:lastColumn="0" w:lastRow="0" w:noHBand="0" w:noVBand="1" w:val="04A0"/>
      </w:tblPr>
      <w:tblGrid>
        <w:gridCol w:w="4248"/>
        <w:gridCol w:w="4248"/>
      </w:tblGrid>
      <w:tr>
        <w:tc>
          <w:tcPr>
            <w:tcW w:type="dxa" w:w="6480"/>
            <w:shd w:val="clear" w:color="auto" w:fill="1A5676"/>
          </w:tcPr>
          <w:p>
            <w:pPr>
              <w:jc w:val="center"/>
            </w:pPr>
            <w:r>
              <w:rPr>
                <w:b/>
                <w:color w:val="FFFFFF"/>
                <w:sz w:val="19"/>
              </w:rPr>
              <w:t>Milestone</w:t>
            </w:r>
          </w:p>
        </w:tc>
        <w:tc>
          <w:tcPr>
            <w:tcW w:type="dxa" w:w="2880"/>
            <w:shd w:val="clear" w:color="auto" w:fill="1A5676"/>
          </w:tcPr>
          <w:p>
            <w:pPr>
              <w:jc w:val="center"/>
            </w:pPr>
            <w:r>
              <w:rPr>
                <w:b/>
                <w:color w:val="FFFFFF"/>
                <w:sz w:val="19"/>
              </w:rPr>
              <w:t>Target Date</w:t>
            </w:r>
          </w:p>
        </w:tc>
      </w:tr>
      <w:tr>
        <w:tc>
          <w:tcPr>
            <w:tcW w:type="dxa" w:w="6480"/>
            <w:shd w:val="clear" w:color="auto" w:fill="EEF4F7"/>
          </w:tcPr>
          <w:p>
            <w:r>
              <w:rPr>
                <w:sz w:val="19"/>
              </w:rPr>
              <w:t>HSM procurement and delivery to all five validator sites</w:t>
            </w:r>
          </w:p>
        </w:tc>
        <w:tc>
          <w:tcPr>
            <w:tcW w:type="dxa" w:w="2880"/>
            <w:shd w:val="clear" w:color="auto" w:fill="EEF4F7"/>
          </w:tcPr>
          <w:p>
            <w:r>
              <w:rPr>
                <w:sz w:val="19"/>
              </w:rPr>
              <w:t>September 2026</w:t>
            </w:r>
          </w:p>
        </w:tc>
      </w:tr>
      <w:tr>
        <w:tc>
          <w:tcPr>
            <w:tcW w:type="dxa" w:w="6480"/>
          </w:tcPr>
          <w:p>
            <w:r>
              <w:rPr>
                <w:sz w:val="19"/>
              </w:rPr>
              <w:t>Node key generation ceremony (RC-INFRA-001 §5.1) at each site</w:t>
            </w:r>
          </w:p>
        </w:tc>
        <w:tc>
          <w:tcPr>
            <w:tcW w:type="dxa" w:w="2880"/>
          </w:tcPr>
          <w:p>
            <w:r>
              <w:rPr>
                <w:sz w:val="19"/>
              </w:rPr>
              <w:t>September 2026</w:t>
            </w:r>
          </w:p>
        </w:tc>
      </w:tr>
      <w:tr>
        <w:tc>
          <w:tcPr>
            <w:tcW w:type="dxa" w:w="6480"/>
            <w:shd w:val="clear" w:color="auto" w:fill="EEF4F7"/>
          </w:tcPr>
          <w:p>
            <w:r>
              <w:rPr>
                <w:sz w:val="19"/>
              </w:rPr>
              <w:t>MPDC Verification Day — all five parties compare R1CS hashes</w:t>
            </w:r>
          </w:p>
        </w:tc>
        <w:tc>
          <w:tcPr>
            <w:tcW w:type="dxa" w:w="2880"/>
            <w:shd w:val="clear" w:color="auto" w:fill="EEF4F7"/>
          </w:tcPr>
          <w:p>
            <w:r>
              <w:rPr>
                <w:sz w:val="19"/>
              </w:rPr>
              <w:t>September 2026</w:t>
            </w:r>
          </w:p>
        </w:tc>
      </w:tr>
      <w:tr>
        <w:tc>
          <w:tcPr>
            <w:tcW w:type="dxa" w:w="6480"/>
          </w:tcPr>
          <w:p>
            <w:r>
              <w:rPr>
                <w:sz w:val="19"/>
              </w:rPr>
              <w:t>MPC Trusted Setup Ceremony — five-party sequential contribution</w:t>
            </w:r>
          </w:p>
        </w:tc>
        <w:tc>
          <w:tcPr>
            <w:tcW w:type="dxa" w:w="2880"/>
          </w:tcPr>
          <w:p>
            <w:r>
              <w:rPr>
                <w:sz w:val="19"/>
              </w:rPr>
              <w:t>September 2026</w:t>
            </w:r>
          </w:p>
        </w:tc>
      </w:tr>
      <w:tr>
        <w:tc>
          <w:tcPr>
            <w:tcW w:type="dxa" w:w="6480"/>
            <w:shd w:val="clear" w:color="auto" w:fill="EEF4F7"/>
          </w:tcPr>
          <w:p>
            <w:r>
              <w:rPr>
                <w:sz w:val="19"/>
              </w:rPr>
              <w:t>Verification key exported; hardcoded into rc-validator binary</w:t>
            </w:r>
          </w:p>
        </w:tc>
        <w:tc>
          <w:tcPr>
            <w:tcW w:type="dxa" w:w="2880"/>
            <w:shd w:val="clear" w:color="auto" w:fill="EEF4F7"/>
          </w:tcPr>
          <w:p>
            <w:r>
              <w:rPr>
                <w:sz w:val="19"/>
              </w:rPr>
              <w:t>October 2026</w:t>
            </w:r>
          </w:p>
        </w:tc>
      </w:tr>
      <w:tr>
        <w:tc>
          <w:tcPr>
            <w:tcW w:type="dxa" w:w="6480"/>
          </w:tcPr>
          <w:p>
            <w:r>
              <w:rPr>
                <w:sz w:val="19"/>
              </w:rPr>
              <w:t>Full 5-node integration test with live HSMs and oracle pipeline</w:t>
            </w:r>
          </w:p>
        </w:tc>
        <w:tc>
          <w:tcPr>
            <w:tcW w:type="dxa" w:w="2880"/>
          </w:tcPr>
          <w:p>
            <w:r>
              <w:rPr>
                <w:sz w:val="19"/>
              </w:rPr>
              <w:t>October 2026</w:t>
            </w:r>
          </w:p>
        </w:tc>
      </w:tr>
      <w:tr>
        <w:tc>
          <w:tcPr>
            <w:tcW w:type="dxa" w:w="6480"/>
            <w:shd w:val="clear" w:color="auto" w:fill="EEF4F7"/>
          </w:tcPr>
          <w:p>
            <w:r>
              <w:rPr>
                <w:sz w:val="19"/>
              </w:rPr>
              <w:t>Sandbox deployment — all nodes live</w:t>
            </w:r>
          </w:p>
        </w:tc>
        <w:tc>
          <w:tcPr>
            <w:tcW w:type="dxa" w:w="2880"/>
            <w:shd w:val="clear" w:color="auto" w:fill="EEF4F7"/>
          </w:tcPr>
          <w:p>
            <w:r>
              <w:rPr>
                <w:sz w:val="19"/>
              </w:rPr>
              <w:t>October/November 2026</w:t>
            </w:r>
          </w:p>
        </w:tc>
      </w:tr>
      <w:tr>
        <w:tc>
          <w:tcPr>
            <w:tcW w:type="dxa" w:w="6480"/>
          </w:tcPr>
          <w:p>
            <w:r>
              <w:rPr>
                <w:sz w:val="19"/>
              </w:rPr>
              <w:t>Academic paper submitted to Financial Cryptography 2027</w:t>
            </w:r>
          </w:p>
        </w:tc>
        <w:tc>
          <w:tcPr>
            <w:tcW w:type="dxa" w:w="2880"/>
          </w:tcPr>
          <w:p>
            <w:r>
              <w:rPr>
                <w:sz w:val="19"/>
              </w:rPr>
              <w:t>October 2026</w:t>
            </w:r>
          </w:p>
        </w:tc>
      </w:tr>
      <w:tr>
        <w:tc>
          <w:tcPr>
            <w:tcW w:type="dxa" w:w="6480"/>
            <w:shd w:val="clear" w:color="auto" w:fill="EEF4F7"/>
          </w:tcPr>
          <w:p>
            <w:r>
              <w:rPr>
                <w:sz w:val="19"/>
              </w:rPr>
              <w:t>v2.0 hardware procurement (weighbridge gateways, XRF gateways)</w:t>
            </w:r>
          </w:p>
        </w:tc>
        <w:tc>
          <w:tcPr>
            <w:tcW w:type="dxa" w:w="2880"/>
            <w:shd w:val="clear" w:color="auto" w:fill="EEF4F7"/>
          </w:tcPr>
          <w:p>
            <w:r>
              <w:rPr>
                <w:sz w:val="19"/>
              </w:rPr>
              <w:t>November 2026</w:t>
            </w:r>
          </w:p>
        </w:tc>
      </w:tr>
    </w:tbl>
    <w:p/>
    <w:p>
      <w:pPr>
        <w:pStyle w:val="Heading2"/>
        <w:spacing w:before="360" w:after="160"/>
      </w:pPr>
      <w:r>
        <w:rPr>
          <w:color w:val="1A5676"/>
        </w:rPr>
        <w:t>10.3  The Long Game (2027)</w:t>
      </w:r>
    </w:p>
    <w:p>
      <w:pPr>
        <w:spacing w:after="120" w:line="360" w:lineRule="auto"/>
      </w:pPr>
      <w:r>
        <w:rPr>
          <w:b w:val="0"/>
          <w:i w:val="0"/>
          <w:sz w:val="21"/>
        </w:rPr>
        <w:t>The v2.0 Geochemical Oracle deployment in Q1 2027 closes RC-03 and transforms the political proposition for any incoming government. Under v2.0, the royalty arithmetic is not only proven correct — the inputs to that arithmetic carry the digital signature of the government's own sovereign regulator. ZRA does not need to trust Kgosi Capital, the operator, or any foreign institution. They trust their own MRC instruments and their own Laboratory Director's HSM key.</w:t>
      </w:r>
    </w:p>
    <w:p>
      <w:pPr>
        <w:spacing w:after="120" w:line="360" w:lineRule="auto"/>
      </w:pPr>
      <w:r>
        <w:rPr>
          <w:b w:val="0"/>
          <w:i w:val="0"/>
          <w:sz w:val="21"/>
        </w:rPr>
        <w:t>The academic paper, published in early 2027, establishes independent peer-reviewed precedent. Every African head of state briefed on this at an AU summit can be handed a published IEEE or Financial Cryptography paper rather than a private company's whitepaper. That distinction is the difference between 'interesting startup' and 'proven sovereign infrastructure model.'</w:t>
      </w:r>
    </w:p>
    <w:p>
      <w:pPr>
        <w:spacing w:after="120" w:line="360" w:lineRule="auto"/>
      </w:pPr>
      <w:r>
        <w:rPr>
          <w:b w:val="0"/>
          <w:i w:val="0"/>
          <w:sz w:val="21"/>
        </w:rPr>
        <w:t>The replication market — DRC (cobalt), Ghana (gold), Tanzania (nickel), Rwanda (coltan) — opens once Zambia demonstrates production deployment. Each replication is a new operating company, a new licensing agreement, and a new revenue stream for the IP held in Botswana.</w:t>
      </w:r>
    </w:p>
    <w:p>
      <w:r>
        <w:br w:type="page"/>
      </w:r>
    </w:p>
    <w:p>
      <w:pPr>
        <w:pStyle w:val="Heading1"/>
        <w:spacing w:before="360" w:after="160"/>
      </w:pPr>
      <w:r>
        <w:rPr>
          <w:color w:val="1A5676"/>
        </w:rPr>
        <w:t>11.  What We Need From This Room</w:t>
      </w:r>
    </w:p>
    <w:p>
      <w:pPr>
        <w:spacing w:after="120" w:line="360" w:lineRule="auto"/>
      </w:pPr>
      <w:r>
        <w:rPr>
          <w:b w:val="0"/>
          <w:i w:val="0"/>
          <w:sz w:val="21"/>
        </w:rPr>
        <w:t>The technical work is complete. The corporate structure is designed. The threat model is documented. The path forward is clear. What determines the outcome now is not more engineering — it is the decisions and resources that only this room can provide.</w:t>
      </w:r>
    </w:p>
    <w:p>
      <w:pPr>
        <w:pStyle w:val="Heading2"/>
        <w:spacing w:before="360" w:after="160"/>
      </w:pPr>
      <w:r>
        <w:rPr>
          <w:color w:val="1A5676"/>
        </w:rPr>
        <w:t>Decisions Required</w:t>
      </w:r>
    </w:p>
    <w:p>
      <w:pPr>
        <w:pStyle w:val="ListBullet"/>
        <w:spacing w:after="80"/>
        <w:ind w:left="360"/>
      </w:pPr>
      <w:r>
        <w:rPr>
          <w:b/>
          <w:sz w:val="21"/>
        </w:rPr>
        <w:t xml:space="preserve">1.  Zambian Strategic Partner: </w:t>
      </w:r>
      <w:r>
        <w:rPr>
          <w:sz w:val="21"/>
        </w:rPr>
        <w:t>Confirm the Zambian Strategic Partner selection before the operating company is capitalised. This is the load-bearing decision in the corporate architecture — the wrong partner undermines the political shield that the rest of the structure creates.</w:t>
      </w:r>
    </w:p>
    <w:p/>
    <w:p>
      <w:pPr>
        <w:pStyle w:val="ListBullet"/>
        <w:spacing w:after="80"/>
        <w:ind w:left="360"/>
      </w:pPr>
      <w:r>
        <w:rPr>
          <w:b/>
          <w:sz w:val="21"/>
        </w:rPr>
        <w:t xml:space="preserve">2.  IFC/AfDB Equity Mandate: </w:t>
      </w:r>
      <w:r>
        <w:rPr>
          <w:sz w:val="21"/>
        </w:rPr>
        <w:t>Authorise the IFC and/or AfDB private sector arm equity conversation. This is the highest-priority corporate action in the near-term roadmap. DFI equity closes the sovereign reserve, generates institutional lock-in, and transforms every subsequent conversation.</w:t>
      </w:r>
    </w:p>
    <w:p/>
    <w:p>
      <w:pPr>
        <w:pStyle w:val="ListBullet"/>
        <w:spacing w:after="80"/>
        <w:ind w:left="360"/>
      </w:pPr>
      <w:r>
        <w:rPr>
          <w:b/>
          <w:sz w:val="21"/>
        </w:rPr>
        <w:t xml:space="preserve">3.  Trail of Bits Engagement: </w:t>
      </w:r>
      <w:r>
        <w:rPr>
          <w:sz w:val="21"/>
        </w:rPr>
        <w:t>Approve the Trail of Bits engagement. The audit pack is sealed and ready. The engagement must be booked in May for the audit to complete before the September ceremony.</w:t>
      </w:r>
    </w:p>
    <w:p/>
    <w:p>
      <w:pPr>
        <w:pStyle w:val="ListBullet"/>
        <w:spacing w:after="80"/>
        <w:ind w:left="360"/>
      </w:pPr>
      <w:r>
        <w:rPr>
          <w:b/>
          <w:sz w:val="21"/>
        </w:rPr>
        <w:t xml:space="preserve">4.  Incoming Government Brief: </w:t>
      </w:r>
      <w:r>
        <w:rPr>
          <w:sz w:val="21"/>
        </w:rPr>
        <w:t>Confirm the approach to the incoming government — whether to brief them before the election and through which channel. The window is closing.</w:t>
      </w:r>
    </w:p>
    <w:p>
      <w:pPr>
        <w:pStyle w:val="Heading2"/>
        <w:spacing w:before="360" w:after="160"/>
      </w:pPr>
      <w:r>
        <w:rPr>
          <w:color w:val="1A5676"/>
        </w:rPr>
        <w:t>Resources Required</w:t>
      </w:r>
    </w:p>
    <w:p>
      <w:pPr>
        <w:pStyle w:val="ListBullet"/>
        <w:spacing w:after="80"/>
        <w:ind w:left="360"/>
      </w:pPr>
      <w:r>
        <w:rPr>
          <w:b/>
          <w:sz w:val="21"/>
        </w:rPr>
        <w:t xml:space="preserve">External audit: </w:t>
      </w:r>
      <w:r>
        <w:rPr>
          <w:sz w:val="21"/>
        </w:rPr>
        <w:t>Trail of Bits engagement fee</w:t>
      </w:r>
    </w:p>
    <w:p>
      <w:pPr>
        <w:pStyle w:val="ListBullet"/>
        <w:spacing w:after="80"/>
        <w:ind w:left="360"/>
      </w:pPr>
      <w:r>
        <w:rPr>
          <w:b/>
          <w:sz w:val="21"/>
        </w:rPr>
        <w:t xml:space="preserve">Legal / tax counsel: </w:t>
      </w:r>
      <w:r>
        <w:rPr>
          <w:sz w:val="21"/>
        </w:rPr>
        <w:t>Transfer pricing study for IP licensing structure</w:t>
      </w:r>
    </w:p>
    <w:p>
      <w:pPr>
        <w:pStyle w:val="ListBullet"/>
        <w:spacing w:after="80"/>
        <w:ind w:left="360"/>
      </w:pPr>
      <w:r>
        <w:rPr>
          <w:b/>
          <w:sz w:val="21"/>
        </w:rPr>
        <w:t xml:space="preserve">Hardware procurement: </w:t>
      </w:r>
      <w:r>
        <w:rPr>
          <w:sz w:val="21"/>
        </w:rPr>
        <w:t>Thales Luna Network HSM units × 5 (10–16 week lead time; orders must be placed immediately)</w:t>
      </w:r>
    </w:p>
    <w:p>
      <w:pPr>
        <w:pStyle w:val="ListBullet"/>
        <w:spacing w:after="80"/>
        <w:ind w:left="360"/>
      </w:pPr>
      <w:r>
        <w:rPr>
          <w:b/>
          <w:sz w:val="21"/>
        </w:rPr>
        <w:t xml:space="preserve">Corporate formation: </w:t>
      </w:r>
      <w:r>
        <w:rPr>
          <w:sz w:val="21"/>
        </w:rPr>
        <w:t>Operating company capitalisation and legal formation in Zambia</w:t>
      </w:r>
    </w:p>
    <w:p>
      <w:pPr>
        <w:pStyle w:val="ListBullet"/>
        <w:spacing w:after="80"/>
        <w:ind w:left="360"/>
      </w:pPr>
      <w:r>
        <w:rPr>
          <w:b/>
          <w:sz w:val="21"/>
        </w:rPr>
        <w:t xml:space="preserve">Market intelligence: </w:t>
      </w:r>
      <w:r>
        <w:rPr>
          <w:sz w:val="21"/>
        </w:rPr>
        <w:t>EU commodity trader / battery manufacturer contact for certified copper premium pricing</w:t>
      </w:r>
    </w:p>
    <w:p>
      <w:pPr>
        <w:pStyle w:val="Heading2"/>
        <w:spacing w:before="360" w:after="160"/>
      </w:pPr>
      <w:r>
        <w:rPr>
          <w:color w:val="1A5676"/>
        </w:rPr>
        <w:t>The Single Most Important Metric</w:t>
      </w:r>
    </w:p>
    <w:p>
      <w:pPr>
        <w:spacing w:after="120" w:line="360" w:lineRule="auto"/>
      </w:pPr>
      <w:r>
        <w:rPr>
          <w:b w:val="0"/>
          <w:i w:val="0"/>
          <w:sz w:val="21"/>
        </w:rPr>
        <w:t>Everything in this presentation — the cryptography, the infrastructure, the ceremony, the corporate structure, the geopolitical strategy — converges on one number that does not yet exist in any document: the per-tonne premium that EU Battery Regulation-compliant certified Zambian copper commands over uncertified copper in European markets.</w:t>
      </w:r>
    </w:p>
    <w:p>
      <w:pPr>
        <w:spacing w:after="120" w:line="360" w:lineRule="auto"/>
      </w:pPr>
      <w:r>
        <w:rPr>
          <w:b w:val="0"/>
          <w:i w:val="0"/>
          <w:sz w:val="21"/>
        </w:rPr>
        <w:t>That number, confirmed by a European battery manufacturer or commodity trader, is the argument that survives every political transition, every Chinese diplomatic briefing, and every hostile press cycle. At Zambia's annual copper production of approximately 800,000 tonnes, a $50 premium per tonne is $40 million per year in additional national revenue — revenue that accrues regardless of which government is in power. No minister can walk away from that number.</w:t>
      </w:r>
    </w:p>
    <w:p>
      <w:pPr>
        <w:spacing w:before="120" w:after="120"/>
        <w:ind w:left="576" w:right="576"/>
      </w:pPr>
      <w:r>
        <w:rPr>
          <w:b/>
          <w:color w:val="1A5676"/>
          <w:sz w:val="21"/>
        </w:rPr>
        <w:t xml:space="preserve">THE MANDATE:  </w:t>
      </w:r>
      <w:r>
        <w:rPr>
          <w:i/>
          <w:sz w:val="21"/>
        </w:rPr>
        <w:t>Get that number. One conversation with the right European buyer is worth more than any document this team can produce.</w:t>
      </w:r>
    </w:p>
    <w:p>
      <w:r>
        <w:br w:type="page"/>
      </w:r>
    </w:p>
    <w:p>
      <w:pPr>
        <w:pStyle w:val="Heading1"/>
        <w:spacing w:before="360" w:after="160"/>
      </w:pPr>
      <w:r>
        <w:rPr>
          <w:color w:val="1A5676"/>
        </w:rPr>
        <w:t>Appendix — Technical Document Index</w:t>
      </w:r>
    </w:p>
    <w:p>
      <w:pPr>
        <w:spacing w:after="160" w:line="360" w:lineRule="auto"/>
      </w:pPr>
      <w:r>
        <w:rPr>
          <w:b w:val="0"/>
          <w:i w:val="0"/>
          <w:sz w:val="21"/>
        </w:rPr>
        <w:t>The following documents form the complete v1.7 technical and strategic archive:</w:t>
      </w:r>
    </w:p>
    <w:tbl>
      <w:tblPr>
        <w:tblStyle w:val="TableGrid"/>
        <w:tblW w:type="auto" w:w="0"/>
        <w:tblLook w:firstColumn="1" w:firstRow="1" w:lastColumn="0" w:lastRow="0" w:noHBand="0" w:noVBand="1" w:val="04A0"/>
      </w:tblPr>
      <w:tblGrid>
        <w:gridCol w:w="2832"/>
        <w:gridCol w:w="2832"/>
        <w:gridCol w:w="2832"/>
      </w:tblGrid>
      <w:tr>
        <w:tc>
          <w:tcPr>
            <w:tcW w:type="dxa" w:w="3600"/>
            <w:shd w:val="clear" w:color="auto" w:fill="1A5676"/>
          </w:tcPr>
          <w:p>
            <w:pPr>
              <w:jc w:val="center"/>
            </w:pPr>
            <w:r>
              <w:rPr>
                <w:b/>
                <w:color w:val="FFFFFF"/>
                <w:sz w:val="19"/>
              </w:rPr>
              <w:t>Document</w:t>
            </w:r>
          </w:p>
        </w:tc>
        <w:tc>
          <w:tcPr>
            <w:tcW w:type="dxa" w:w="2016"/>
            <w:shd w:val="clear" w:color="auto" w:fill="1A5676"/>
          </w:tcPr>
          <w:p>
            <w:pPr>
              <w:jc w:val="center"/>
            </w:pPr>
            <w:r>
              <w:rPr>
                <w:b/>
                <w:color w:val="FFFFFF"/>
                <w:sz w:val="19"/>
              </w:rPr>
              <w:t>ID</w:t>
            </w:r>
          </w:p>
        </w:tc>
        <w:tc>
          <w:tcPr>
            <w:tcW w:type="dxa" w:w="4032"/>
            <w:shd w:val="clear" w:color="auto" w:fill="1A5676"/>
          </w:tcPr>
          <w:p>
            <w:pPr>
              <w:jc w:val="center"/>
            </w:pPr>
            <w:r>
              <w:rPr>
                <w:b/>
                <w:color w:val="FFFFFF"/>
                <w:sz w:val="19"/>
              </w:rPr>
              <w:t>Description</w:t>
            </w:r>
          </w:p>
        </w:tc>
      </w:tr>
      <w:tr>
        <w:tc>
          <w:tcPr>
            <w:tcW w:type="dxa" w:w="3600"/>
            <w:shd w:val="clear" w:color="auto" w:fill="EEF4F7"/>
          </w:tcPr>
          <w:p>
            <w:r>
              <w:rPr>
                <w:sz w:val="19"/>
              </w:rPr>
              <w:t>compliance.circom v1.4</w:t>
            </w:r>
          </w:p>
        </w:tc>
        <w:tc>
          <w:tcPr>
            <w:tcW w:type="dxa" w:w="2016"/>
            <w:shd w:val="clear" w:color="auto" w:fill="EEF4F7"/>
          </w:tcPr>
          <w:p>
            <w:r>
              <w:rPr>
                <w:sz w:val="19"/>
              </w:rPr>
              <w:t>—</w:t>
            </w:r>
          </w:p>
        </w:tc>
        <w:tc>
          <w:tcPr>
            <w:tcW w:type="dxa" w:w="4032"/>
            <w:shd w:val="clear" w:color="auto" w:fill="EEF4F7"/>
          </w:tcPr>
          <w:p>
            <w:r>
              <w:rPr>
                <w:sz w:val="19"/>
              </w:rPr>
              <w:t>ZK circuit — 542 constraints, Groth16 / BN254</w:t>
            </w:r>
          </w:p>
        </w:tc>
      </w:tr>
      <w:tr>
        <w:tc>
          <w:tcPr>
            <w:tcW w:type="dxa" w:w="3600"/>
          </w:tcPr>
          <w:p>
            <w:r>
              <w:rPr>
                <w:sz w:val="19"/>
              </w:rPr>
              <w:t>Oracle Pipeline Security Spec</w:t>
            </w:r>
          </w:p>
        </w:tc>
        <w:tc>
          <w:tcPr>
            <w:tcW w:type="dxa" w:w="2016"/>
          </w:tcPr>
          <w:p>
            <w:r>
              <w:rPr>
                <w:sz w:val="19"/>
              </w:rPr>
              <w:t>—</w:t>
            </w:r>
          </w:p>
        </w:tc>
        <w:tc>
          <w:tcPr>
            <w:tcW w:type="dxa" w:w="4032"/>
          </w:tcPr>
          <w:p>
            <w:r>
              <w:rPr>
                <w:sz w:val="19"/>
              </w:rPr>
              <w:t>9-stage Sentinel-1 to BFT attestation chain</w:t>
            </w:r>
          </w:p>
        </w:tc>
      </w:tr>
      <w:tr>
        <w:tc>
          <w:tcPr>
            <w:tcW w:type="dxa" w:w="3600"/>
            <w:shd w:val="clear" w:color="auto" w:fill="EEF4F7"/>
          </w:tcPr>
          <w:p>
            <w:r>
              <w:rPr>
                <w:sz w:val="19"/>
              </w:rPr>
              <w:t>Threat Model</w:t>
            </w:r>
          </w:p>
        </w:tc>
        <w:tc>
          <w:tcPr>
            <w:tcW w:type="dxa" w:w="2016"/>
            <w:shd w:val="clear" w:color="auto" w:fill="EEF4F7"/>
          </w:tcPr>
          <w:p>
            <w:r>
              <w:rPr>
                <w:sz w:val="19"/>
              </w:rPr>
              <w:t>—</w:t>
            </w:r>
          </w:p>
        </w:tc>
        <w:tc>
          <w:tcPr>
            <w:tcW w:type="dxa" w:w="4032"/>
            <w:shd w:val="clear" w:color="auto" w:fill="EEF4F7"/>
          </w:tcPr>
          <w:p>
            <w:r>
              <w:rPr>
                <w:sz w:val="19"/>
              </w:rPr>
              <w:t>T1–T11 adversary classification, RC-03 scope</w:t>
            </w:r>
          </w:p>
        </w:tc>
      </w:tr>
      <w:tr>
        <w:tc>
          <w:tcPr>
            <w:tcW w:type="dxa" w:w="3600"/>
          </w:tcPr>
          <w:p>
            <w:r>
              <w:rPr>
                <w:sz w:val="19"/>
              </w:rPr>
              <w:t>Adversarial Proof of Work</w:t>
            </w:r>
          </w:p>
        </w:tc>
        <w:tc>
          <w:tcPr>
            <w:tcW w:type="dxa" w:w="2016"/>
          </w:tcPr>
          <w:p>
            <w:r>
              <w:rPr>
                <w:sz w:val="19"/>
              </w:rPr>
              <w:t>RC-ADV-001</w:t>
            </w:r>
          </w:p>
        </w:tc>
        <w:tc>
          <w:tcPr>
            <w:tcW w:type="dxa" w:w="4032"/>
          </w:tcPr>
          <w:p>
            <w:r>
              <w:rPr>
                <w:sz w:val="19"/>
              </w:rPr>
              <w:t>Red/Blue team exercise — three vectors, two critical findings</w:t>
            </w:r>
          </w:p>
        </w:tc>
      </w:tr>
      <w:tr>
        <w:tc>
          <w:tcPr>
            <w:tcW w:type="dxa" w:w="3600"/>
            <w:shd w:val="clear" w:color="auto" w:fill="EEF4F7"/>
          </w:tcPr>
          <w:p>
            <w:r>
              <w:rPr>
                <w:sz w:val="19"/>
              </w:rPr>
              <w:t>Node Infrastructure Specification</w:t>
            </w:r>
          </w:p>
        </w:tc>
        <w:tc>
          <w:tcPr>
            <w:tcW w:type="dxa" w:w="2016"/>
            <w:shd w:val="clear" w:color="auto" w:fill="EEF4F7"/>
          </w:tcPr>
          <w:p>
            <w:r>
              <w:rPr>
                <w:sz w:val="19"/>
              </w:rPr>
              <w:t>RC-INFRA-001</w:t>
            </w:r>
          </w:p>
        </w:tc>
        <w:tc>
          <w:tcPr>
            <w:tcW w:type="dxa" w:w="4032"/>
            <w:shd w:val="clear" w:color="auto" w:fill="EEF4F7"/>
          </w:tcPr>
          <w:p>
            <w:r>
              <w:rPr>
                <w:sz w:val="19"/>
              </w:rPr>
              <w:t>Validator stack, HSM architecture, BGP hardening, health monitor</w:t>
            </w:r>
          </w:p>
        </w:tc>
      </w:tr>
      <w:tr>
        <w:tc>
          <w:tcPr>
            <w:tcW w:type="dxa" w:w="3600"/>
          </w:tcPr>
          <w:p>
            <w:r>
              <w:rPr>
                <w:sz w:val="19"/>
              </w:rPr>
              <w:t>MPC Ceremony Specification</w:t>
            </w:r>
          </w:p>
        </w:tc>
        <w:tc>
          <w:tcPr>
            <w:tcW w:type="dxa" w:w="2016"/>
          </w:tcPr>
          <w:p>
            <w:r>
              <w:rPr>
                <w:sz w:val="19"/>
              </w:rPr>
              <w:t>RC-CEREMONY-001</w:t>
            </w:r>
          </w:p>
        </w:tc>
        <w:tc>
          <w:tcPr>
            <w:tcW w:type="dxa" w:w="4032"/>
          </w:tcPr>
          <w:p>
            <w:r>
              <w:rPr>
                <w:sz w:val="19"/>
              </w:rPr>
              <w:t>Five-party trusted setup choreography</w:t>
            </w:r>
          </w:p>
        </w:tc>
      </w:tr>
      <w:tr>
        <w:tc>
          <w:tcPr>
            <w:tcW w:type="dxa" w:w="3600"/>
            <w:shd w:val="clear" w:color="auto" w:fill="EEF4F7"/>
          </w:tcPr>
          <w:p>
            <w:r>
              <w:rPr>
                <w:sz w:val="19"/>
              </w:rPr>
              <w:t>Geochemical Oracle Specification</w:t>
            </w:r>
          </w:p>
        </w:tc>
        <w:tc>
          <w:tcPr>
            <w:tcW w:type="dxa" w:w="2016"/>
            <w:shd w:val="clear" w:color="auto" w:fill="EEF4F7"/>
          </w:tcPr>
          <w:p>
            <w:r>
              <w:rPr>
                <w:sz w:val="19"/>
              </w:rPr>
              <w:t>RC-GEO-001</w:t>
            </w:r>
          </w:p>
        </w:tc>
        <w:tc>
          <w:tcPr>
            <w:tcW w:type="dxa" w:w="4032"/>
            <w:shd w:val="clear" w:color="auto" w:fill="EEF4F7"/>
          </w:tcPr>
          <w:p>
            <w:r>
              <w:rPr>
                <w:sz w:val="19"/>
              </w:rPr>
              <w:t>v2.0 hardware pipeline — closes RC-03</w:t>
            </w:r>
          </w:p>
        </w:tc>
      </w:tr>
      <w:tr>
        <w:tc>
          <w:tcPr>
            <w:tcW w:type="dxa" w:w="3600"/>
          </w:tcPr>
          <w:p>
            <w:r>
              <w:rPr>
                <w:sz w:val="19"/>
              </w:rPr>
              <w:t>RC Phase 2 Internal Update</w:t>
            </w:r>
          </w:p>
        </w:tc>
        <w:tc>
          <w:tcPr>
            <w:tcW w:type="dxa" w:w="2016"/>
          </w:tcPr>
          <w:p>
            <w:r>
              <w:rPr>
                <w:sz w:val="19"/>
              </w:rPr>
              <w:t>—</w:t>
            </w:r>
          </w:p>
        </w:tc>
        <w:tc>
          <w:tcPr>
            <w:tcW w:type="dxa" w:w="4032"/>
          </w:tcPr>
          <w:p>
            <w:r>
              <w:rPr>
                <w:sz w:val="19"/>
              </w:rPr>
              <w:t>Sprint history, constraint optimisation record</w:t>
            </w:r>
          </w:p>
        </w:tc>
      </w:tr>
      <w:tr>
        <w:tc>
          <w:tcPr>
            <w:tcW w:type="dxa" w:w="3600"/>
            <w:shd w:val="clear" w:color="auto" w:fill="EEF4F7"/>
          </w:tcPr>
          <w:p>
            <w:r>
              <w:rPr>
                <w:sz w:val="19"/>
              </w:rPr>
              <w:t>Diplomatic Perimeter Strategy</w:t>
            </w:r>
          </w:p>
        </w:tc>
        <w:tc>
          <w:tcPr>
            <w:tcW w:type="dxa" w:w="2016"/>
            <w:shd w:val="clear" w:color="auto" w:fill="EEF4F7"/>
          </w:tcPr>
          <w:p>
            <w:r>
              <w:rPr>
                <w:sz w:val="19"/>
              </w:rPr>
              <w:t>—</w:t>
            </w:r>
          </w:p>
        </w:tc>
        <w:tc>
          <w:tcPr>
            <w:tcW w:type="dxa" w:w="4032"/>
            <w:shd w:val="clear" w:color="auto" w:fill="EEF4F7"/>
          </w:tcPr>
          <w:p>
            <w:r>
              <w:rPr>
                <w:sz w:val="19"/>
              </w:rPr>
              <w:t>Narrative defence and institutional communications</w:t>
            </w:r>
          </w:p>
        </w:tc>
      </w:tr>
      <w:tr>
        <w:tc>
          <w:tcPr>
            <w:tcW w:type="dxa" w:w="3600"/>
          </w:tcPr>
          <w:p>
            <w:r>
              <w:rPr>
                <w:sz w:val="19"/>
              </w:rPr>
              <w:t>Resource Command Sovereignty Brief</w:t>
            </w:r>
          </w:p>
        </w:tc>
        <w:tc>
          <w:tcPr>
            <w:tcW w:type="dxa" w:w="2016"/>
          </w:tcPr>
          <w:p>
            <w:r>
              <w:rPr>
                <w:sz w:val="19"/>
              </w:rPr>
              <w:t>—</w:t>
            </w:r>
          </w:p>
        </w:tc>
        <w:tc>
          <w:tcPr>
            <w:tcW w:type="dxa" w:w="4032"/>
          </w:tcPr>
          <w:p>
            <w:r>
              <w:rPr>
                <w:sz w:val="19"/>
              </w:rPr>
              <w:t>One-page ministerial brief</w:t>
            </w:r>
          </w:p>
        </w:tc>
      </w:tr>
      <w:tr>
        <w:tc>
          <w:tcPr>
            <w:tcW w:type="dxa" w:w="3600"/>
            <w:shd w:val="clear" w:color="auto" w:fill="EEF4F7"/>
          </w:tcPr>
          <w:p>
            <w:r>
              <w:rPr>
                <w:sz w:val="19"/>
              </w:rPr>
              <w:t>EU Battery Passport Alignment</w:t>
            </w:r>
          </w:p>
        </w:tc>
        <w:tc>
          <w:tcPr>
            <w:tcW w:type="dxa" w:w="2016"/>
            <w:shd w:val="clear" w:color="auto" w:fill="EEF4F7"/>
          </w:tcPr>
          <w:p>
            <w:r>
              <w:rPr>
                <w:sz w:val="19"/>
              </w:rPr>
              <w:t>—</w:t>
            </w:r>
          </w:p>
        </w:tc>
        <w:tc>
          <w:tcPr>
            <w:tcW w:type="dxa" w:w="4032"/>
            <w:shd w:val="clear" w:color="auto" w:fill="EEF4F7"/>
          </w:tcPr>
          <w:p>
            <w:r>
              <w:rPr>
                <w:sz w:val="19"/>
              </w:rPr>
              <w:t>Market access framing — EU BattReg + US IRA</w:t>
            </w:r>
          </w:p>
        </w:tc>
      </w:tr>
      <w:tr>
        <w:tc>
          <w:tcPr>
            <w:tcW w:type="dxa" w:w="3600"/>
          </w:tcPr>
          <w:p>
            <w:r>
              <w:rPr>
                <w:sz w:val="19"/>
              </w:rPr>
              <w:t>Institutional Language Matrix</w:t>
            </w:r>
          </w:p>
        </w:tc>
        <w:tc>
          <w:tcPr>
            <w:tcW w:type="dxa" w:w="2016"/>
          </w:tcPr>
          <w:p>
            <w:r>
              <w:rPr>
                <w:sz w:val="19"/>
              </w:rPr>
              <w:t>—</w:t>
            </w:r>
          </w:p>
        </w:tc>
        <w:tc>
          <w:tcPr>
            <w:tcW w:type="dxa" w:w="4032"/>
          </w:tcPr>
          <w:p>
            <w:r>
              <w:rPr>
                <w:sz w:val="19"/>
              </w:rPr>
              <w:t>PR-safe vocabulary for WB, AfDB, Zambian ministries</w:t>
            </w:r>
          </w:p>
        </w:tc>
      </w:tr>
      <w:tr>
        <w:tc>
          <w:tcPr>
            <w:tcW w:type="dxa" w:w="3600"/>
            <w:shd w:val="clear" w:color="auto" w:fill="EEF4F7"/>
          </w:tcPr>
          <w:p>
            <w:r>
              <w:rPr>
                <w:sz w:val="19"/>
              </w:rPr>
              <w:t>Counter-Narrative Response</w:t>
            </w:r>
          </w:p>
        </w:tc>
        <w:tc>
          <w:tcPr>
            <w:tcW w:type="dxa" w:w="2016"/>
            <w:shd w:val="clear" w:color="auto" w:fill="EEF4F7"/>
          </w:tcPr>
          <w:p>
            <w:r>
              <w:rPr>
                <w:sz w:val="19"/>
              </w:rPr>
              <w:t>—</w:t>
            </w:r>
          </w:p>
        </w:tc>
        <w:tc>
          <w:tcPr>
            <w:tcW w:type="dxa" w:w="4032"/>
            <w:shd w:val="clear" w:color="auto" w:fill="EEF4F7"/>
          </w:tcPr>
          <w:p>
            <w:r>
              <w:rPr>
                <w:sz w:val="19"/>
              </w:rPr>
              <w:t>Pre-emptive response to sovereign control objection</w:t>
            </w:r>
          </w:p>
        </w:tc>
      </w:tr>
      <w:tr>
        <w:tc>
          <w:tcPr>
            <w:tcW w:type="dxa" w:w="3600"/>
          </w:tcPr>
          <w:p>
            <w:r>
              <w:rPr>
                <w:sz w:val="19"/>
              </w:rPr>
              <w:t>Academic Paper Abstract</w:t>
            </w:r>
          </w:p>
        </w:tc>
        <w:tc>
          <w:tcPr>
            <w:tcW w:type="dxa" w:w="2016"/>
          </w:tcPr>
          <w:p>
            <w:r>
              <w:rPr>
                <w:sz w:val="19"/>
              </w:rPr>
              <w:t>—</w:t>
            </w:r>
          </w:p>
        </w:tc>
        <w:tc>
          <w:tcPr>
            <w:tcW w:type="dxa" w:w="4032"/>
          </w:tcPr>
          <w:p>
            <w:r>
              <w:rPr>
                <w:sz w:val="19"/>
              </w:rPr>
              <w:t>IEEE S&amp;P / Financial Cryptography 2027 submission draft</w:t>
            </w:r>
          </w:p>
        </w:tc>
      </w:tr>
    </w:tbl>
    <w:p/>
    <w:p>
      <w:pPr>
        <w:spacing w:after="120" w:line="360" w:lineRule="auto"/>
      </w:pPr>
      <w:r>
        <w:rPr>
          <w:b w:val="0"/>
          <w:i w:val="0"/>
          <w:sz w:val="21"/>
        </w:rPr>
        <w:t xml:space="preserve"> </w:t>
      </w:r>
    </w:p>
    <w:p>
      <w:pPr>
        <w:spacing w:before="80" w:after="80"/>
        <w:pBdr>
          <w:bottom w:val="single" w:sz="6" w:space="1" w:color="CCCCCC"/>
        </w:pBdr>
      </w:pPr>
    </w:p>
    <w:p>
      <w:pPr>
        <w:spacing w:after="120" w:line="360" w:lineRule="auto"/>
      </w:pPr>
      <w:r>
        <w:rPr>
          <w:b w:val="0"/>
          <w:i w:val="0"/>
          <w:sz w:val="21"/>
        </w:rPr>
        <w:t xml:space="preserve"> </w:t>
      </w:r>
    </w:p>
    <w:p>
      <w:pPr>
        <w:jc w:val="center"/>
      </w:pPr>
      <w:r>
        <w:rPr>
          <w:i/>
          <w:color w:val="888888"/>
          <w:sz w:val="17"/>
        </w:rPr>
        <w:t>RESOURCE COMMAND  ·  KGOSI CAPITAL HOLDINGS  ·  BOTSWANA</w:t>
        <w:br/>
        <w:t>CONFIDENTIAL — FOR AUTHORISED SHAREHOLDERS ONLY</w:t>
        <w:br/>
        <w:t>Prepared: May 2026  ·  Protocol Version: v1.7 / v1.8 in preparation</w:t>
      </w:r>
    </w:p>
    <w:sectPr w:rsidR="00FC693F" w:rsidRPr="0006063C" w:rsidSect="00034616">
      <w:pgSz w:w="12240" w:h="15840"/>
      <w:pgMar w:top="1440" w:right="1872" w:bottom="1440"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