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RESOURCE COMMAND: TECHNICAL PRE-READ</w:t>
      </w:r>
    </w:p>
    <w:p/>
    <w:p>
      <w:pPr>
        <w:pStyle w:val="Heading1"/>
      </w:pPr>
      <w:r>
        <w:t xml:space="preserve">Resource Command: Technical Architecture &amp; Cryptographic Specification v1.8</w:t>
      </w:r>
    </w:p>
    <w:p>
      <w:pPr>
        <w:pStyle w:val="Heading3"/>
      </w:pPr>
      <w:r>
        <w:t xml:space="preserve">Confidential Engineering Brief — 4 May 2026</w:t>
      </w:r>
    </w:p>
    <w:p>
      <w:r>
        <w:t xml:space="preserve">**Author:** Kgosi Capital Technical Team</w:t>
      </w:r>
    </w:p>
    <w:p>
      <w:r>
        <w:t xml:space="preserve">**Counterparty:** KoBold Metals Engineering / Mingomba Project</w:t>
      </w:r>
    </w:p>
    <w:p>
      <w:r>
        <w:t xml:space="preserve">**Subject:** Sovereign Mineral Verification &amp; Data Sovereignty Architecture</w:t>
      </w:r>
    </w:p>
    <w:p>
      <w:r>
        <w:t xml:space="preserve">---</w:t>
      </w:r>
    </w:p>
    <w:p>
      <w:pPr>
        <w:pStyle w:val="Heading2"/>
      </w:pPr>
      <w:r>
        <w:t xml:space="preserve">1. Architectural Philosophy: Cryptographic Minimisation</w:t>
      </w:r>
    </w:p>
    <w:p>
      <w:r>
        <w:t xml:space="preserve">Resource Command is designed as a "Non-Custodial Audit Layer." The platform is incapable of accessing an operator's sensitive commercial data.</w:t>
      </w:r>
    </w:p>
    <w:p>
      <w:r>
        <w:t xml:space="preserve">---</w:t>
      </w:r>
    </w:p>
    <w:p>
      <w:pPr>
        <w:pStyle w:val="Heading2"/>
      </w:pPr>
      <w:r>
        <w:t xml:space="preserve">2. Remote Sensing Pipeline: Multi-Sensor Verification</w:t>
      </w:r>
    </w:p>
    <w:p>
      <w:pPr>
        <w:pStyle w:val="Heading3"/>
      </w:pPr>
      <w:r>
        <w:t xml:space="preserve">2.1 Multi-Sensor Oracle Fusion</w:t>
      </w:r>
    </w:p>
    <w:p>
      <w:r>
        <w:t xml:space="preserve">To mitigate the "Single Oracle" trust problem, the platform utilizes a **Fused Commitment** approach:</w:t>
      </w:r>
    </w:p>
    <w:p>
      <w:r>
        <w:t xml:space="preserve">1.  **Primary Source:** PS-InSAR telemetry (Sentinel-1) surface displacement monitoring.</w:t>
      </w:r>
    </w:p>
    <w:p>
      <w:r>
        <w:t xml:space="preserve">2.  **Cross-Verification:** Periodic **UAV LiDAR** or **Optical photogrammetry** reconciliation.</w:t>
      </w:r>
    </w:p>
    <w:p>
      <w:r>
        <w:t xml:space="preserve">3.  **Independent Commitment:** The volume commitment is posted only upon AfDB and World Bank node consensus on the fused data.</w:t>
      </w:r>
    </w:p>
    <w:p>
      <w:r>
        <w:t xml:space="preserve">---</w:t>
      </w:r>
    </w:p>
    <w:p>
      <w:pPr>
        <w:pStyle w:val="Heading2"/>
      </w:pPr>
      <w:r>
        <w:t xml:space="preserve">3. Cryptographic Specification: R1CS / BN254</w:t>
      </w:r>
    </w:p>
    <w:p>
      <w:pPr>
        <w:pStyle w:val="Heading3"/>
      </w:pPr>
      <w:r>
        <w:t xml:space="preserve">3.1 R1CS Gate Representation (Fixed-Point Scaling)</w:t>
      </w:r>
    </w:p>
    <w:p>
      <w:r>
        <w:t xml:space="preserve">The circuit is implemented over the **BN254 scalar field**. Real-valued inputs are represented as 64-bit fixed-point integers scaled by $10^6$.</w:t>
      </w:r>
    </w:p>
    <w:p>
      <w:r>
        <w:t xml:space="preserve">```rust</w:t>
      </w:r>
    </w:p>
    <w:p>
      <w:r>
        <w:t xml:space="preserve">// PRODUCTION R1CS GATE SPECIFICATION</w:t>
      </w:r>
    </w:p>
    <w:p>
      <w:r>
        <w:t xml:space="preserve">// Public Inputs: royalty_rate_num, royalty_rate_den, tax_paid_usd, volume_commitment_hash</w:t>
      </w:r>
    </w:p>
    <w:p>
      <w:r>
        <w:t xml:space="preserve">// Private Inputs: volume_v, density_d, grade_g, volume_nonce, rem_1, rem_2, rem_3</w:t>
      </w:r>
    </w:p>
    <w:p>
      <w:r>
        <w:t xml:space="preserve">// 0. Volume-Commitment Binding</w:t>
      </w:r>
    </w:p>
    <w:p>
      <w:r>
        <w:t xml:space="preserve">Constraint 0: Poseidon(volume_v, volume_nonce) === volume_commitment_hash</w:t>
      </w:r>
    </w:p>
    <w:p>
      <w:r>
        <w:t xml:space="preserve">// 1. Tonnage Scaling Gate (Normalisation by 10^6)</w:t>
      </w:r>
    </w:p>
    <w:p>
      <w:r>
        <w:t xml:space="preserve">Constraint 1: (volume_v * density_d) === (tonnage_t * 10^6) + rem_1</w:t>
      </w:r>
    </w:p>
    <w:p>
      <w:r>
        <w:t xml:space="preserve">// 2. Mineral Content Scaling Gate</w:t>
      </w:r>
    </w:p>
    <w:p>
      <w:r>
        <w:t xml:space="preserve">Constraint 2: (tonnage_t * grade_g) === (mineral_content_m * 10^6) + rem_2</w:t>
      </w:r>
    </w:p>
    <w:p>
      <w:r>
        <w:t xml:space="preserve">// 3. Fiscal Royalty Gate (Statutory 6.0%)</w:t>
      </w:r>
    </w:p>
    <w:p>
      <w:r>
        <w:t xml:space="preserve">Constraint 3: (mineral_content_m * royalty_rate_num) === (tax_paid_usd * royalty_rate_den) + rem_3</w:t>
      </w:r>
    </w:p>
    <w:p>
      <w:r>
        <w:t xml:space="preserve">// Range Proofs: All remainder witnesses (rem_n) are constrained to [0, divisor-1]</w:t>
      </w:r>
    </w:p>
    <w:p>
      <w:r>
        <w:t xml:space="preserve">// to ensure soundness and prevent field-overflow attacks.</w:t>
      </w:r>
    </w:p>
    <w:p>
      <w:r>
        <w:t xml:space="preserve">```</w:t>
      </w:r>
    </w:p>
    <w:p>
      <w:r>
        <w:t xml:space="preserve">---</w:t>
      </w:r>
    </w:p>
    <w:p>
      <w:pPr>
        <w:pStyle w:val="Heading2"/>
      </w:pPr>
      <w:r>
        <w:t xml:space="preserve">4. Consensus &amp; Validator Infrastructure</w:t>
      </w:r>
    </w:p>
    <w:p>
      <w:pPr>
        <w:pStyle w:val="Heading3"/>
      </w:pPr>
      <w:r>
        <w:t xml:space="preserve">4.1 BFT Safety &amp; Integrity Watchdogs</w:t>
      </w:r>
    </w:p>
    <w:p>
      <w:r>
        <w:t xml:space="preserve">The validator network implements BFT consensus with **n = 5, f = 1**. Any attempt at sovereign-level collusion is **cryptographically attributable**, ensuring that a 3-node sovereign coalition cannot forge a valid consensus decision without the signature of at least one independent international node (AfDB/World Bank).</w:t>
      </w:r>
    </w:p>
    <w:p>
      <w:r>
        <w:t xml:space="preserve">---</w:t>
      </w:r>
    </w:p>
    <w:p>
      <w:pPr>
        <w:pStyle w:val="Heading2"/>
      </w:pPr>
      <w:r>
        <w:t xml:space="preserve">5. Implementation &amp; Verification Strategy</w:t>
      </w:r>
    </w:p>
    <w:p>
      <w:pPr>
        <w:pStyle w:val="Heading3"/>
      </w:pPr>
      <w:r>
        <w:t xml:space="preserve">5.1 Formal Audit &amp; Verification</w:t>
      </w:r>
    </w:p>
    <w:p>
      <w:r>
        <w:t xml:space="preserve">The platform follows a multi-stage verification pipeline:</w:t>
      </w:r>
    </w:p>
    <w:p>
      <w:r>
        <w:t xml:space="preserve">*   **Property-Based Testing:** Automated verification of circuit soundness using the reference witness generator.</w:t>
      </w:r>
    </w:p>
    <w:p>
      <w:r>
        <w:t xml:space="preserve">*   **Third-Party Audit:** Formal engagement of **Trail of Bits** for a full-scope audit of the Circom circuit and BFT protocol.</w:t>
      </w:r>
    </w:p>
    <w:p>
      <w:r>
        <w:t xml:space="preserve">*   **Adversarial Modeling:** Continuous Red-Teaming of the Oracle-Fusion pipeline to ensure commitment integrity.</w:t>
      </w:r>
    </w:p>
    <w:p>
      <w:r>
        <w:t xml:space="preserve">*   **Fiscal Configuration:** Pre-configured for Zambian Copper/Open-Cast (6.0%).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2026-05-04T12:30:56.612Z</dcterms:created>
  <dcterms:modified xsi:type="dcterms:W3CDTF">2026-05-04T12:30:56.613Z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