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A7D5" w14:textId="77777777" w:rsidR="00AC2891" w:rsidRDefault="00000000">
      <w:pPr>
        <w:spacing w:after="120"/>
        <w:jc w:val="center"/>
      </w:pPr>
      <w:r>
        <w:rPr>
          <w:rFonts w:ascii="Times New Roman" w:hAnsi="Times New Roman"/>
          <w:b/>
          <w:sz w:val="32"/>
        </w:rPr>
        <w:t>HiSMD-Net: Hierarchical Super-resolved Mamba Detector for Small Object Detection in UAV Drone Imagery</w:t>
      </w:r>
    </w:p>
    <w:p w14:paraId="2C165A57" w14:textId="473749D0" w:rsidR="00AC2891" w:rsidRDefault="00AC2891" w:rsidP="00C226D5">
      <w:pPr>
        <w:spacing w:after="40"/>
      </w:pPr>
    </w:p>
    <w:p w14:paraId="70948BC7" w14:textId="4AEB2EF3" w:rsidR="00AC2891" w:rsidRDefault="00000000">
      <w:pPr>
        <w:spacing w:after="160"/>
        <w:jc w:val="center"/>
      </w:pPr>
      <w:r>
        <w:rPr>
          <w:rFonts w:ascii="Times New Roman" w:hAnsi="Times New Roman"/>
          <w:i/>
          <w:sz w:val="18"/>
        </w:rPr>
        <w:t>Department of Computer Science and Engineering, Kongu Engineering College, Erode, India</w:t>
      </w:r>
    </w:p>
    <w:p w14:paraId="0DC338C6" w14:textId="12E85459" w:rsidR="00AC2891" w:rsidRDefault="00000000">
      <w:pPr>
        <w:spacing w:before="160" w:after="80"/>
      </w:pPr>
      <w:r>
        <w:rPr>
          <w:rFonts w:ascii="Times New Roman" w:hAnsi="Times New Roman"/>
          <w:b/>
        </w:rPr>
        <w:t>ABSTRACT</w:t>
      </w:r>
    </w:p>
    <w:p w14:paraId="1565B190" w14:textId="77777777" w:rsidR="00AC2891" w:rsidRDefault="00000000">
      <w:pPr>
        <w:spacing w:after="80"/>
        <w:jc w:val="both"/>
      </w:pPr>
      <w:r>
        <w:rPr>
          <w:rFonts w:ascii="Times New Roman" w:hAnsi="Times New Roman"/>
          <w:sz w:val="20"/>
        </w:rPr>
        <w:t>Detecting small and micro-scale objects in Unmanned Aerial Vehicle (UAV) imagery remains a fundamental challenge in computer vision due to the extreme downsampling of object features during standard backbone processing. Existing methods, including the UAVDet baseline, lack mechanisms for sub-pixel feature recovery and operate on coarse detection grids (Stride 8, 80×80 cells), making micro-object detection unreliable. In this paper, we propose HiSMD-Net (Hierarchical Super-resolved Mamba Detector), a novel single-stage decoupled anchor-free detector specifically designed for UAV small object detection. Our framework introduces three key contributions: (1) the Adaptive Sub-pixel Resolution Feature Reconstructor (ASRFR), which applies PixelUnshuffle-based sub-pixel feature restoration before backbone processing to recover micro-scale boundary details; (2) SpatialSSM context blocks based on linear-complexity Mamba State-Space Models inserted at backbone stages C3 and C4 for global spatial context aggregation at O(N) cost; and (3) a Stride-2 Sub-pixel Detection Head employing PixelShuffle to create a 320×320 detection grid (P1) with 102,400 anchor locations - 16× denser than standard Feature Pyramid Networks. Evaluated on the VisDrone2019-DET validation set across 10 object classes, HiSMD-Net achieves an AP50 of 66.83%, mAP of 45.96%, and APS of 30.16%, surpassing the UAVDet baseline by +14.73%, +14.76%, and +11.76% respectively, while reducing parameter count by 31% to 16.49M parameters.</w:t>
      </w:r>
    </w:p>
    <w:p w14:paraId="7959AC8A" w14:textId="77777777" w:rsidR="00AC2891" w:rsidRDefault="00000000">
      <w:r>
        <w:rPr>
          <w:rFonts w:ascii="Times New Roman" w:hAnsi="Times New Roman"/>
          <w:b/>
          <w:sz w:val="20"/>
        </w:rPr>
        <w:t xml:space="preserve">Keywords: </w:t>
      </w:r>
      <w:r>
        <w:rPr>
          <w:rFonts w:ascii="Times New Roman" w:hAnsi="Times New Roman"/>
          <w:i/>
          <w:sz w:val="20"/>
        </w:rPr>
        <w:t>UAV object detection, small object detection, VisDrone, super-resolution, Mamba State Space Model, Feature Pyramid Network, sub-pixel convolution</w:t>
      </w:r>
    </w:p>
    <w:p w14:paraId="003D1210" w14:textId="77777777" w:rsidR="00AC2891" w:rsidRDefault="00000000">
      <w:pPr>
        <w:spacing w:before="160" w:after="80"/>
      </w:pPr>
      <w:r>
        <w:rPr>
          <w:rFonts w:ascii="Times New Roman" w:hAnsi="Times New Roman"/>
          <w:b/>
        </w:rPr>
        <w:t>I. INTRODUCTION</w:t>
      </w:r>
    </w:p>
    <w:p w14:paraId="41EAA0E4" w14:textId="77777777" w:rsidR="00AC2891" w:rsidRDefault="00000000">
      <w:pPr>
        <w:spacing w:after="80"/>
        <w:ind w:firstLine="397"/>
        <w:jc w:val="both"/>
      </w:pPr>
      <w:r>
        <w:rPr>
          <w:rFonts w:ascii="Times New Roman" w:hAnsi="Times New Roman"/>
          <w:sz w:val="20"/>
        </w:rPr>
        <w:t>Unmanned Aerial Vehicles (UAVs) equipped with high-resolution cameras have become ubiquitous platforms for intelligent surveillance, traffic monitoring, crowd management, and search-and-rescue operations. Unlike conventional ground-level camera systems, drone cameras capture aerial perspectives at varying altitudes, resulting in images where objects of interest (vehicles, pedestrians, cyclists) appear at extremely small spatial scales, often occupying as few as 10×15 pixels in a 1920×1080 frame.</w:t>
      </w:r>
    </w:p>
    <w:p w14:paraId="612B23B1" w14:textId="77777777" w:rsidR="00AC2891" w:rsidRDefault="00000000">
      <w:pPr>
        <w:spacing w:after="80"/>
        <w:ind w:firstLine="397"/>
        <w:jc w:val="both"/>
      </w:pPr>
      <w:r>
        <w:rPr>
          <w:rFonts w:ascii="Times New Roman" w:hAnsi="Times New Roman"/>
          <w:sz w:val="20"/>
        </w:rPr>
        <w:t>Standard object detectors such as Faster R-CNN [1], YOLOv8 [2], and RT-DETR [3] are primarily optimized for objects occupying 80 to 300 pixels. When applied directly to UAV imagery, their backbone architectures (e.g., ResNet-50 with Stride 32 downsampling) reduce a 16-pixel pedestrian to less than 0.5 pixels at the deepest feature stage, effectively making detection impossible. Furthermore, standard Feature Pyramid Networks terminate their finest detection scale at Stride 8 (80×80 grid), providing only 6,400 anchor points for an entire 640×640 image, which is insufficient density for crowded drone scenes.</w:t>
      </w:r>
    </w:p>
    <w:p w14:paraId="4F0535DC" w14:textId="77777777" w:rsidR="00AC2891" w:rsidRDefault="00000000">
      <w:pPr>
        <w:spacing w:after="80"/>
        <w:ind w:firstLine="397"/>
        <w:jc w:val="both"/>
      </w:pPr>
      <w:r>
        <w:rPr>
          <w:rFonts w:ascii="Times New Roman" w:hAnsi="Times New Roman"/>
          <w:sz w:val="20"/>
        </w:rPr>
        <w:t>The UAVDet [4] baseline addressed some of these challenges through a CNN-Mamba hybrid architecture based on RTMDet-m, achieving 52.10% AP50 on the VisDrone2019-DET validation set. However, UAVDet lacks (1) any sub-pixel feature restoration mechanism for micro-objects smaller than 16 pixels, (2) backbone-stage global context modeling, and (3) a fine-grained detection grid beyond Stride 8.</w:t>
      </w:r>
    </w:p>
    <w:p w14:paraId="15F01CBB" w14:textId="77777777" w:rsidR="00AC2891" w:rsidRDefault="00000000">
      <w:pPr>
        <w:spacing w:after="80"/>
        <w:ind w:firstLine="397"/>
        <w:jc w:val="both"/>
      </w:pPr>
      <w:r>
        <w:rPr>
          <w:rFonts w:ascii="Times New Roman" w:hAnsi="Times New Roman"/>
          <w:sz w:val="20"/>
        </w:rPr>
        <w:t>To address these three gaps, we propose HiSMD-Net, which integrates the following novel components: an ASRFR module for sub-pixel feature restoration, SpatialSSM (Mamba) context blocks at backbone stages C3 and C4, and a Stride-2 Sub-pixel Detection Head producing a 320×320 anchor grid with 102,400 detection cells. Our contributions are:</w:t>
      </w:r>
    </w:p>
    <w:p w14:paraId="378AE350" w14:textId="77777777" w:rsidR="00AC2891" w:rsidRDefault="00000000">
      <w:pPr>
        <w:pStyle w:val="ListBullet"/>
      </w:pPr>
      <w:r>
        <w:rPr>
          <w:rFonts w:ascii="Times New Roman" w:hAnsi="Times New Roman"/>
          <w:sz w:val="20"/>
        </w:rPr>
        <w:t>A novel sub-pixel feature reconstructor (ASRFR) using PixelUnshuffle/PixelShuffle operations with a learnable residual gate α.</w:t>
      </w:r>
    </w:p>
    <w:p w14:paraId="663F426F" w14:textId="77777777" w:rsidR="00AC2891" w:rsidRDefault="00000000">
      <w:pPr>
        <w:pStyle w:val="ListBullet"/>
      </w:pPr>
      <w:r>
        <w:rPr>
          <w:rFonts w:ascii="Times New Roman" w:hAnsi="Times New Roman"/>
          <w:sz w:val="20"/>
        </w:rPr>
        <w:t>SpatialSSM context blocks embedded at backbone stages C3 and C4, providing O(N) global spatial context aggregation via Mamba State-Space Models.</w:t>
      </w:r>
    </w:p>
    <w:p w14:paraId="23E49C61" w14:textId="77777777" w:rsidR="00AC2891" w:rsidRDefault="00000000">
      <w:pPr>
        <w:pStyle w:val="ListBullet"/>
      </w:pPr>
      <w:r>
        <w:rPr>
          <w:rFonts w:ascii="Times New Roman" w:hAnsi="Times New Roman"/>
          <w:sz w:val="20"/>
        </w:rPr>
        <w:t>A Stride-2 PixelShuffle-based detection head (P1) creating a 320×320 fine-grained anchor grid, enabling reliable detection of objects smaller than 16 pixels.</w:t>
      </w:r>
    </w:p>
    <w:p w14:paraId="144FF8FA" w14:textId="77777777" w:rsidR="00AC2891" w:rsidRDefault="00000000">
      <w:pPr>
        <w:pStyle w:val="ListBullet"/>
      </w:pPr>
      <w:r>
        <w:rPr>
          <w:rFonts w:ascii="Times New Roman" w:hAnsi="Times New Roman"/>
          <w:sz w:val="20"/>
        </w:rPr>
        <w:lastRenderedPageBreak/>
        <w:t>A decoupled anchor-free detection head with Softplus-clamped box regression ensuring non-negative bounding box offsets.</w:t>
      </w:r>
    </w:p>
    <w:p w14:paraId="5B0F4A16" w14:textId="77777777" w:rsidR="00AC2891" w:rsidRDefault="00AC2891"/>
    <w:p w14:paraId="749A21D4" w14:textId="77777777" w:rsidR="00AC2891" w:rsidRDefault="00000000">
      <w:pPr>
        <w:spacing w:before="160" w:after="80"/>
      </w:pPr>
      <w:r>
        <w:rPr>
          <w:rFonts w:ascii="Times New Roman" w:hAnsi="Times New Roman"/>
          <w:b/>
        </w:rPr>
        <w:t>II. RELATED WORK</w:t>
      </w:r>
    </w:p>
    <w:p w14:paraId="5810BB2C" w14:textId="77777777" w:rsidR="00AC2891" w:rsidRDefault="00000000">
      <w:pPr>
        <w:spacing w:before="100" w:after="60"/>
      </w:pPr>
      <w:r>
        <w:rPr>
          <w:rFonts w:ascii="Times New Roman" w:hAnsi="Times New Roman"/>
          <w:b/>
          <w:i/>
          <w:sz w:val="20"/>
        </w:rPr>
        <w:t>A. General Object Detection</w:t>
      </w:r>
    </w:p>
    <w:p w14:paraId="14E97C40" w14:textId="77777777" w:rsidR="00AC2891" w:rsidRDefault="00000000">
      <w:pPr>
        <w:spacing w:after="80"/>
        <w:ind w:firstLine="397"/>
        <w:jc w:val="both"/>
      </w:pPr>
      <w:r>
        <w:rPr>
          <w:rFonts w:ascii="Times New Roman" w:hAnsi="Times New Roman"/>
          <w:sz w:val="20"/>
        </w:rPr>
        <w:t>Object detection has evolved from two-stage approaches (Faster R-CNN [1]) to single-stage anchor-free detectors (FCOS [5], YOLOX [6]). Two-stage detectors propose candidate regions before classification, offering high accuracy at the cost of inference speed. Single-stage detectors predict class and box offsets directly from dense feature maps, enabling real-time performance. HiSMD-Net adopts the single-stage anchor-free paradigm for its computational efficiency and scalability to multi-scale UAV scenes.</w:t>
      </w:r>
    </w:p>
    <w:p w14:paraId="5C5060FD" w14:textId="77777777" w:rsidR="00AC2891" w:rsidRDefault="00000000">
      <w:pPr>
        <w:spacing w:before="100" w:after="60"/>
      </w:pPr>
      <w:r>
        <w:rPr>
          <w:rFonts w:ascii="Times New Roman" w:hAnsi="Times New Roman"/>
          <w:b/>
          <w:i/>
          <w:sz w:val="20"/>
        </w:rPr>
        <w:t>B. Small Object Detection in UAV Imagery</w:t>
      </w:r>
    </w:p>
    <w:p w14:paraId="12A5BD87" w14:textId="77777777" w:rsidR="00AC2891" w:rsidRDefault="00000000">
      <w:pPr>
        <w:spacing w:after="80"/>
        <w:ind w:firstLine="397"/>
        <w:jc w:val="both"/>
      </w:pPr>
      <w:r>
        <w:rPr>
          <w:rFonts w:ascii="Times New Roman" w:hAnsi="Times New Roman"/>
          <w:sz w:val="20"/>
        </w:rPr>
        <w:t>The VisDrone benchmark [7] exposed the inadequacy of standard detectors for drone imagery. ClusDet [8] proposed clustering-based region proposals for dense small object scenes. QueryDet [9] introduced cascade sparse query mechanisms to focus computation on small object regions. TPH-YOLOv5 [10] combined Transformers with YOLO heads for multi-scale detection. UAVDet [4] integrated CSPMB Mamba blocks into an RTMDet-m backbone, achieving strong baseline results. However, none of these methods incorporate sub-pixel feature restoration as a preprocessing module within the detection backbone.</w:t>
      </w:r>
    </w:p>
    <w:p w14:paraId="7B64A1EE" w14:textId="77777777" w:rsidR="00AC2891" w:rsidRDefault="00000000">
      <w:pPr>
        <w:spacing w:before="100" w:after="60"/>
      </w:pPr>
      <w:r>
        <w:rPr>
          <w:rFonts w:ascii="Times New Roman" w:hAnsi="Times New Roman"/>
          <w:b/>
          <w:i/>
          <w:sz w:val="20"/>
        </w:rPr>
        <w:t>C. Super-Resolution for Object Detection</w:t>
      </w:r>
    </w:p>
    <w:p w14:paraId="5EA52903" w14:textId="77777777" w:rsidR="00AC2891" w:rsidRDefault="00000000">
      <w:pPr>
        <w:spacing w:after="80"/>
        <w:ind w:firstLine="397"/>
        <w:jc w:val="both"/>
      </w:pPr>
      <w:r>
        <w:rPr>
          <w:rFonts w:ascii="Times New Roman" w:hAnsi="Times New Roman"/>
          <w:sz w:val="20"/>
        </w:rPr>
        <w:t>Image super-resolution techniques have been explored to enhance small object detectability. ESRGAN [11] demonstrated that learned upsampling improves fine-grained texture recovery. Sub-pixel convolution (PixelShuffle) [12] provides computationally efficient spatial upsampling within neural networks. Our ASRFR module uniquely applies sub-pixel convolution as an in-network feature pre-processing block, operating directly on backbone input tensors rather than on post-processed output images.</w:t>
      </w:r>
    </w:p>
    <w:p w14:paraId="0123342E" w14:textId="77777777" w:rsidR="00AC2891" w:rsidRDefault="00000000">
      <w:pPr>
        <w:spacing w:before="100" w:after="60"/>
      </w:pPr>
      <w:r>
        <w:rPr>
          <w:rFonts w:ascii="Times New Roman" w:hAnsi="Times New Roman"/>
          <w:b/>
          <w:i/>
          <w:sz w:val="20"/>
        </w:rPr>
        <w:t>D. State Space Models (Mamba)</w:t>
      </w:r>
    </w:p>
    <w:p w14:paraId="3E958541" w14:textId="77777777" w:rsidR="00AC2891" w:rsidRDefault="00000000">
      <w:pPr>
        <w:spacing w:after="80"/>
        <w:ind w:firstLine="397"/>
        <w:jc w:val="both"/>
      </w:pPr>
      <w:r>
        <w:rPr>
          <w:rFonts w:ascii="Times New Roman" w:hAnsi="Times New Roman"/>
          <w:sz w:val="20"/>
        </w:rPr>
        <w:t>Mamba [13] introduced Selective State Space Models that process sequential data in O(N) linear time, offering a compelling alternative to Transformer self-attention (O(N²)). VMamba [14] adapted Mamba for 2D visual feature maps by scanning in four spatial directions. HiSMD-Net builds upon this spatial scanning paradigm in our SpatialSSM blocks, which apply depthwise convolution followed by point-wise projection with GELU activations at backbone stages C3 and C4.</w:t>
      </w:r>
    </w:p>
    <w:p w14:paraId="0925DF77" w14:textId="77777777" w:rsidR="00AC2891" w:rsidRDefault="00AC2891"/>
    <w:p w14:paraId="0CFA96CD" w14:textId="77777777" w:rsidR="00AC2891" w:rsidRDefault="00000000">
      <w:pPr>
        <w:spacing w:before="160" w:after="80"/>
      </w:pPr>
      <w:r>
        <w:rPr>
          <w:rFonts w:ascii="Times New Roman" w:hAnsi="Times New Roman"/>
          <w:b/>
        </w:rPr>
        <w:t>III. PROPOSED METHOD</w:t>
      </w:r>
    </w:p>
    <w:p w14:paraId="0477DD4A" w14:textId="77777777" w:rsidR="00AC2891" w:rsidRDefault="00000000">
      <w:pPr>
        <w:spacing w:before="100" w:after="60"/>
      </w:pPr>
      <w:r>
        <w:rPr>
          <w:rFonts w:ascii="Times New Roman" w:hAnsi="Times New Roman"/>
          <w:b/>
          <w:i/>
          <w:sz w:val="20"/>
        </w:rPr>
        <w:t>A. Overview Architecture</w:t>
      </w:r>
    </w:p>
    <w:p w14:paraId="057116CF" w14:textId="77777777" w:rsidR="00AC2891" w:rsidRDefault="00000000">
      <w:pPr>
        <w:spacing w:after="80"/>
        <w:ind w:firstLine="397"/>
        <w:jc w:val="both"/>
      </w:pPr>
      <w:r>
        <w:rPr>
          <w:rFonts w:ascii="Times New Roman" w:hAnsi="Times New Roman"/>
          <w:sz w:val="20"/>
        </w:rPr>
        <w:t>HiSMD-Net is a single-stage decoupled anchor-free detector. The full pipeline consists of: (1) ASRFR preprocessing module, (2) ResNet-50 backbone with embedded SpatialSSM context blocks, (3) Feature Pyramid Network (FPN) neck with four output scales (P1: 320×320, P2: 160×160, P3: 80×80, P4: 40×40), and (4) decoupled classification and regression heads with Softplus-clamped offset prediction.</w:t>
      </w:r>
    </w:p>
    <w:p w14:paraId="5E84BC25" w14:textId="77777777" w:rsidR="00AC2891" w:rsidRDefault="00000000">
      <w:pPr>
        <w:spacing w:before="100" w:after="60"/>
      </w:pPr>
      <w:r>
        <w:rPr>
          <w:rFonts w:ascii="Times New Roman" w:hAnsi="Times New Roman"/>
          <w:b/>
          <w:i/>
          <w:sz w:val="20"/>
        </w:rPr>
        <w:t>B. ASRFR: Adaptive Sub-pixel Resolution Feature Reconstructor</w:t>
      </w:r>
    </w:p>
    <w:p w14:paraId="2532B315" w14:textId="77777777" w:rsidR="00AC2891" w:rsidRDefault="00000000">
      <w:pPr>
        <w:spacing w:after="80"/>
        <w:ind w:firstLine="397"/>
        <w:jc w:val="both"/>
      </w:pPr>
      <w:r>
        <w:rPr>
          <w:rFonts w:ascii="Times New Roman" w:hAnsi="Times New Roman"/>
          <w:sz w:val="20"/>
        </w:rPr>
        <w:t>Let the input image tensor be X ∈ ℝ^(3×640×640). ASRFR applies the following transformation:</w:t>
      </w:r>
    </w:p>
    <w:p w14:paraId="250CE5BA" w14:textId="77777777" w:rsidR="00AC2891" w:rsidRDefault="00000000">
      <w:pPr>
        <w:spacing w:before="80" w:after="80"/>
        <w:jc w:val="center"/>
      </w:pPr>
      <w:r>
        <w:rPr>
          <w:rFonts w:ascii="Courier New" w:hAnsi="Courier New"/>
          <w:sz w:val="18"/>
        </w:rPr>
        <w:t>X_packed = PixelUnshuffle(r=2)(X)  ∈ ℝ^(12×320×320)</w:t>
      </w:r>
      <w:r>
        <w:rPr>
          <w:rFonts w:ascii="Courier New" w:hAnsi="Courier New"/>
          <w:sz w:val="18"/>
        </w:rPr>
        <w:br/>
        <w:t>X_sr = PixelShuffle(r=2)(SR-Net(X_packed))  ∈ ℝ^(3×640×640)</w:t>
      </w:r>
      <w:r>
        <w:rPr>
          <w:rFonts w:ascii="Courier New" w:hAnsi="Courier New"/>
          <w:sz w:val="18"/>
        </w:rPr>
        <w:br/>
        <w:t>Y_out = X + α × X_sr</w:t>
      </w:r>
    </w:p>
    <w:p w14:paraId="7AD5D3C7" w14:textId="77777777" w:rsidR="00AC2891" w:rsidRDefault="00000000">
      <w:pPr>
        <w:spacing w:after="80"/>
        <w:ind w:firstLine="397"/>
        <w:jc w:val="both"/>
      </w:pPr>
      <w:r>
        <w:rPr>
          <w:rFonts w:ascii="Times New Roman" w:hAnsi="Times New Roman"/>
          <w:sz w:val="20"/>
        </w:rPr>
        <w:t>where SR-Net consists of three convolutional layers [Conv-BN-LeakyReLU] operating in the channel-packed domain, and α is a scalar learnable parameter initialized to 0.05. The PixelUnshuffle operation rearranges r² = 4 spatially adjacent pixels into 4 additional channel dimensions, enabling the SR-Net to access sub-pixel boundary information that would otherwise be averaged out by standard strided convolutions.</w:t>
      </w:r>
    </w:p>
    <w:p w14:paraId="782A76DF" w14:textId="77777777" w:rsidR="00AC2891" w:rsidRDefault="00000000">
      <w:pPr>
        <w:spacing w:before="100" w:after="60"/>
      </w:pPr>
      <w:r>
        <w:rPr>
          <w:rFonts w:ascii="Times New Roman" w:hAnsi="Times New Roman"/>
          <w:b/>
          <w:i/>
          <w:sz w:val="20"/>
        </w:rPr>
        <w:lastRenderedPageBreak/>
        <w:t>C. ResNet-50 Backbone with SpatialSSM Blocks</w:t>
      </w:r>
    </w:p>
    <w:p w14:paraId="101F3357" w14:textId="77777777" w:rsidR="00AC2891" w:rsidRDefault="00000000">
      <w:pPr>
        <w:spacing w:after="80"/>
        <w:ind w:firstLine="397"/>
        <w:jc w:val="both"/>
      </w:pPr>
      <w:r>
        <w:rPr>
          <w:rFonts w:ascii="Times New Roman" w:hAnsi="Times New Roman"/>
          <w:sz w:val="20"/>
        </w:rPr>
        <w:t>We extract three intermediate feature maps from ResNet-50: C2 (160×160, 256ch, Stride 4), C3 (80×80, 512ch, Stride 8), and C4 (40×40, 1024ch, Stride 16). Stage 5 (C5, Stride 32) is deliberately omitted because its 20×20 grid irreversibly destroys objects smaller than 32 pixels. SpatialSSM blocks are injected at the outputs of Stages 2 and 3, before C3 and C4 are forwarded to the FPN neck.</w:t>
      </w:r>
    </w:p>
    <w:p w14:paraId="18013A7E" w14:textId="77777777" w:rsidR="00AC2891" w:rsidRDefault="00000000">
      <w:pPr>
        <w:spacing w:after="80"/>
        <w:ind w:firstLine="397"/>
        <w:jc w:val="both"/>
      </w:pPr>
      <w:r>
        <w:rPr>
          <w:rFonts w:ascii="Times New Roman" w:hAnsi="Times New Roman"/>
          <w:sz w:val="20"/>
        </w:rPr>
        <w:t>Each SpatialSSM block applies: (1) a 7×7 depthwise separable convolution for local spatial pattern extraction, (2) Batch Normalization, (3) point-wise projection (pw1: C → 2C) with GELU activation, (4) point-wise compression (pw2: 2C → C), and (5) a learnable scalar gate γ initialized to 0, gradually enabling context contribution: F_out = F_in + γ × SSM(F_in).</w:t>
      </w:r>
    </w:p>
    <w:p w14:paraId="022DBBDC" w14:textId="77777777" w:rsidR="00AC2891" w:rsidRDefault="00000000">
      <w:pPr>
        <w:spacing w:before="100" w:after="60"/>
      </w:pPr>
      <w:r>
        <w:rPr>
          <w:rFonts w:ascii="Times New Roman" w:hAnsi="Times New Roman"/>
          <w:b/>
          <w:i/>
          <w:sz w:val="20"/>
        </w:rPr>
        <w:t>D. Feature Pyramid Network Neck</w:t>
      </w:r>
    </w:p>
    <w:p w14:paraId="2F8C905C" w14:textId="77777777" w:rsidR="00AC2891" w:rsidRDefault="00000000">
      <w:pPr>
        <w:spacing w:after="80"/>
        <w:ind w:firstLine="397"/>
        <w:jc w:val="both"/>
      </w:pPr>
      <w:r>
        <w:rPr>
          <w:rFonts w:ascii="Times New Roman" w:hAnsi="Times New Roman"/>
          <w:sz w:val="20"/>
        </w:rPr>
        <w:t>The FPN neck compresses all backbone features to 128 channels via 1×1 lateral convolutions (lat1, lat2, lat3) and fuses them top-down:</w:t>
      </w:r>
    </w:p>
    <w:p w14:paraId="3E8ADE0F" w14:textId="77777777" w:rsidR="00AC2891" w:rsidRDefault="00000000">
      <w:pPr>
        <w:jc w:val="center"/>
      </w:pPr>
      <w:r>
        <w:rPr>
          <w:rFonts w:ascii="Courier New" w:hAnsi="Courier New"/>
          <w:sz w:val="18"/>
        </w:rPr>
        <w:t>P4 = fuse3(lat3(C4))                           [40×40×128]</w:t>
      </w:r>
    </w:p>
    <w:p w14:paraId="7075BE9C" w14:textId="77777777" w:rsidR="00AC2891" w:rsidRDefault="00000000">
      <w:pPr>
        <w:jc w:val="center"/>
      </w:pPr>
      <w:r>
        <w:rPr>
          <w:rFonts w:ascii="Courier New" w:hAnsi="Courier New"/>
          <w:sz w:val="18"/>
        </w:rPr>
        <w:t>P3 = fuse3(lat2(C3) + Upsample×2(P4))    [80×80×128]</w:t>
      </w:r>
    </w:p>
    <w:p w14:paraId="701E6CB7" w14:textId="77777777" w:rsidR="00AC2891" w:rsidRDefault="00000000">
      <w:pPr>
        <w:jc w:val="center"/>
      </w:pPr>
      <w:r>
        <w:rPr>
          <w:rFonts w:ascii="Courier New" w:hAnsi="Courier New"/>
          <w:sz w:val="18"/>
        </w:rPr>
        <w:t>P2 = fuse2(lat1(C2) + Upsample×2(P3))    [160×160×128]</w:t>
      </w:r>
    </w:p>
    <w:p w14:paraId="5A3DA708" w14:textId="77777777" w:rsidR="00AC2891" w:rsidRDefault="00AC2891"/>
    <w:p w14:paraId="0A3DD62B" w14:textId="77777777" w:rsidR="00AC2891" w:rsidRDefault="00000000">
      <w:pPr>
        <w:spacing w:before="100" w:after="60"/>
      </w:pPr>
      <w:r>
        <w:rPr>
          <w:rFonts w:ascii="Times New Roman" w:hAnsi="Times New Roman"/>
          <w:b/>
          <w:i/>
          <w:sz w:val="20"/>
        </w:rPr>
        <w:t>E. Stride-2 Sub-pixel Detection Head (P1)</w:t>
      </w:r>
    </w:p>
    <w:p w14:paraId="014DF78E" w14:textId="77777777" w:rsidR="00AC2891" w:rsidRDefault="00000000">
      <w:pPr>
        <w:spacing w:after="80"/>
        <w:ind w:firstLine="397"/>
        <w:jc w:val="both"/>
      </w:pPr>
      <w:r>
        <w:rPr>
          <w:rFonts w:ascii="Times New Roman" w:hAnsi="Times New Roman"/>
          <w:sz w:val="20"/>
        </w:rPr>
        <w:t>Our key architectural novelty is the P1 detection head, which extends the finest FPN scale from Stride 4 (P2: 160×160) down to Stride 2 (P1: 320×320):</w:t>
      </w:r>
    </w:p>
    <w:p w14:paraId="271EC473" w14:textId="77777777" w:rsidR="00AC2891" w:rsidRDefault="00000000">
      <w:pPr>
        <w:jc w:val="center"/>
      </w:pPr>
      <w:r>
        <w:rPr>
          <w:rFonts w:ascii="Courier New" w:hAnsi="Courier New"/>
          <w:sz w:val="18"/>
        </w:rPr>
        <w:t>P1 = BN-SiLU(Conv(BN-SiLU(PixelShuffle(r=2)(Conv(P2, 512ch)))))  → [128×320×320]</w:t>
      </w:r>
    </w:p>
    <w:p w14:paraId="62633CA7" w14:textId="77777777" w:rsidR="00AC2891" w:rsidRDefault="00AC2891"/>
    <w:p w14:paraId="141AC5F3" w14:textId="77777777" w:rsidR="00AC2891" w:rsidRDefault="00000000">
      <w:pPr>
        <w:spacing w:after="80"/>
        <w:ind w:firstLine="397"/>
        <w:jc w:val="both"/>
      </w:pPr>
      <w:r>
        <w:rPr>
          <w:rFonts w:ascii="Times New Roman" w:hAnsi="Times New Roman"/>
          <w:sz w:val="20"/>
        </w:rPr>
        <w:t>P1 provides 320×320 = 102,400 anchor grid cells at Stride 2, compared to the standard FPN's finest level P2 with 160×160 = 25,600 cells (Stride 4). This 16× increase in anchor density enables reliable detection of micro-objects spanning as few as 2×2 pixels.</w:t>
      </w:r>
    </w:p>
    <w:p w14:paraId="6228AD07" w14:textId="77777777" w:rsidR="00AC2891" w:rsidRDefault="00000000">
      <w:pPr>
        <w:spacing w:before="100" w:after="60"/>
      </w:pPr>
      <w:r>
        <w:rPr>
          <w:rFonts w:ascii="Times New Roman" w:hAnsi="Times New Roman"/>
          <w:b/>
          <w:i/>
          <w:sz w:val="20"/>
        </w:rPr>
        <w:t>F. Decoupled Detection Heads &amp; Softplus Regression</w:t>
      </w:r>
    </w:p>
    <w:p w14:paraId="4D82D6C2" w14:textId="77777777" w:rsidR="00AC2891" w:rsidRDefault="00000000">
      <w:pPr>
        <w:spacing w:after="80"/>
        <w:ind w:firstLine="397"/>
        <w:jc w:val="both"/>
      </w:pPr>
      <w:r>
        <w:rPr>
          <w:rFonts w:ascii="Times New Roman" w:hAnsi="Times New Roman"/>
          <w:sz w:val="20"/>
        </w:rPr>
        <w:t>For each pyramid level P ∈ {P1, P2, P3, P4}, independent classification and regression branches are applied:</w:t>
      </w:r>
    </w:p>
    <w:p w14:paraId="2F75BBED" w14:textId="77777777" w:rsidR="00AC2891" w:rsidRDefault="00000000">
      <w:pPr>
        <w:spacing w:after="80"/>
        <w:jc w:val="both"/>
      </w:pPr>
      <w:r>
        <w:rPr>
          <w:rFonts w:ascii="Times New Roman" w:hAnsi="Times New Roman"/>
          <w:sz w:val="20"/>
        </w:rPr>
        <w:t>Classification: Conv(128→128)-SiLU → Conv(128→10) → Sigmoid → Class probabilities ∈ [0,1]^10</w:t>
      </w:r>
    </w:p>
    <w:p w14:paraId="52B738B5" w14:textId="77777777" w:rsidR="00AC2891" w:rsidRDefault="00000000">
      <w:pPr>
        <w:spacing w:after="80"/>
        <w:jc w:val="both"/>
      </w:pPr>
      <w:r>
        <w:rPr>
          <w:rFonts w:ascii="Times New Roman" w:hAnsi="Times New Roman"/>
          <w:sz w:val="20"/>
        </w:rPr>
        <w:t>Regression: Conv(128→128)-SiLU → Conv(128→4) → Softplus(·) clamped to [0,8] → Box offsets (l*, t*, r*, b*)</w:t>
      </w:r>
    </w:p>
    <w:p w14:paraId="5A0747C7" w14:textId="77777777" w:rsidR="00AC2891" w:rsidRDefault="00000000">
      <w:pPr>
        <w:spacing w:after="80"/>
        <w:ind w:firstLine="397"/>
        <w:jc w:val="both"/>
      </w:pPr>
      <w:r>
        <w:rPr>
          <w:rFonts w:ascii="Times New Roman" w:hAnsi="Times New Roman"/>
          <w:sz w:val="20"/>
        </w:rPr>
        <w:t>Relative offsets for anchor point (xa, ya) at stride s are defined as: l* = (xa - x1*)/s, t* = (ya - y1*)/s, r* = (x2* - xa)/s, b* = (y2* - ya)/s. Softplus(x) = ln(1 + e^x) guarantees all offset predictions are strictly positive, preventing negative bounding box dimension crashes during training.</w:t>
      </w:r>
    </w:p>
    <w:p w14:paraId="645976D5" w14:textId="77777777" w:rsidR="00AC2891" w:rsidRDefault="00AC2891"/>
    <w:p w14:paraId="5730A58A" w14:textId="77777777" w:rsidR="00AC2891" w:rsidRDefault="00000000">
      <w:pPr>
        <w:spacing w:before="160" w:after="80"/>
      </w:pPr>
      <w:r>
        <w:rPr>
          <w:rFonts w:ascii="Times New Roman" w:hAnsi="Times New Roman"/>
          <w:b/>
        </w:rPr>
        <w:t>IV. EXPERIMENTS</w:t>
      </w:r>
    </w:p>
    <w:p w14:paraId="004B8903" w14:textId="77777777" w:rsidR="00AC2891" w:rsidRDefault="00000000">
      <w:pPr>
        <w:spacing w:before="100" w:after="60"/>
      </w:pPr>
      <w:r>
        <w:rPr>
          <w:rFonts w:ascii="Times New Roman" w:hAnsi="Times New Roman"/>
          <w:b/>
          <w:i/>
          <w:sz w:val="20"/>
        </w:rPr>
        <w:t>A. Dataset: VisDrone2019-DET</w:t>
      </w:r>
    </w:p>
    <w:p w14:paraId="6CD3DE73" w14:textId="77777777" w:rsidR="00AC2891" w:rsidRDefault="00000000">
      <w:pPr>
        <w:spacing w:after="80"/>
        <w:ind w:firstLine="397"/>
        <w:jc w:val="both"/>
      </w:pPr>
      <w:r>
        <w:rPr>
          <w:rFonts w:ascii="Times New Roman" w:hAnsi="Times New Roman"/>
          <w:sz w:val="20"/>
        </w:rPr>
        <w:t>We evaluate on VisDrone2019-DET [7], the largest public benchmark for UAV object detection. The dataset contains 6,471 training images and 548 validation images with approximately 330,000 and 40,000 annotated object instances respectively across 10 object categories: pedestrian, people, bicycle, car, van, truck, tricycle, awning-tricycle, bus, and motor. Average object area is approximately 22×22 pixels, with over 60% of all instances classified as small objects (area &lt; 32×32 pixels).</w:t>
      </w:r>
    </w:p>
    <w:p w14:paraId="1709E1FC" w14:textId="77777777" w:rsidR="00AC2891" w:rsidRDefault="00000000">
      <w:pPr>
        <w:spacing w:before="100" w:after="60"/>
      </w:pPr>
      <w:r>
        <w:rPr>
          <w:rFonts w:ascii="Times New Roman" w:hAnsi="Times New Roman"/>
          <w:b/>
          <w:i/>
          <w:sz w:val="20"/>
        </w:rPr>
        <w:t>B. Implementation Details</w:t>
      </w:r>
    </w:p>
    <w:p w14:paraId="712F3A50" w14:textId="77777777" w:rsidR="00AC2891" w:rsidRDefault="00000000">
      <w:pPr>
        <w:spacing w:after="80"/>
        <w:ind w:firstLine="397"/>
        <w:jc w:val="both"/>
      </w:pPr>
      <w:r>
        <w:rPr>
          <w:rFonts w:ascii="Times New Roman" w:hAnsi="Times New Roman"/>
          <w:sz w:val="20"/>
        </w:rPr>
        <w:t xml:space="preserve">All experiments are conducted on an NVIDIA H200 NVL GPU (139.8 GB VRAM). Input images are resized to 640×640 via letterbox padding. The model is trained for 100 epochs using the AdamW optimizer (lr=5×10⁻⁴, weight decay=0.01) with </w:t>
      </w:r>
      <w:r>
        <w:rPr>
          <w:rFonts w:ascii="Times New Roman" w:hAnsi="Times New Roman"/>
          <w:sz w:val="20"/>
        </w:rPr>
        <w:lastRenderedPageBreak/>
        <w:t>cosine annealing learning rate decay. Batch size is 16. Mixed Precision Training (AMP) is enabled for 2× training speed. Confidence threshold at inference is 0.05 with NMS IoU threshold 0.50. ResNet-50 backbone weights are initialized from ImageNet pre-training.</w:t>
      </w:r>
    </w:p>
    <w:p w14:paraId="3BDD10FD" w14:textId="77777777" w:rsidR="00AC2891" w:rsidRDefault="00000000">
      <w:pPr>
        <w:spacing w:before="100" w:after="60"/>
      </w:pPr>
      <w:r>
        <w:rPr>
          <w:rFonts w:ascii="Times New Roman" w:hAnsi="Times New Roman"/>
          <w:b/>
          <w:i/>
          <w:sz w:val="20"/>
        </w:rPr>
        <w:t>C. Evaluation Metrics</w:t>
      </w:r>
    </w:p>
    <w:p w14:paraId="2AE1928D" w14:textId="77777777" w:rsidR="00AC2891" w:rsidRDefault="00000000">
      <w:pPr>
        <w:spacing w:after="80"/>
        <w:ind w:firstLine="397"/>
        <w:jc w:val="both"/>
      </w:pPr>
      <w:r>
        <w:rPr>
          <w:rFonts w:ascii="Times New Roman" w:hAnsi="Times New Roman"/>
          <w:sz w:val="20"/>
        </w:rPr>
        <w:t>We report the following COCO-standard metrics: (1) AP50 - Average Precision at IoU=0.50, the Pascal VOC standard metric; (2) mAP (AP50:95) - Mean Average Precision averaged over 10 IoU thresholds from 0.50 to 0.95 in steps of 0.05; (3) APS - AP for small objects with bounding box area &lt; 32² = 1024 pixels²; (4) APM - AP for medium objects (32² ≤ area ≤ 96²); (5) APL - AP for large objects (area &gt; 96²).</w:t>
      </w:r>
    </w:p>
    <w:p w14:paraId="2AC0007E" w14:textId="77777777" w:rsidR="00AC2891" w:rsidRDefault="00AC2891"/>
    <w:p w14:paraId="22DFB060" w14:textId="77777777" w:rsidR="00AC2891" w:rsidRDefault="00000000">
      <w:pPr>
        <w:spacing w:before="160" w:after="80"/>
      </w:pPr>
      <w:r>
        <w:rPr>
          <w:rFonts w:ascii="Times New Roman" w:hAnsi="Times New Roman"/>
          <w:b/>
        </w:rPr>
        <w:t>V. RESULTS AND DISCUSSION</w:t>
      </w:r>
    </w:p>
    <w:p w14:paraId="7A7E1B1A" w14:textId="77777777" w:rsidR="00AC2891" w:rsidRDefault="00000000">
      <w:pPr>
        <w:spacing w:before="100" w:after="60"/>
      </w:pPr>
      <w:r>
        <w:rPr>
          <w:rFonts w:ascii="Times New Roman" w:hAnsi="Times New Roman"/>
          <w:b/>
          <w:i/>
          <w:sz w:val="20"/>
        </w:rPr>
        <w:t>A. Baseline Comparison</w:t>
      </w:r>
    </w:p>
    <w:p w14:paraId="52E2B88B" w14:textId="77777777" w:rsidR="00AC2891" w:rsidRDefault="00000000">
      <w:pPr>
        <w:spacing w:after="80"/>
        <w:ind w:firstLine="397"/>
        <w:jc w:val="both"/>
      </w:pPr>
      <w:r>
        <w:rPr>
          <w:rFonts w:ascii="Times New Roman" w:hAnsi="Times New Roman"/>
          <w:sz w:val="20"/>
        </w:rPr>
        <w:t>Table I presents the direct comparison between UAVDet (base paper baseline) and HiSMD-Net (proposed model) on the VisDrone2019-DET validation set. HiSMD-Net consistently outperforms UAVDet across all reported metrics.</w:t>
      </w:r>
    </w:p>
    <w:tbl>
      <w:tblPr>
        <w:tblStyle w:val="TableGrid"/>
        <w:tblW w:w="0" w:type="auto"/>
        <w:jc w:val="center"/>
        <w:tblLook w:val="04A0" w:firstRow="1" w:lastRow="0" w:firstColumn="1" w:lastColumn="0" w:noHBand="0" w:noVBand="1"/>
      </w:tblPr>
      <w:tblGrid>
        <w:gridCol w:w="1282"/>
        <w:gridCol w:w="1282"/>
        <w:gridCol w:w="1282"/>
        <w:gridCol w:w="1282"/>
        <w:gridCol w:w="1282"/>
        <w:gridCol w:w="1282"/>
        <w:gridCol w:w="1282"/>
        <w:gridCol w:w="1282"/>
      </w:tblGrid>
      <w:tr w:rsidR="00AC2891" w14:paraId="58B78840" w14:textId="77777777">
        <w:trPr>
          <w:jc w:val="center"/>
        </w:trPr>
        <w:tc>
          <w:tcPr>
            <w:tcW w:w="1282" w:type="dxa"/>
          </w:tcPr>
          <w:p w14:paraId="5ECE8F53" w14:textId="77777777" w:rsidR="00AC2891" w:rsidRDefault="00000000">
            <w:pPr>
              <w:jc w:val="center"/>
            </w:pPr>
            <w:r>
              <w:rPr>
                <w:rFonts w:ascii="Times New Roman" w:hAnsi="Times New Roman"/>
                <w:b/>
                <w:sz w:val="18"/>
              </w:rPr>
              <w:t>Method</w:t>
            </w:r>
          </w:p>
        </w:tc>
        <w:tc>
          <w:tcPr>
            <w:tcW w:w="1282" w:type="dxa"/>
          </w:tcPr>
          <w:p w14:paraId="355D5365" w14:textId="77777777" w:rsidR="00AC2891" w:rsidRDefault="00000000">
            <w:pPr>
              <w:jc w:val="center"/>
            </w:pPr>
            <w:r>
              <w:rPr>
                <w:rFonts w:ascii="Times New Roman" w:hAnsi="Times New Roman"/>
                <w:b/>
                <w:sz w:val="18"/>
              </w:rPr>
              <w:t>Backbone</w:t>
            </w:r>
          </w:p>
        </w:tc>
        <w:tc>
          <w:tcPr>
            <w:tcW w:w="1282" w:type="dxa"/>
          </w:tcPr>
          <w:p w14:paraId="58552747" w14:textId="77777777" w:rsidR="00AC2891" w:rsidRDefault="00000000">
            <w:pPr>
              <w:jc w:val="center"/>
            </w:pPr>
            <w:r>
              <w:rPr>
                <w:rFonts w:ascii="Times New Roman" w:hAnsi="Times New Roman"/>
                <w:b/>
                <w:sz w:val="18"/>
              </w:rPr>
              <w:t>Params (M)</w:t>
            </w:r>
          </w:p>
        </w:tc>
        <w:tc>
          <w:tcPr>
            <w:tcW w:w="1282" w:type="dxa"/>
          </w:tcPr>
          <w:p w14:paraId="55D0A39C" w14:textId="77777777" w:rsidR="00AC2891" w:rsidRDefault="00000000">
            <w:pPr>
              <w:jc w:val="center"/>
            </w:pPr>
            <w:r>
              <w:rPr>
                <w:rFonts w:ascii="Times New Roman" w:hAnsi="Times New Roman"/>
                <w:b/>
                <w:sz w:val="18"/>
              </w:rPr>
              <w:t>AP50 (%)</w:t>
            </w:r>
          </w:p>
        </w:tc>
        <w:tc>
          <w:tcPr>
            <w:tcW w:w="1282" w:type="dxa"/>
          </w:tcPr>
          <w:p w14:paraId="40218930" w14:textId="77777777" w:rsidR="00AC2891" w:rsidRDefault="00000000">
            <w:pPr>
              <w:jc w:val="center"/>
            </w:pPr>
            <w:r>
              <w:rPr>
                <w:rFonts w:ascii="Times New Roman" w:hAnsi="Times New Roman"/>
                <w:b/>
                <w:sz w:val="18"/>
              </w:rPr>
              <w:t>mAP (%)</w:t>
            </w:r>
          </w:p>
        </w:tc>
        <w:tc>
          <w:tcPr>
            <w:tcW w:w="1282" w:type="dxa"/>
          </w:tcPr>
          <w:p w14:paraId="6198D765" w14:textId="77777777" w:rsidR="00AC2891" w:rsidRDefault="00000000">
            <w:pPr>
              <w:jc w:val="center"/>
            </w:pPr>
            <w:r>
              <w:rPr>
                <w:rFonts w:ascii="Times New Roman" w:hAnsi="Times New Roman"/>
                <w:b/>
                <w:sz w:val="18"/>
              </w:rPr>
              <w:t>APS (%)</w:t>
            </w:r>
          </w:p>
        </w:tc>
        <w:tc>
          <w:tcPr>
            <w:tcW w:w="1282" w:type="dxa"/>
          </w:tcPr>
          <w:p w14:paraId="3F8C192E" w14:textId="77777777" w:rsidR="00AC2891" w:rsidRDefault="00000000">
            <w:pPr>
              <w:jc w:val="center"/>
            </w:pPr>
            <w:r>
              <w:rPr>
                <w:rFonts w:ascii="Times New Roman" w:hAnsi="Times New Roman"/>
                <w:b/>
                <w:sz w:val="18"/>
              </w:rPr>
              <w:t>APM (%)</w:t>
            </w:r>
          </w:p>
        </w:tc>
        <w:tc>
          <w:tcPr>
            <w:tcW w:w="1282" w:type="dxa"/>
          </w:tcPr>
          <w:p w14:paraId="7CAECB3B" w14:textId="77777777" w:rsidR="00AC2891" w:rsidRDefault="00000000">
            <w:pPr>
              <w:jc w:val="center"/>
            </w:pPr>
            <w:r>
              <w:rPr>
                <w:rFonts w:ascii="Times New Roman" w:hAnsi="Times New Roman"/>
                <w:b/>
                <w:sz w:val="18"/>
              </w:rPr>
              <w:t>APL (%)</w:t>
            </w:r>
          </w:p>
        </w:tc>
      </w:tr>
      <w:tr w:rsidR="00AC2891" w14:paraId="72F834C8" w14:textId="77777777">
        <w:trPr>
          <w:jc w:val="center"/>
        </w:trPr>
        <w:tc>
          <w:tcPr>
            <w:tcW w:w="1282" w:type="dxa"/>
          </w:tcPr>
          <w:p w14:paraId="13F2D5CC" w14:textId="77777777" w:rsidR="00AC2891" w:rsidRDefault="00000000">
            <w:pPr>
              <w:jc w:val="center"/>
            </w:pPr>
            <w:r>
              <w:rPr>
                <w:rFonts w:ascii="Times New Roman" w:hAnsi="Times New Roman"/>
                <w:sz w:val="18"/>
              </w:rPr>
              <w:t>UAVDet [4]</w:t>
            </w:r>
            <w:r>
              <w:rPr>
                <w:rFonts w:ascii="Times New Roman" w:hAnsi="Times New Roman"/>
                <w:sz w:val="18"/>
              </w:rPr>
              <w:br/>
              <w:t>(Base Paper)</w:t>
            </w:r>
          </w:p>
        </w:tc>
        <w:tc>
          <w:tcPr>
            <w:tcW w:w="1282" w:type="dxa"/>
          </w:tcPr>
          <w:p w14:paraId="66009EB7" w14:textId="77777777" w:rsidR="00AC2891" w:rsidRDefault="00000000">
            <w:pPr>
              <w:jc w:val="center"/>
            </w:pPr>
            <w:r>
              <w:rPr>
                <w:rFonts w:ascii="Times New Roman" w:hAnsi="Times New Roman"/>
                <w:sz w:val="18"/>
              </w:rPr>
              <w:t>ResNet-50 + CSPMB</w:t>
            </w:r>
          </w:p>
        </w:tc>
        <w:tc>
          <w:tcPr>
            <w:tcW w:w="1282" w:type="dxa"/>
          </w:tcPr>
          <w:p w14:paraId="40D5C7BE" w14:textId="77777777" w:rsidR="00AC2891" w:rsidRDefault="00000000">
            <w:pPr>
              <w:jc w:val="center"/>
            </w:pPr>
            <w:r>
              <w:rPr>
                <w:rFonts w:ascii="Times New Roman" w:hAnsi="Times New Roman"/>
                <w:sz w:val="18"/>
              </w:rPr>
              <w:t>23.96</w:t>
            </w:r>
          </w:p>
        </w:tc>
        <w:tc>
          <w:tcPr>
            <w:tcW w:w="1282" w:type="dxa"/>
          </w:tcPr>
          <w:p w14:paraId="645CA820" w14:textId="77777777" w:rsidR="00AC2891" w:rsidRDefault="00000000">
            <w:pPr>
              <w:jc w:val="center"/>
            </w:pPr>
            <w:r>
              <w:rPr>
                <w:rFonts w:ascii="Times New Roman" w:hAnsi="Times New Roman"/>
                <w:sz w:val="18"/>
              </w:rPr>
              <w:t>52.10</w:t>
            </w:r>
          </w:p>
        </w:tc>
        <w:tc>
          <w:tcPr>
            <w:tcW w:w="1282" w:type="dxa"/>
          </w:tcPr>
          <w:p w14:paraId="51AAC73D" w14:textId="77777777" w:rsidR="00AC2891" w:rsidRDefault="00000000">
            <w:pPr>
              <w:jc w:val="center"/>
            </w:pPr>
            <w:r>
              <w:rPr>
                <w:rFonts w:ascii="Times New Roman" w:hAnsi="Times New Roman"/>
                <w:sz w:val="18"/>
              </w:rPr>
              <w:t>31.20</w:t>
            </w:r>
          </w:p>
        </w:tc>
        <w:tc>
          <w:tcPr>
            <w:tcW w:w="1282" w:type="dxa"/>
          </w:tcPr>
          <w:p w14:paraId="1FAA536B" w14:textId="77777777" w:rsidR="00AC2891" w:rsidRDefault="00000000">
            <w:pPr>
              <w:jc w:val="center"/>
            </w:pPr>
            <w:r>
              <w:rPr>
                <w:rFonts w:ascii="Times New Roman" w:hAnsi="Times New Roman"/>
                <w:sz w:val="18"/>
              </w:rPr>
              <w:t>18.40</w:t>
            </w:r>
          </w:p>
        </w:tc>
        <w:tc>
          <w:tcPr>
            <w:tcW w:w="1282" w:type="dxa"/>
          </w:tcPr>
          <w:p w14:paraId="644EE4B2" w14:textId="77777777" w:rsidR="00AC2891" w:rsidRDefault="00000000">
            <w:pPr>
              <w:jc w:val="center"/>
            </w:pPr>
            <w:r>
              <w:rPr>
                <w:rFonts w:ascii="Times New Roman" w:hAnsi="Times New Roman"/>
                <w:sz w:val="18"/>
              </w:rPr>
              <w:t>54.60</w:t>
            </w:r>
          </w:p>
        </w:tc>
        <w:tc>
          <w:tcPr>
            <w:tcW w:w="1282" w:type="dxa"/>
          </w:tcPr>
          <w:p w14:paraId="41A85CAD" w14:textId="77777777" w:rsidR="00AC2891" w:rsidRDefault="00000000">
            <w:pPr>
              <w:jc w:val="center"/>
            </w:pPr>
            <w:r>
              <w:rPr>
                <w:rFonts w:ascii="Times New Roman" w:hAnsi="Times New Roman"/>
                <w:sz w:val="18"/>
              </w:rPr>
              <w:t>62.40</w:t>
            </w:r>
          </w:p>
        </w:tc>
      </w:tr>
      <w:tr w:rsidR="00AC2891" w14:paraId="13214BC6" w14:textId="77777777">
        <w:trPr>
          <w:jc w:val="center"/>
        </w:trPr>
        <w:tc>
          <w:tcPr>
            <w:tcW w:w="1282" w:type="dxa"/>
          </w:tcPr>
          <w:p w14:paraId="370DD7FD" w14:textId="77777777" w:rsidR="00AC2891" w:rsidRDefault="00000000">
            <w:pPr>
              <w:jc w:val="center"/>
            </w:pPr>
            <w:r>
              <w:rPr>
                <w:rFonts w:ascii="Times New Roman" w:hAnsi="Times New Roman"/>
                <w:sz w:val="18"/>
              </w:rPr>
              <w:t>HiSMD-Net</w:t>
            </w:r>
            <w:r>
              <w:rPr>
                <w:rFonts w:ascii="Times New Roman" w:hAnsi="Times New Roman"/>
                <w:sz w:val="18"/>
              </w:rPr>
              <w:br/>
              <w:t>(Proposed)</w:t>
            </w:r>
          </w:p>
        </w:tc>
        <w:tc>
          <w:tcPr>
            <w:tcW w:w="1282" w:type="dxa"/>
          </w:tcPr>
          <w:p w14:paraId="2923DE27" w14:textId="77777777" w:rsidR="00AC2891" w:rsidRDefault="00000000">
            <w:pPr>
              <w:jc w:val="center"/>
            </w:pPr>
            <w:r>
              <w:rPr>
                <w:rFonts w:ascii="Times New Roman" w:hAnsi="Times New Roman"/>
                <w:sz w:val="18"/>
              </w:rPr>
              <w:t>ResNet-50 + ASRFR + SSM</w:t>
            </w:r>
          </w:p>
        </w:tc>
        <w:tc>
          <w:tcPr>
            <w:tcW w:w="1282" w:type="dxa"/>
          </w:tcPr>
          <w:p w14:paraId="600E3E74" w14:textId="77777777" w:rsidR="00AC2891" w:rsidRDefault="00000000">
            <w:pPr>
              <w:jc w:val="center"/>
            </w:pPr>
            <w:r>
              <w:rPr>
                <w:rFonts w:ascii="Times New Roman" w:hAnsi="Times New Roman"/>
                <w:sz w:val="18"/>
              </w:rPr>
              <w:t>16.49</w:t>
            </w:r>
          </w:p>
        </w:tc>
        <w:tc>
          <w:tcPr>
            <w:tcW w:w="1282" w:type="dxa"/>
          </w:tcPr>
          <w:p w14:paraId="1D7EE280" w14:textId="77777777" w:rsidR="00AC2891" w:rsidRDefault="00000000">
            <w:pPr>
              <w:jc w:val="center"/>
            </w:pPr>
            <w:r>
              <w:rPr>
                <w:rFonts w:ascii="Times New Roman" w:hAnsi="Times New Roman"/>
                <w:sz w:val="18"/>
              </w:rPr>
              <w:t>66.83</w:t>
            </w:r>
          </w:p>
        </w:tc>
        <w:tc>
          <w:tcPr>
            <w:tcW w:w="1282" w:type="dxa"/>
          </w:tcPr>
          <w:p w14:paraId="27C413BB" w14:textId="77777777" w:rsidR="00AC2891" w:rsidRDefault="00000000">
            <w:pPr>
              <w:jc w:val="center"/>
            </w:pPr>
            <w:r>
              <w:rPr>
                <w:rFonts w:ascii="Times New Roman" w:hAnsi="Times New Roman"/>
                <w:sz w:val="18"/>
              </w:rPr>
              <w:t>45.96</w:t>
            </w:r>
          </w:p>
        </w:tc>
        <w:tc>
          <w:tcPr>
            <w:tcW w:w="1282" w:type="dxa"/>
          </w:tcPr>
          <w:p w14:paraId="2835AE7F" w14:textId="77777777" w:rsidR="00AC2891" w:rsidRDefault="00000000">
            <w:pPr>
              <w:jc w:val="center"/>
            </w:pPr>
            <w:r>
              <w:rPr>
                <w:rFonts w:ascii="Times New Roman" w:hAnsi="Times New Roman"/>
                <w:sz w:val="18"/>
              </w:rPr>
              <w:t>30.16</w:t>
            </w:r>
          </w:p>
        </w:tc>
        <w:tc>
          <w:tcPr>
            <w:tcW w:w="1282" w:type="dxa"/>
          </w:tcPr>
          <w:p w14:paraId="2E741581" w14:textId="77777777" w:rsidR="00AC2891" w:rsidRDefault="00000000">
            <w:pPr>
              <w:jc w:val="center"/>
            </w:pPr>
            <w:r>
              <w:rPr>
                <w:rFonts w:ascii="Times New Roman" w:hAnsi="Times New Roman"/>
                <w:sz w:val="18"/>
              </w:rPr>
              <w:t>69.20</w:t>
            </w:r>
          </w:p>
        </w:tc>
        <w:tc>
          <w:tcPr>
            <w:tcW w:w="1282" w:type="dxa"/>
          </w:tcPr>
          <w:p w14:paraId="3669C7C3" w14:textId="77777777" w:rsidR="00AC2891" w:rsidRDefault="00000000">
            <w:pPr>
              <w:jc w:val="center"/>
            </w:pPr>
            <w:r>
              <w:rPr>
                <w:rFonts w:ascii="Times New Roman" w:hAnsi="Times New Roman"/>
                <w:sz w:val="18"/>
              </w:rPr>
              <w:t>68.20</w:t>
            </w:r>
          </w:p>
        </w:tc>
      </w:tr>
      <w:tr w:rsidR="00AC2891" w14:paraId="57F7FD52" w14:textId="77777777">
        <w:trPr>
          <w:jc w:val="center"/>
        </w:trPr>
        <w:tc>
          <w:tcPr>
            <w:tcW w:w="1282" w:type="dxa"/>
          </w:tcPr>
          <w:p w14:paraId="7F64ACCA" w14:textId="77777777" w:rsidR="00AC2891" w:rsidRDefault="00000000">
            <w:pPr>
              <w:jc w:val="center"/>
            </w:pPr>
            <w:r>
              <w:rPr>
                <w:rFonts w:ascii="Times New Roman" w:hAnsi="Times New Roman"/>
                <w:sz w:val="18"/>
              </w:rPr>
              <w:t>Δ Gain</w:t>
            </w:r>
          </w:p>
        </w:tc>
        <w:tc>
          <w:tcPr>
            <w:tcW w:w="1282" w:type="dxa"/>
          </w:tcPr>
          <w:p w14:paraId="5445B49F" w14:textId="77777777" w:rsidR="00AC2891" w:rsidRDefault="00000000">
            <w:pPr>
              <w:jc w:val="center"/>
            </w:pPr>
            <w:r>
              <w:rPr>
                <w:rFonts w:ascii="Times New Roman" w:hAnsi="Times New Roman"/>
                <w:sz w:val="18"/>
              </w:rPr>
              <w:t>-</w:t>
            </w:r>
          </w:p>
        </w:tc>
        <w:tc>
          <w:tcPr>
            <w:tcW w:w="1282" w:type="dxa"/>
          </w:tcPr>
          <w:p w14:paraId="112F1FB1" w14:textId="77777777" w:rsidR="00AC2891" w:rsidRDefault="00000000">
            <w:pPr>
              <w:jc w:val="center"/>
            </w:pPr>
            <w:r>
              <w:rPr>
                <w:rFonts w:ascii="Times New Roman" w:hAnsi="Times New Roman"/>
                <w:sz w:val="18"/>
              </w:rPr>
              <w:t>-8.47M (−31%)</w:t>
            </w:r>
          </w:p>
        </w:tc>
        <w:tc>
          <w:tcPr>
            <w:tcW w:w="1282" w:type="dxa"/>
          </w:tcPr>
          <w:p w14:paraId="57DF7A4E" w14:textId="77777777" w:rsidR="00AC2891" w:rsidRDefault="00000000">
            <w:pPr>
              <w:jc w:val="center"/>
            </w:pPr>
            <w:r>
              <w:rPr>
                <w:rFonts w:ascii="Times New Roman" w:hAnsi="Times New Roman"/>
                <w:sz w:val="18"/>
              </w:rPr>
              <w:t>+14.73↑</w:t>
            </w:r>
          </w:p>
        </w:tc>
        <w:tc>
          <w:tcPr>
            <w:tcW w:w="1282" w:type="dxa"/>
          </w:tcPr>
          <w:p w14:paraId="3363D43C" w14:textId="77777777" w:rsidR="00AC2891" w:rsidRDefault="00000000">
            <w:pPr>
              <w:jc w:val="center"/>
            </w:pPr>
            <w:r>
              <w:rPr>
                <w:rFonts w:ascii="Times New Roman" w:hAnsi="Times New Roman"/>
                <w:sz w:val="18"/>
              </w:rPr>
              <w:t>+14.76↑</w:t>
            </w:r>
          </w:p>
        </w:tc>
        <w:tc>
          <w:tcPr>
            <w:tcW w:w="1282" w:type="dxa"/>
          </w:tcPr>
          <w:p w14:paraId="17D1C9BB" w14:textId="77777777" w:rsidR="00AC2891" w:rsidRDefault="00000000">
            <w:pPr>
              <w:jc w:val="center"/>
            </w:pPr>
            <w:r>
              <w:rPr>
                <w:rFonts w:ascii="Times New Roman" w:hAnsi="Times New Roman"/>
                <w:sz w:val="18"/>
              </w:rPr>
              <w:t>+11.76↑</w:t>
            </w:r>
          </w:p>
        </w:tc>
        <w:tc>
          <w:tcPr>
            <w:tcW w:w="1282" w:type="dxa"/>
          </w:tcPr>
          <w:p w14:paraId="6634CCCB" w14:textId="77777777" w:rsidR="00AC2891" w:rsidRDefault="00000000">
            <w:pPr>
              <w:jc w:val="center"/>
            </w:pPr>
            <w:r>
              <w:rPr>
                <w:rFonts w:ascii="Times New Roman" w:hAnsi="Times New Roman"/>
                <w:sz w:val="18"/>
              </w:rPr>
              <w:t>+14.60↑</w:t>
            </w:r>
          </w:p>
        </w:tc>
        <w:tc>
          <w:tcPr>
            <w:tcW w:w="1282" w:type="dxa"/>
          </w:tcPr>
          <w:p w14:paraId="12A17AFD" w14:textId="77777777" w:rsidR="00AC2891" w:rsidRDefault="00000000">
            <w:pPr>
              <w:jc w:val="center"/>
            </w:pPr>
            <w:r>
              <w:rPr>
                <w:rFonts w:ascii="Times New Roman" w:hAnsi="Times New Roman"/>
                <w:sz w:val="18"/>
              </w:rPr>
              <w:t>+5.80↑</w:t>
            </w:r>
          </w:p>
        </w:tc>
      </w:tr>
    </w:tbl>
    <w:p w14:paraId="5FBE2295" w14:textId="77777777" w:rsidR="00AC2891" w:rsidRDefault="00000000">
      <w:pPr>
        <w:spacing w:before="60" w:after="120"/>
        <w:jc w:val="center"/>
      </w:pPr>
      <w:r>
        <w:rPr>
          <w:rFonts w:ascii="Times New Roman" w:hAnsi="Times New Roman"/>
          <w:i/>
          <w:sz w:val="18"/>
        </w:rPr>
        <w:t>Table I. Baseline Comparison on VisDrone2019-DET Validation Set.</w:t>
      </w:r>
    </w:p>
    <w:p w14:paraId="1C418845" w14:textId="77777777" w:rsidR="00AC2891" w:rsidRDefault="00000000">
      <w:pPr>
        <w:spacing w:before="100" w:after="60"/>
      </w:pPr>
      <w:r>
        <w:rPr>
          <w:rFonts w:ascii="Times New Roman" w:hAnsi="Times New Roman"/>
          <w:b/>
          <w:i/>
          <w:sz w:val="20"/>
        </w:rPr>
        <w:t>B. Per-Class Analysis</w:t>
      </w:r>
    </w:p>
    <w:p w14:paraId="19158640" w14:textId="77777777" w:rsidR="00AC2891" w:rsidRDefault="00000000">
      <w:pPr>
        <w:spacing w:after="80"/>
        <w:ind w:firstLine="397"/>
        <w:jc w:val="both"/>
      </w:pPr>
      <w:r>
        <w:rPr>
          <w:rFonts w:ascii="Times New Roman" w:hAnsi="Times New Roman"/>
          <w:sz w:val="20"/>
        </w:rPr>
        <w:t>Table II presents the per-class Average Precision at IoU=0.50 for HiSMD-Net on the VisDrone validation set. Larger and more visually distinct object classes (car, bus) achieve higher per-class AP, while small and visually similar classes (tricycle, awning-tricycle) benefit most from the ASRFR and Stride-2 head contributions.</w:t>
      </w:r>
    </w:p>
    <w:tbl>
      <w:tblPr>
        <w:tblStyle w:val="TableGrid"/>
        <w:tblW w:w="0" w:type="auto"/>
        <w:jc w:val="center"/>
        <w:tblLook w:val="04A0" w:firstRow="1" w:lastRow="0" w:firstColumn="1" w:lastColumn="0" w:noHBand="0" w:noVBand="1"/>
      </w:tblPr>
      <w:tblGrid>
        <w:gridCol w:w="2564"/>
        <w:gridCol w:w="2564"/>
        <w:gridCol w:w="2564"/>
        <w:gridCol w:w="2564"/>
      </w:tblGrid>
      <w:tr w:rsidR="00AC2891" w14:paraId="5CDDD015" w14:textId="77777777">
        <w:trPr>
          <w:jc w:val="center"/>
        </w:trPr>
        <w:tc>
          <w:tcPr>
            <w:tcW w:w="2564" w:type="dxa"/>
          </w:tcPr>
          <w:p w14:paraId="69CC0E27" w14:textId="77777777" w:rsidR="00AC2891" w:rsidRDefault="00000000">
            <w:pPr>
              <w:jc w:val="center"/>
            </w:pPr>
            <w:r>
              <w:rPr>
                <w:rFonts w:ascii="Times New Roman" w:hAnsi="Times New Roman"/>
                <w:b/>
                <w:sz w:val="18"/>
              </w:rPr>
              <w:t>Class</w:t>
            </w:r>
          </w:p>
        </w:tc>
        <w:tc>
          <w:tcPr>
            <w:tcW w:w="2564" w:type="dxa"/>
          </w:tcPr>
          <w:p w14:paraId="5447E441" w14:textId="77777777" w:rsidR="00AC2891" w:rsidRDefault="00000000">
            <w:pPr>
              <w:jc w:val="center"/>
            </w:pPr>
            <w:r>
              <w:rPr>
                <w:rFonts w:ascii="Times New Roman" w:hAnsi="Times New Roman"/>
                <w:b/>
                <w:sz w:val="18"/>
              </w:rPr>
              <w:t>AP50 (%)</w:t>
            </w:r>
          </w:p>
        </w:tc>
        <w:tc>
          <w:tcPr>
            <w:tcW w:w="2564" w:type="dxa"/>
          </w:tcPr>
          <w:p w14:paraId="650C75A4" w14:textId="77777777" w:rsidR="00AC2891" w:rsidRDefault="00000000">
            <w:pPr>
              <w:jc w:val="center"/>
            </w:pPr>
            <w:r>
              <w:rPr>
                <w:rFonts w:ascii="Times New Roman" w:hAnsi="Times New Roman"/>
                <w:b/>
                <w:sz w:val="18"/>
              </w:rPr>
              <w:t>Class</w:t>
            </w:r>
          </w:p>
        </w:tc>
        <w:tc>
          <w:tcPr>
            <w:tcW w:w="2564" w:type="dxa"/>
          </w:tcPr>
          <w:p w14:paraId="2A0A013A" w14:textId="77777777" w:rsidR="00AC2891" w:rsidRDefault="00000000">
            <w:pPr>
              <w:jc w:val="center"/>
            </w:pPr>
            <w:r>
              <w:rPr>
                <w:rFonts w:ascii="Times New Roman" w:hAnsi="Times New Roman"/>
                <w:b/>
                <w:sz w:val="18"/>
              </w:rPr>
              <w:t>AP50 (%)</w:t>
            </w:r>
          </w:p>
        </w:tc>
      </w:tr>
      <w:tr w:rsidR="00AC2891" w14:paraId="2771A78A" w14:textId="77777777">
        <w:trPr>
          <w:jc w:val="center"/>
        </w:trPr>
        <w:tc>
          <w:tcPr>
            <w:tcW w:w="2564" w:type="dxa"/>
          </w:tcPr>
          <w:p w14:paraId="44849071" w14:textId="77777777" w:rsidR="00AC2891" w:rsidRDefault="00000000">
            <w:pPr>
              <w:jc w:val="center"/>
            </w:pPr>
            <w:r>
              <w:rPr>
                <w:rFonts w:ascii="Times New Roman" w:hAnsi="Times New Roman"/>
                <w:sz w:val="18"/>
              </w:rPr>
              <w:t>Pedestrian</w:t>
            </w:r>
          </w:p>
        </w:tc>
        <w:tc>
          <w:tcPr>
            <w:tcW w:w="2564" w:type="dxa"/>
          </w:tcPr>
          <w:p w14:paraId="2CA61E96" w14:textId="77777777" w:rsidR="00AC2891" w:rsidRDefault="00000000">
            <w:pPr>
              <w:jc w:val="center"/>
            </w:pPr>
            <w:r>
              <w:rPr>
                <w:rFonts w:ascii="Times New Roman" w:hAnsi="Times New Roman"/>
                <w:sz w:val="18"/>
              </w:rPr>
              <w:t>58.2</w:t>
            </w:r>
          </w:p>
        </w:tc>
        <w:tc>
          <w:tcPr>
            <w:tcW w:w="2564" w:type="dxa"/>
          </w:tcPr>
          <w:p w14:paraId="7BF02AAB" w14:textId="77777777" w:rsidR="00AC2891" w:rsidRDefault="00000000">
            <w:pPr>
              <w:jc w:val="center"/>
            </w:pPr>
            <w:r>
              <w:rPr>
                <w:rFonts w:ascii="Times New Roman" w:hAnsi="Times New Roman"/>
                <w:sz w:val="18"/>
              </w:rPr>
              <w:t>Truck</w:t>
            </w:r>
          </w:p>
        </w:tc>
        <w:tc>
          <w:tcPr>
            <w:tcW w:w="2564" w:type="dxa"/>
          </w:tcPr>
          <w:p w14:paraId="47A1DB94" w14:textId="77777777" w:rsidR="00AC2891" w:rsidRDefault="00000000">
            <w:pPr>
              <w:jc w:val="center"/>
            </w:pPr>
            <w:r>
              <w:rPr>
                <w:rFonts w:ascii="Times New Roman" w:hAnsi="Times New Roman"/>
                <w:sz w:val="18"/>
              </w:rPr>
              <w:t>68.4</w:t>
            </w:r>
          </w:p>
        </w:tc>
      </w:tr>
      <w:tr w:rsidR="00AC2891" w14:paraId="6EBF475B" w14:textId="77777777">
        <w:trPr>
          <w:jc w:val="center"/>
        </w:trPr>
        <w:tc>
          <w:tcPr>
            <w:tcW w:w="2564" w:type="dxa"/>
          </w:tcPr>
          <w:p w14:paraId="4E352CC1" w14:textId="77777777" w:rsidR="00AC2891" w:rsidRDefault="00000000">
            <w:pPr>
              <w:jc w:val="center"/>
            </w:pPr>
            <w:r>
              <w:rPr>
                <w:rFonts w:ascii="Times New Roman" w:hAnsi="Times New Roman"/>
                <w:sz w:val="18"/>
              </w:rPr>
              <w:t>People</w:t>
            </w:r>
          </w:p>
        </w:tc>
        <w:tc>
          <w:tcPr>
            <w:tcW w:w="2564" w:type="dxa"/>
          </w:tcPr>
          <w:p w14:paraId="6902B6DC" w14:textId="77777777" w:rsidR="00AC2891" w:rsidRDefault="00000000">
            <w:pPr>
              <w:jc w:val="center"/>
            </w:pPr>
            <w:r>
              <w:rPr>
                <w:rFonts w:ascii="Times New Roman" w:hAnsi="Times New Roman"/>
                <w:sz w:val="18"/>
              </w:rPr>
              <w:t>52.1</w:t>
            </w:r>
          </w:p>
        </w:tc>
        <w:tc>
          <w:tcPr>
            <w:tcW w:w="2564" w:type="dxa"/>
          </w:tcPr>
          <w:p w14:paraId="282E1274" w14:textId="77777777" w:rsidR="00AC2891" w:rsidRDefault="00000000">
            <w:pPr>
              <w:jc w:val="center"/>
            </w:pPr>
            <w:r>
              <w:rPr>
                <w:rFonts w:ascii="Times New Roman" w:hAnsi="Times New Roman"/>
                <w:sz w:val="18"/>
              </w:rPr>
              <w:t>Tricycle</w:t>
            </w:r>
          </w:p>
        </w:tc>
        <w:tc>
          <w:tcPr>
            <w:tcW w:w="2564" w:type="dxa"/>
          </w:tcPr>
          <w:p w14:paraId="0A86C1A3" w14:textId="77777777" w:rsidR="00AC2891" w:rsidRDefault="00000000">
            <w:pPr>
              <w:jc w:val="center"/>
            </w:pPr>
            <w:r>
              <w:rPr>
                <w:rFonts w:ascii="Times New Roman" w:hAnsi="Times New Roman"/>
                <w:sz w:val="18"/>
              </w:rPr>
              <w:t>54.3</w:t>
            </w:r>
          </w:p>
        </w:tc>
      </w:tr>
      <w:tr w:rsidR="00AC2891" w14:paraId="33D81501" w14:textId="77777777">
        <w:trPr>
          <w:jc w:val="center"/>
        </w:trPr>
        <w:tc>
          <w:tcPr>
            <w:tcW w:w="2564" w:type="dxa"/>
          </w:tcPr>
          <w:p w14:paraId="3B21504A" w14:textId="77777777" w:rsidR="00AC2891" w:rsidRDefault="00000000">
            <w:pPr>
              <w:jc w:val="center"/>
            </w:pPr>
            <w:r>
              <w:rPr>
                <w:rFonts w:ascii="Times New Roman" w:hAnsi="Times New Roman"/>
                <w:sz w:val="18"/>
              </w:rPr>
              <w:t>Bicycle</w:t>
            </w:r>
          </w:p>
        </w:tc>
        <w:tc>
          <w:tcPr>
            <w:tcW w:w="2564" w:type="dxa"/>
          </w:tcPr>
          <w:p w14:paraId="081205D2" w14:textId="77777777" w:rsidR="00AC2891" w:rsidRDefault="00000000">
            <w:pPr>
              <w:jc w:val="center"/>
            </w:pPr>
            <w:r>
              <w:rPr>
                <w:rFonts w:ascii="Times New Roman" w:hAnsi="Times New Roman"/>
                <w:sz w:val="18"/>
              </w:rPr>
              <w:t>48.6</w:t>
            </w:r>
          </w:p>
        </w:tc>
        <w:tc>
          <w:tcPr>
            <w:tcW w:w="2564" w:type="dxa"/>
          </w:tcPr>
          <w:p w14:paraId="36760216" w14:textId="77777777" w:rsidR="00AC2891" w:rsidRDefault="00000000">
            <w:pPr>
              <w:jc w:val="center"/>
            </w:pPr>
            <w:r>
              <w:rPr>
                <w:rFonts w:ascii="Times New Roman" w:hAnsi="Times New Roman"/>
                <w:sz w:val="18"/>
              </w:rPr>
              <w:t>Awning-Tricycle</w:t>
            </w:r>
          </w:p>
        </w:tc>
        <w:tc>
          <w:tcPr>
            <w:tcW w:w="2564" w:type="dxa"/>
          </w:tcPr>
          <w:p w14:paraId="683AD3B1" w14:textId="77777777" w:rsidR="00AC2891" w:rsidRDefault="00000000">
            <w:pPr>
              <w:jc w:val="center"/>
            </w:pPr>
            <w:r>
              <w:rPr>
                <w:rFonts w:ascii="Times New Roman" w:hAnsi="Times New Roman"/>
                <w:sz w:val="18"/>
              </w:rPr>
              <w:t>50.7</w:t>
            </w:r>
          </w:p>
        </w:tc>
      </w:tr>
      <w:tr w:rsidR="00AC2891" w14:paraId="51F75B06" w14:textId="77777777">
        <w:trPr>
          <w:jc w:val="center"/>
        </w:trPr>
        <w:tc>
          <w:tcPr>
            <w:tcW w:w="2564" w:type="dxa"/>
          </w:tcPr>
          <w:p w14:paraId="03AA89D4" w14:textId="77777777" w:rsidR="00AC2891" w:rsidRDefault="00000000">
            <w:pPr>
              <w:jc w:val="center"/>
            </w:pPr>
            <w:r>
              <w:rPr>
                <w:rFonts w:ascii="Times New Roman" w:hAnsi="Times New Roman"/>
                <w:sz w:val="18"/>
              </w:rPr>
              <w:t>Car</w:t>
            </w:r>
          </w:p>
        </w:tc>
        <w:tc>
          <w:tcPr>
            <w:tcW w:w="2564" w:type="dxa"/>
          </w:tcPr>
          <w:p w14:paraId="407641EA" w14:textId="77777777" w:rsidR="00AC2891" w:rsidRDefault="00000000">
            <w:pPr>
              <w:jc w:val="center"/>
            </w:pPr>
            <w:r>
              <w:rPr>
                <w:rFonts w:ascii="Times New Roman" w:hAnsi="Times New Roman"/>
                <w:sz w:val="18"/>
              </w:rPr>
              <w:t>86.3</w:t>
            </w:r>
          </w:p>
        </w:tc>
        <w:tc>
          <w:tcPr>
            <w:tcW w:w="2564" w:type="dxa"/>
          </w:tcPr>
          <w:p w14:paraId="13CB74D1" w14:textId="77777777" w:rsidR="00AC2891" w:rsidRDefault="00000000">
            <w:pPr>
              <w:jc w:val="center"/>
            </w:pPr>
            <w:r>
              <w:rPr>
                <w:rFonts w:ascii="Times New Roman" w:hAnsi="Times New Roman"/>
                <w:sz w:val="18"/>
              </w:rPr>
              <w:t>Bus</w:t>
            </w:r>
          </w:p>
        </w:tc>
        <w:tc>
          <w:tcPr>
            <w:tcW w:w="2564" w:type="dxa"/>
          </w:tcPr>
          <w:p w14:paraId="7F4D4259" w14:textId="77777777" w:rsidR="00AC2891" w:rsidRDefault="00000000">
            <w:pPr>
              <w:jc w:val="center"/>
            </w:pPr>
            <w:r>
              <w:rPr>
                <w:rFonts w:ascii="Times New Roman" w:hAnsi="Times New Roman"/>
                <w:sz w:val="18"/>
              </w:rPr>
              <w:t>77.9</w:t>
            </w:r>
          </w:p>
        </w:tc>
      </w:tr>
      <w:tr w:rsidR="00AC2891" w14:paraId="03218E1D" w14:textId="77777777">
        <w:trPr>
          <w:jc w:val="center"/>
        </w:trPr>
        <w:tc>
          <w:tcPr>
            <w:tcW w:w="2564" w:type="dxa"/>
          </w:tcPr>
          <w:p w14:paraId="196BD76A" w14:textId="77777777" w:rsidR="00AC2891" w:rsidRDefault="00000000">
            <w:pPr>
              <w:jc w:val="center"/>
            </w:pPr>
            <w:r>
              <w:rPr>
                <w:rFonts w:ascii="Times New Roman" w:hAnsi="Times New Roman"/>
                <w:sz w:val="18"/>
              </w:rPr>
              <w:t>Van</w:t>
            </w:r>
          </w:p>
        </w:tc>
        <w:tc>
          <w:tcPr>
            <w:tcW w:w="2564" w:type="dxa"/>
          </w:tcPr>
          <w:p w14:paraId="5933B601" w14:textId="77777777" w:rsidR="00AC2891" w:rsidRDefault="00000000">
            <w:pPr>
              <w:jc w:val="center"/>
            </w:pPr>
            <w:r>
              <w:rPr>
                <w:rFonts w:ascii="Times New Roman" w:hAnsi="Times New Roman"/>
                <w:sz w:val="18"/>
              </w:rPr>
              <w:t>73.8</w:t>
            </w:r>
          </w:p>
        </w:tc>
        <w:tc>
          <w:tcPr>
            <w:tcW w:w="2564" w:type="dxa"/>
          </w:tcPr>
          <w:p w14:paraId="2FDA1C8E" w14:textId="77777777" w:rsidR="00AC2891" w:rsidRDefault="00000000">
            <w:pPr>
              <w:jc w:val="center"/>
            </w:pPr>
            <w:r>
              <w:rPr>
                <w:rFonts w:ascii="Times New Roman" w:hAnsi="Times New Roman"/>
                <w:sz w:val="18"/>
              </w:rPr>
              <w:t>Motor</w:t>
            </w:r>
          </w:p>
        </w:tc>
        <w:tc>
          <w:tcPr>
            <w:tcW w:w="2564" w:type="dxa"/>
          </w:tcPr>
          <w:p w14:paraId="5D864568" w14:textId="77777777" w:rsidR="00AC2891" w:rsidRDefault="00000000">
            <w:pPr>
              <w:jc w:val="center"/>
            </w:pPr>
            <w:r>
              <w:rPr>
                <w:rFonts w:ascii="Times New Roman" w:hAnsi="Times New Roman"/>
                <w:sz w:val="18"/>
              </w:rPr>
              <w:t>56.1</w:t>
            </w:r>
          </w:p>
        </w:tc>
      </w:tr>
    </w:tbl>
    <w:p w14:paraId="39558E28" w14:textId="77777777" w:rsidR="00AC2891" w:rsidRDefault="00000000">
      <w:pPr>
        <w:spacing w:before="60" w:after="120"/>
        <w:jc w:val="center"/>
      </w:pPr>
      <w:r>
        <w:rPr>
          <w:rFonts w:ascii="Times New Roman" w:hAnsi="Times New Roman"/>
          <w:i/>
          <w:sz w:val="18"/>
        </w:rPr>
        <w:t>Table II. Per-Class AP50 Results on VisDrone2019-DET Validation Set.</w:t>
      </w:r>
    </w:p>
    <w:p w14:paraId="223B610A" w14:textId="77777777" w:rsidR="00AC2891" w:rsidRDefault="00000000">
      <w:pPr>
        <w:spacing w:before="100" w:after="60"/>
      </w:pPr>
      <w:r>
        <w:rPr>
          <w:rFonts w:ascii="Times New Roman" w:hAnsi="Times New Roman"/>
          <w:b/>
          <w:i/>
          <w:sz w:val="20"/>
        </w:rPr>
        <w:t>C. Ablation Study</w:t>
      </w:r>
    </w:p>
    <w:p w14:paraId="5B067235" w14:textId="77777777" w:rsidR="00AC2891" w:rsidRDefault="00000000">
      <w:pPr>
        <w:spacing w:after="80"/>
        <w:ind w:firstLine="397"/>
        <w:jc w:val="both"/>
      </w:pPr>
      <w:r>
        <w:rPr>
          <w:rFonts w:ascii="Times New Roman" w:hAnsi="Times New Roman"/>
          <w:sz w:val="20"/>
        </w:rPr>
        <w:t>Table III presents the ablation study quantifying the individual contribution of each proposed module. Each module is removed one at a time from the full HiSMD-Net configuration to measure its isolated impact on AP50 and APS.</w:t>
      </w:r>
    </w:p>
    <w:tbl>
      <w:tblPr>
        <w:tblStyle w:val="TableGrid"/>
        <w:tblW w:w="0" w:type="auto"/>
        <w:jc w:val="center"/>
        <w:tblLook w:val="04A0" w:firstRow="1" w:lastRow="0" w:firstColumn="1" w:lastColumn="0" w:noHBand="0" w:noVBand="1"/>
      </w:tblPr>
      <w:tblGrid>
        <w:gridCol w:w="1709"/>
        <w:gridCol w:w="1709"/>
        <w:gridCol w:w="1709"/>
        <w:gridCol w:w="1709"/>
        <w:gridCol w:w="1709"/>
        <w:gridCol w:w="1709"/>
      </w:tblGrid>
      <w:tr w:rsidR="00AC2891" w14:paraId="0DCCAD4B" w14:textId="77777777">
        <w:trPr>
          <w:jc w:val="center"/>
        </w:trPr>
        <w:tc>
          <w:tcPr>
            <w:tcW w:w="1709" w:type="dxa"/>
          </w:tcPr>
          <w:p w14:paraId="2158303A" w14:textId="77777777" w:rsidR="00AC2891" w:rsidRDefault="00000000">
            <w:pPr>
              <w:jc w:val="center"/>
            </w:pPr>
            <w:r>
              <w:rPr>
                <w:rFonts w:ascii="Times New Roman" w:hAnsi="Times New Roman"/>
                <w:b/>
                <w:sz w:val="18"/>
              </w:rPr>
              <w:t>Configuration</w:t>
            </w:r>
          </w:p>
        </w:tc>
        <w:tc>
          <w:tcPr>
            <w:tcW w:w="1709" w:type="dxa"/>
          </w:tcPr>
          <w:p w14:paraId="4F3ED3CC" w14:textId="77777777" w:rsidR="00AC2891" w:rsidRDefault="00000000">
            <w:pPr>
              <w:jc w:val="center"/>
            </w:pPr>
            <w:r>
              <w:rPr>
                <w:rFonts w:ascii="Times New Roman" w:hAnsi="Times New Roman"/>
                <w:b/>
                <w:sz w:val="18"/>
              </w:rPr>
              <w:t>ASRFR</w:t>
            </w:r>
          </w:p>
        </w:tc>
        <w:tc>
          <w:tcPr>
            <w:tcW w:w="1709" w:type="dxa"/>
          </w:tcPr>
          <w:p w14:paraId="385011D3" w14:textId="77777777" w:rsidR="00AC2891" w:rsidRDefault="00000000">
            <w:pPr>
              <w:jc w:val="center"/>
            </w:pPr>
            <w:r>
              <w:rPr>
                <w:rFonts w:ascii="Times New Roman" w:hAnsi="Times New Roman"/>
                <w:b/>
                <w:sz w:val="18"/>
              </w:rPr>
              <w:t>SpatialSSM</w:t>
            </w:r>
          </w:p>
        </w:tc>
        <w:tc>
          <w:tcPr>
            <w:tcW w:w="1709" w:type="dxa"/>
          </w:tcPr>
          <w:p w14:paraId="72C8A7E3" w14:textId="77777777" w:rsidR="00AC2891" w:rsidRDefault="00000000">
            <w:pPr>
              <w:jc w:val="center"/>
            </w:pPr>
            <w:r>
              <w:rPr>
                <w:rFonts w:ascii="Times New Roman" w:hAnsi="Times New Roman"/>
                <w:b/>
                <w:sz w:val="18"/>
              </w:rPr>
              <w:t>Stride-2 Head</w:t>
            </w:r>
          </w:p>
        </w:tc>
        <w:tc>
          <w:tcPr>
            <w:tcW w:w="1709" w:type="dxa"/>
          </w:tcPr>
          <w:p w14:paraId="16DDA04F" w14:textId="77777777" w:rsidR="00AC2891" w:rsidRDefault="00000000">
            <w:pPr>
              <w:jc w:val="center"/>
            </w:pPr>
            <w:r>
              <w:rPr>
                <w:rFonts w:ascii="Times New Roman" w:hAnsi="Times New Roman"/>
                <w:b/>
                <w:sz w:val="18"/>
              </w:rPr>
              <w:t>AP50 (%)</w:t>
            </w:r>
          </w:p>
        </w:tc>
        <w:tc>
          <w:tcPr>
            <w:tcW w:w="1709" w:type="dxa"/>
          </w:tcPr>
          <w:p w14:paraId="4F5BBF74" w14:textId="77777777" w:rsidR="00AC2891" w:rsidRDefault="00000000">
            <w:pPr>
              <w:jc w:val="center"/>
            </w:pPr>
            <w:r>
              <w:rPr>
                <w:rFonts w:ascii="Times New Roman" w:hAnsi="Times New Roman"/>
                <w:b/>
                <w:sz w:val="18"/>
              </w:rPr>
              <w:t>APS (%)</w:t>
            </w:r>
          </w:p>
        </w:tc>
      </w:tr>
      <w:tr w:rsidR="00AC2891" w14:paraId="5172E681" w14:textId="77777777">
        <w:trPr>
          <w:jc w:val="center"/>
        </w:trPr>
        <w:tc>
          <w:tcPr>
            <w:tcW w:w="1709" w:type="dxa"/>
          </w:tcPr>
          <w:p w14:paraId="0020DC29" w14:textId="77777777" w:rsidR="00AC2891" w:rsidRDefault="00000000">
            <w:pPr>
              <w:jc w:val="center"/>
            </w:pPr>
            <w:r>
              <w:rPr>
                <w:rFonts w:ascii="Times New Roman" w:hAnsi="Times New Roman"/>
                <w:sz w:val="18"/>
              </w:rPr>
              <w:t>Baseline (UAVDet)</w:t>
            </w:r>
          </w:p>
        </w:tc>
        <w:tc>
          <w:tcPr>
            <w:tcW w:w="1709" w:type="dxa"/>
          </w:tcPr>
          <w:p w14:paraId="07AAB012" w14:textId="77777777" w:rsidR="00AC2891" w:rsidRDefault="00000000">
            <w:pPr>
              <w:jc w:val="center"/>
            </w:pPr>
            <w:r>
              <w:rPr>
                <w:rFonts w:ascii="Times New Roman" w:hAnsi="Times New Roman"/>
                <w:sz w:val="18"/>
              </w:rPr>
              <w:t>✗</w:t>
            </w:r>
          </w:p>
        </w:tc>
        <w:tc>
          <w:tcPr>
            <w:tcW w:w="1709" w:type="dxa"/>
          </w:tcPr>
          <w:p w14:paraId="3A31453C" w14:textId="77777777" w:rsidR="00AC2891" w:rsidRDefault="00000000">
            <w:pPr>
              <w:jc w:val="center"/>
            </w:pPr>
            <w:r>
              <w:rPr>
                <w:rFonts w:ascii="Times New Roman" w:hAnsi="Times New Roman"/>
                <w:sz w:val="18"/>
              </w:rPr>
              <w:t>✗</w:t>
            </w:r>
          </w:p>
        </w:tc>
        <w:tc>
          <w:tcPr>
            <w:tcW w:w="1709" w:type="dxa"/>
          </w:tcPr>
          <w:p w14:paraId="0F39D479" w14:textId="77777777" w:rsidR="00AC2891" w:rsidRDefault="00000000">
            <w:pPr>
              <w:jc w:val="center"/>
            </w:pPr>
            <w:r>
              <w:rPr>
                <w:rFonts w:ascii="Times New Roman" w:hAnsi="Times New Roman"/>
                <w:sz w:val="18"/>
              </w:rPr>
              <w:t>✗</w:t>
            </w:r>
          </w:p>
        </w:tc>
        <w:tc>
          <w:tcPr>
            <w:tcW w:w="1709" w:type="dxa"/>
          </w:tcPr>
          <w:p w14:paraId="3898EDAA" w14:textId="77777777" w:rsidR="00AC2891" w:rsidRDefault="00000000">
            <w:pPr>
              <w:jc w:val="center"/>
            </w:pPr>
            <w:r>
              <w:rPr>
                <w:rFonts w:ascii="Times New Roman" w:hAnsi="Times New Roman"/>
                <w:sz w:val="18"/>
              </w:rPr>
              <w:t>52.10</w:t>
            </w:r>
          </w:p>
        </w:tc>
        <w:tc>
          <w:tcPr>
            <w:tcW w:w="1709" w:type="dxa"/>
          </w:tcPr>
          <w:p w14:paraId="5DE26614" w14:textId="77777777" w:rsidR="00AC2891" w:rsidRDefault="00000000">
            <w:pPr>
              <w:jc w:val="center"/>
            </w:pPr>
            <w:r>
              <w:rPr>
                <w:rFonts w:ascii="Times New Roman" w:hAnsi="Times New Roman"/>
                <w:sz w:val="18"/>
              </w:rPr>
              <w:t>18.40</w:t>
            </w:r>
          </w:p>
        </w:tc>
      </w:tr>
      <w:tr w:rsidR="00AC2891" w14:paraId="05B1103D" w14:textId="77777777">
        <w:trPr>
          <w:jc w:val="center"/>
        </w:trPr>
        <w:tc>
          <w:tcPr>
            <w:tcW w:w="1709" w:type="dxa"/>
          </w:tcPr>
          <w:p w14:paraId="4001C984" w14:textId="77777777" w:rsidR="00AC2891" w:rsidRDefault="00000000">
            <w:pPr>
              <w:jc w:val="center"/>
            </w:pPr>
            <w:r>
              <w:rPr>
                <w:rFonts w:ascii="Times New Roman" w:hAnsi="Times New Roman"/>
                <w:sz w:val="18"/>
              </w:rPr>
              <w:t>+ SpatialSSM only</w:t>
            </w:r>
          </w:p>
        </w:tc>
        <w:tc>
          <w:tcPr>
            <w:tcW w:w="1709" w:type="dxa"/>
          </w:tcPr>
          <w:p w14:paraId="1F9CA0F3" w14:textId="77777777" w:rsidR="00AC2891" w:rsidRDefault="00000000">
            <w:pPr>
              <w:jc w:val="center"/>
            </w:pPr>
            <w:r>
              <w:rPr>
                <w:rFonts w:ascii="Times New Roman" w:hAnsi="Times New Roman"/>
                <w:sz w:val="18"/>
              </w:rPr>
              <w:t>✗</w:t>
            </w:r>
          </w:p>
        </w:tc>
        <w:tc>
          <w:tcPr>
            <w:tcW w:w="1709" w:type="dxa"/>
          </w:tcPr>
          <w:p w14:paraId="56D75581" w14:textId="77777777" w:rsidR="00AC2891" w:rsidRDefault="00000000">
            <w:pPr>
              <w:jc w:val="center"/>
            </w:pPr>
            <w:r>
              <w:rPr>
                <w:rFonts w:ascii="Times New Roman" w:hAnsi="Times New Roman"/>
                <w:sz w:val="18"/>
              </w:rPr>
              <w:t>✓</w:t>
            </w:r>
          </w:p>
        </w:tc>
        <w:tc>
          <w:tcPr>
            <w:tcW w:w="1709" w:type="dxa"/>
          </w:tcPr>
          <w:p w14:paraId="1DF81DCB" w14:textId="77777777" w:rsidR="00AC2891" w:rsidRDefault="00000000">
            <w:pPr>
              <w:jc w:val="center"/>
            </w:pPr>
            <w:r>
              <w:rPr>
                <w:rFonts w:ascii="Times New Roman" w:hAnsi="Times New Roman"/>
                <w:sz w:val="18"/>
              </w:rPr>
              <w:t>✗</w:t>
            </w:r>
          </w:p>
        </w:tc>
        <w:tc>
          <w:tcPr>
            <w:tcW w:w="1709" w:type="dxa"/>
          </w:tcPr>
          <w:p w14:paraId="529BA5C0" w14:textId="77777777" w:rsidR="00AC2891" w:rsidRDefault="00000000">
            <w:pPr>
              <w:jc w:val="center"/>
            </w:pPr>
            <w:r>
              <w:rPr>
                <w:rFonts w:ascii="Times New Roman" w:hAnsi="Times New Roman"/>
                <w:sz w:val="18"/>
              </w:rPr>
              <w:t>57.83</w:t>
            </w:r>
          </w:p>
        </w:tc>
        <w:tc>
          <w:tcPr>
            <w:tcW w:w="1709" w:type="dxa"/>
          </w:tcPr>
          <w:p w14:paraId="383288A6" w14:textId="77777777" w:rsidR="00AC2891" w:rsidRDefault="00000000">
            <w:pPr>
              <w:jc w:val="center"/>
            </w:pPr>
            <w:r>
              <w:rPr>
                <w:rFonts w:ascii="Times New Roman" w:hAnsi="Times New Roman"/>
                <w:sz w:val="18"/>
              </w:rPr>
              <w:t>22.14</w:t>
            </w:r>
          </w:p>
        </w:tc>
      </w:tr>
      <w:tr w:rsidR="00AC2891" w14:paraId="7420A38E" w14:textId="77777777">
        <w:trPr>
          <w:jc w:val="center"/>
        </w:trPr>
        <w:tc>
          <w:tcPr>
            <w:tcW w:w="1709" w:type="dxa"/>
          </w:tcPr>
          <w:p w14:paraId="74C8B605" w14:textId="77777777" w:rsidR="00AC2891" w:rsidRDefault="00000000">
            <w:pPr>
              <w:jc w:val="center"/>
            </w:pPr>
            <w:r>
              <w:rPr>
                <w:rFonts w:ascii="Times New Roman" w:hAnsi="Times New Roman"/>
                <w:sz w:val="18"/>
              </w:rPr>
              <w:t>+ Stride-2 Head only</w:t>
            </w:r>
          </w:p>
        </w:tc>
        <w:tc>
          <w:tcPr>
            <w:tcW w:w="1709" w:type="dxa"/>
          </w:tcPr>
          <w:p w14:paraId="52FBD10E" w14:textId="77777777" w:rsidR="00AC2891" w:rsidRDefault="00000000">
            <w:pPr>
              <w:jc w:val="center"/>
            </w:pPr>
            <w:r>
              <w:rPr>
                <w:rFonts w:ascii="Times New Roman" w:hAnsi="Times New Roman"/>
                <w:sz w:val="18"/>
              </w:rPr>
              <w:t>✗</w:t>
            </w:r>
          </w:p>
        </w:tc>
        <w:tc>
          <w:tcPr>
            <w:tcW w:w="1709" w:type="dxa"/>
          </w:tcPr>
          <w:p w14:paraId="218FEE03" w14:textId="77777777" w:rsidR="00AC2891" w:rsidRDefault="00000000">
            <w:pPr>
              <w:jc w:val="center"/>
            </w:pPr>
            <w:r>
              <w:rPr>
                <w:rFonts w:ascii="Times New Roman" w:hAnsi="Times New Roman"/>
                <w:sz w:val="18"/>
              </w:rPr>
              <w:t>✗</w:t>
            </w:r>
          </w:p>
        </w:tc>
        <w:tc>
          <w:tcPr>
            <w:tcW w:w="1709" w:type="dxa"/>
          </w:tcPr>
          <w:p w14:paraId="29AAC075" w14:textId="77777777" w:rsidR="00AC2891" w:rsidRDefault="00000000">
            <w:pPr>
              <w:jc w:val="center"/>
            </w:pPr>
            <w:r>
              <w:rPr>
                <w:rFonts w:ascii="Times New Roman" w:hAnsi="Times New Roman"/>
                <w:sz w:val="18"/>
              </w:rPr>
              <w:t>✓</w:t>
            </w:r>
          </w:p>
        </w:tc>
        <w:tc>
          <w:tcPr>
            <w:tcW w:w="1709" w:type="dxa"/>
          </w:tcPr>
          <w:p w14:paraId="16A61A67" w14:textId="77777777" w:rsidR="00AC2891" w:rsidRDefault="00000000">
            <w:pPr>
              <w:jc w:val="center"/>
            </w:pPr>
            <w:r>
              <w:rPr>
                <w:rFonts w:ascii="Times New Roman" w:hAnsi="Times New Roman"/>
                <w:sz w:val="18"/>
              </w:rPr>
              <w:t>61.20</w:t>
            </w:r>
          </w:p>
        </w:tc>
        <w:tc>
          <w:tcPr>
            <w:tcW w:w="1709" w:type="dxa"/>
          </w:tcPr>
          <w:p w14:paraId="7D4FA959" w14:textId="77777777" w:rsidR="00AC2891" w:rsidRDefault="00000000">
            <w:pPr>
              <w:jc w:val="center"/>
            </w:pPr>
            <w:r>
              <w:rPr>
                <w:rFonts w:ascii="Times New Roman" w:hAnsi="Times New Roman"/>
                <w:sz w:val="18"/>
              </w:rPr>
              <w:t>26.51</w:t>
            </w:r>
          </w:p>
        </w:tc>
      </w:tr>
      <w:tr w:rsidR="00AC2891" w14:paraId="14C0BC9C" w14:textId="77777777">
        <w:trPr>
          <w:jc w:val="center"/>
        </w:trPr>
        <w:tc>
          <w:tcPr>
            <w:tcW w:w="1709" w:type="dxa"/>
          </w:tcPr>
          <w:p w14:paraId="232F71E7" w14:textId="77777777" w:rsidR="00AC2891" w:rsidRDefault="00000000">
            <w:pPr>
              <w:jc w:val="center"/>
            </w:pPr>
            <w:r>
              <w:rPr>
                <w:rFonts w:ascii="Times New Roman" w:hAnsi="Times New Roman"/>
                <w:sz w:val="18"/>
              </w:rPr>
              <w:t>+ ASRFR only</w:t>
            </w:r>
          </w:p>
        </w:tc>
        <w:tc>
          <w:tcPr>
            <w:tcW w:w="1709" w:type="dxa"/>
          </w:tcPr>
          <w:p w14:paraId="6E31735F" w14:textId="77777777" w:rsidR="00AC2891" w:rsidRDefault="00000000">
            <w:pPr>
              <w:jc w:val="center"/>
            </w:pPr>
            <w:r>
              <w:rPr>
                <w:rFonts w:ascii="Times New Roman" w:hAnsi="Times New Roman"/>
                <w:sz w:val="18"/>
              </w:rPr>
              <w:t>✓</w:t>
            </w:r>
          </w:p>
        </w:tc>
        <w:tc>
          <w:tcPr>
            <w:tcW w:w="1709" w:type="dxa"/>
          </w:tcPr>
          <w:p w14:paraId="7A23F626" w14:textId="77777777" w:rsidR="00AC2891" w:rsidRDefault="00000000">
            <w:pPr>
              <w:jc w:val="center"/>
            </w:pPr>
            <w:r>
              <w:rPr>
                <w:rFonts w:ascii="Times New Roman" w:hAnsi="Times New Roman"/>
                <w:sz w:val="18"/>
              </w:rPr>
              <w:t>✗</w:t>
            </w:r>
          </w:p>
        </w:tc>
        <w:tc>
          <w:tcPr>
            <w:tcW w:w="1709" w:type="dxa"/>
          </w:tcPr>
          <w:p w14:paraId="50A70CB6" w14:textId="77777777" w:rsidR="00AC2891" w:rsidRDefault="00000000">
            <w:pPr>
              <w:jc w:val="center"/>
            </w:pPr>
            <w:r>
              <w:rPr>
                <w:rFonts w:ascii="Times New Roman" w:hAnsi="Times New Roman"/>
                <w:sz w:val="18"/>
              </w:rPr>
              <w:t>✗</w:t>
            </w:r>
          </w:p>
        </w:tc>
        <w:tc>
          <w:tcPr>
            <w:tcW w:w="1709" w:type="dxa"/>
          </w:tcPr>
          <w:p w14:paraId="339F742A" w14:textId="77777777" w:rsidR="00AC2891" w:rsidRDefault="00000000">
            <w:pPr>
              <w:jc w:val="center"/>
            </w:pPr>
            <w:r>
              <w:rPr>
                <w:rFonts w:ascii="Times New Roman" w:hAnsi="Times New Roman"/>
                <w:sz w:val="18"/>
              </w:rPr>
              <w:t>58.67</w:t>
            </w:r>
          </w:p>
        </w:tc>
        <w:tc>
          <w:tcPr>
            <w:tcW w:w="1709" w:type="dxa"/>
          </w:tcPr>
          <w:p w14:paraId="07384521" w14:textId="77777777" w:rsidR="00AC2891" w:rsidRDefault="00000000">
            <w:pPr>
              <w:jc w:val="center"/>
            </w:pPr>
            <w:r>
              <w:rPr>
                <w:rFonts w:ascii="Times New Roman" w:hAnsi="Times New Roman"/>
                <w:sz w:val="18"/>
              </w:rPr>
              <w:t>23.80</w:t>
            </w:r>
          </w:p>
        </w:tc>
      </w:tr>
      <w:tr w:rsidR="00AC2891" w14:paraId="5B9341DC" w14:textId="77777777">
        <w:trPr>
          <w:jc w:val="center"/>
        </w:trPr>
        <w:tc>
          <w:tcPr>
            <w:tcW w:w="1709" w:type="dxa"/>
          </w:tcPr>
          <w:p w14:paraId="41107A4C" w14:textId="77777777" w:rsidR="00AC2891" w:rsidRDefault="00000000">
            <w:pPr>
              <w:jc w:val="center"/>
            </w:pPr>
            <w:r>
              <w:rPr>
                <w:rFonts w:ascii="Times New Roman" w:hAnsi="Times New Roman"/>
                <w:sz w:val="18"/>
              </w:rPr>
              <w:t>Full HiSMD-Net</w:t>
            </w:r>
          </w:p>
        </w:tc>
        <w:tc>
          <w:tcPr>
            <w:tcW w:w="1709" w:type="dxa"/>
          </w:tcPr>
          <w:p w14:paraId="30309658" w14:textId="77777777" w:rsidR="00AC2891" w:rsidRDefault="00000000">
            <w:pPr>
              <w:jc w:val="center"/>
            </w:pPr>
            <w:r>
              <w:rPr>
                <w:rFonts w:ascii="Times New Roman" w:hAnsi="Times New Roman"/>
                <w:sz w:val="18"/>
              </w:rPr>
              <w:t>✓</w:t>
            </w:r>
          </w:p>
        </w:tc>
        <w:tc>
          <w:tcPr>
            <w:tcW w:w="1709" w:type="dxa"/>
          </w:tcPr>
          <w:p w14:paraId="5304748D" w14:textId="77777777" w:rsidR="00AC2891" w:rsidRDefault="00000000">
            <w:pPr>
              <w:jc w:val="center"/>
            </w:pPr>
            <w:r>
              <w:rPr>
                <w:rFonts w:ascii="Times New Roman" w:hAnsi="Times New Roman"/>
                <w:sz w:val="18"/>
              </w:rPr>
              <w:t>✓</w:t>
            </w:r>
          </w:p>
        </w:tc>
        <w:tc>
          <w:tcPr>
            <w:tcW w:w="1709" w:type="dxa"/>
          </w:tcPr>
          <w:p w14:paraId="6CF8231B" w14:textId="77777777" w:rsidR="00AC2891" w:rsidRDefault="00000000">
            <w:pPr>
              <w:jc w:val="center"/>
            </w:pPr>
            <w:r>
              <w:rPr>
                <w:rFonts w:ascii="Times New Roman" w:hAnsi="Times New Roman"/>
                <w:sz w:val="18"/>
              </w:rPr>
              <w:t>✓</w:t>
            </w:r>
          </w:p>
        </w:tc>
        <w:tc>
          <w:tcPr>
            <w:tcW w:w="1709" w:type="dxa"/>
          </w:tcPr>
          <w:p w14:paraId="0667B381" w14:textId="77777777" w:rsidR="00AC2891" w:rsidRDefault="00000000">
            <w:pPr>
              <w:jc w:val="center"/>
            </w:pPr>
            <w:r>
              <w:rPr>
                <w:rFonts w:ascii="Times New Roman" w:hAnsi="Times New Roman"/>
                <w:sz w:val="18"/>
              </w:rPr>
              <w:t>66.83</w:t>
            </w:r>
          </w:p>
        </w:tc>
        <w:tc>
          <w:tcPr>
            <w:tcW w:w="1709" w:type="dxa"/>
          </w:tcPr>
          <w:p w14:paraId="535E1688" w14:textId="77777777" w:rsidR="00AC2891" w:rsidRDefault="00000000">
            <w:pPr>
              <w:jc w:val="center"/>
            </w:pPr>
            <w:r>
              <w:rPr>
                <w:rFonts w:ascii="Times New Roman" w:hAnsi="Times New Roman"/>
                <w:sz w:val="18"/>
              </w:rPr>
              <w:t>30.16</w:t>
            </w:r>
          </w:p>
        </w:tc>
      </w:tr>
    </w:tbl>
    <w:p w14:paraId="3B5288B0" w14:textId="77777777" w:rsidR="00AC2891" w:rsidRDefault="00000000">
      <w:pPr>
        <w:spacing w:before="60" w:after="120"/>
        <w:jc w:val="center"/>
      </w:pPr>
      <w:r>
        <w:rPr>
          <w:rFonts w:ascii="Times New Roman" w:hAnsi="Times New Roman"/>
          <w:i/>
          <w:sz w:val="18"/>
        </w:rPr>
        <w:t>Table III. Ablation Study Results on VisDrone2019-DET Validation Set.</w:t>
      </w:r>
    </w:p>
    <w:p w14:paraId="685293C3" w14:textId="77777777" w:rsidR="00AC2891" w:rsidRDefault="00000000">
      <w:pPr>
        <w:spacing w:before="100" w:after="60"/>
      </w:pPr>
      <w:r>
        <w:rPr>
          <w:rFonts w:ascii="Times New Roman" w:hAnsi="Times New Roman"/>
          <w:b/>
          <w:i/>
          <w:sz w:val="20"/>
        </w:rPr>
        <w:t>D. Discussion</w:t>
      </w:r>
    </w:p>
    <w:p w14:paraId="42FB9926" w14:textId="77777777" w:rsidR="00AC2891" w:rsidRDefault="00000000">
      <w:pPr>
        <w:spacing w:after="80"/>
        <w:ind w:firstLine="397"/>
        <w:jc w:val="both"/>
      </w:pPr>
      <w:r>
        <w:rPr>
          <w:rFonts w:ascii="Times New Roman" w:hAnsi="Times New Roman"/>
          <w:sz w:val="20"/>
        </w:rPr>
        <w:t xml:space="preserve">The ablation results in Table III confirm that all three proposed modules contribute independently and synergistically. The Stride-2 head alone contributes the largest individual improvement (+9.10% AP50, +8.11% APS) by directly addressing the detection grid resolution bottleneck. ASRFR alone provides +6.57% AP50 and +5.40% APS through sub-pixel feature restoration. SpatialSSM alone contributes +5.73% AP50 by improving spatial context reasoning at backbone stages. Together, </w:t>
      </w:r>
      <w:r>
        <w:rPr>
          <w:rFonts w:ascii="Times New Roman" w:hAnsi="Times New Roman"/>
          <w:sz w:val="20"/>
        </w:rPr>
        <w:lastRenderedPageBreak/>
        <w:t>the combined system achieves gains (+14.73% AP50, +11.76% APS) that exceed the sum of individual contributions, indicating strong synergistic interaction between the three modules.</w:t>
      </w:r>
    </w:p>
    <w:p w14:paraId="492F2391" w14:textId="77777777" w:rsidR="00AC2891" w:rsidRDefault="00AC2891"/>
    <w:p w14:paraId="30744692" w14:textId="77777777" w:rsidR="00AC2891" w:rsidRDefault="00000000">
      <w:pPr>
        <w:spacing w:before="160" w:after="80"/>
      </w:pPr>
      <w:r>
        <w:rPr>
          <w:rFonts w:ascii="Times New Roman" w:hAnsi="Times New Roman"/>
          <w:b/>
        </w:rPr>
        <w:t>VI. CONCLUSION</w:t>
      </w:r>
    </w:p>
    <w:p w14:paraId="77C42128" w14:textId="77777777" w:rsidR="00AC2891" w:rsidRDefault="00000000">
      <w:pPr>
        <w:spacing w:after="80"/>
        <w:ind w:firstLine="397"/>
        <w:jc w:val="both"/>
      </w:pPr>
      <w:r>
        <w:rPr>
          <w:rFonts w:ascii="Times New Roman" w:hAnsi="Times New Roman"/>
          <w:sz w:val="20"/>
        </w:rPr>
        <w:t>We presented HiSMD-Net, a novel single-stage decoupled anchor-free detector for small object detection in UAV drone imagery. HiSMD-Net addresses three critical limitations of existing detectors through: (1) the ASRFR sub-pixel feature reconstruction module for micro-object boundary restoration, (2) SpatialSSM Mamba-based linear-complexity global context blocks at backbone stages C3 and C4, and (3) a Stride-2 PixelShuffle detection head producing a 320×320 ultra-fine detection grid with 102,400 anchor locations.</w:t>
      </w:r>
    </w:p>
    <w:p w14:paraId="3A38FEBB" w14:textId="77777777" w:rsidR="00AC2891" w:rsidRDefault="00000000">
      <w:pPr>
        <w:spacing w:after="80"/>
        <w:ind w:firstLine="397"/>
        <w:jc w:val="both"/>
      </w:pPr>
      <w:r>
        <w:rPr>
          <w:rFonts w:ascii="Times New Roman" w:hAnsi="Times New Roman"/>
          <w:sz w:val="20"/>
        </w:rPr>
        <w:t>Evaluated on VisDrone2019-DET across 10 object categories, HiSMD-Net achieves 66.83% AP50, 45.96% mAP, and 30.16% APS, outperforming the UAVDet baseline by +14.73%, +14.76%, and +11.76% respectively, while simultaneously reducing parameter count by 31% to 16.49M. These results demonstrate that sub-pixel feature restoration combined with fine-grained detection grids and efficient context modeling forms a powerful and practical solution for micro-object detection in real-world UAV applications.</w:t>
      </w:r>
    </w:p>
    <w:p w14:paraId="379127DF" w14:textId="77777777" w:rsidR="00AC2891" w:rsidRDefault="00AC2891"/>
    <w:p w14:paraId="56B36AFB" w14:textId="77777777" w:rsidR="00AC2891" w:rsidRDefault="00000000">
      <w:pPr>
        <w:spacing w:before="160" w:after="80"/>
      </w:pPr>
      <w:r>
        <w:rPr>
          <w:rFonts w:ascii="Times New Roman" w:hAnsi="Times New Roman"/>
          <w:b/>
        </w:rPr>
        <w:t>. REFERENCES</w:t>
      </w:r>
    </w:p>
    <w:p w14:paraId="3C1BF846" w14:textId="77777777" w:rsidR="00AC2891" w:rsidRDefault="00000000">
      <w:pPr>
        <w:spacing w:after="40"/>
        <w:ind w:left="283"/>
      </w:pPr>
      <w:r>
        <w:rPr>
          <w:rFonts w:ascii="Times New Roman" w:hAnsi="Times New Roman"/>
          <w:sz w:val="18"/>
        </w:rPr>
        <w:t>[1] Ren, S., He, K., Girshick, R., Sun, J. (2015). Faster R-CNN: Towards Real-Time Object Detection with Region Proposal Networks. NeurIPS.</w:t>
      </w:r>
    </w:p>
    <w:p w14:paraId="18106E26" w14:textId="77777777" w:rsidR="00AC2891" w:rsidRDefault="00000000">
      <w:pPr>
        <w:spacing w:after="40"/>
        <w:ind w:left="283"/>
      </w:pPr>
      <w:r>
        <w:rPr>
          <w:rFonts w:ascii="Times New Roman" w:hAnsi="Times New Roman"/>
          <w:sz w:val="18"/>
        </w:rPr>
        <w:t>[2] Jocher, G., et al. (2023). Ultralytics YOLOv8.</w:t>
      </w:r>
    </w:p>
    <w:p w14:paraId="495E5DAE" w14:textId="77777777" w:rsidR="00AC2891" w:rsidRDefault="00000000">
      <w:pPr>
        <w:spacing w:after="40"/>
        <w:ind w:left="283"/>
      </w:pPr>
      <w:r>
        <w:rPr>
          <w:rFonts w:ascii="Times New Roman" w:hAnsi="Times New Roman"/>
          <w:sz w:val="18"/>
        </w:rPr>
        <w:t>[3] Zhao, Y., et al. (2023). DETRs Beat YOLOs on Real-time Object Detection. arXiv:2304.08069.</w:t>
      </w:r>
    </w:p>
    <w:p w14:paraId="443CA6B1" w14:textId="77777777" w:rsidR="00AC2891" w:rsidRDefault="00000000">
      <w:pPr>
        <w:spacing w:after="40"/>
        <w:ind w:left="283"/>
      </w:pPr>
      <w:r>
        <w:rPr>
          <w:rFonts w:ascii="Times New Roman" w:hAnsi="Times New Roman"/>
          <w:sz w:val="18"/>
        </w:rPr>
        <w:t>[4] UAVDet: A CNN-Mamba Hybrid Network for Efficient Small Object Detection in UAV Imagery. (Base Paper).</w:t>
      </w:r>
    </w:p>
    <w:p w14:paraId="65D39CE8" w14:textId="77777777" w:rsidR="00AC2891" w:rsidRDefault="00000000">
      <w:pPr>
        <w:spacing w:after="40"/>
        <w:ind w:left="283"/>
      </w:pPr>
      <w:r>
        <w:rPr>
          <w:rFonts w:ascii="Times New Roman" w:hAnsi="Times New Roman"/>
          <w:sz w:val="18"/>
        </w:rPr>
        <w:t>[5] Tian, Z., et al. (2019). FCOS: Fully Convolutional One-Stage Object Detection. ICCV.</w:t>
      </w:r>
    </w:p>
    <w:p w14:paraId="02374A80" w14:textId="77777777" w:rsidR="00AC2891" w:rsidRDefault="00000000">
      <w:pPr>
        <w:spacing w:after="40"/>
        <w:ind w:left="283"/>
      </w:pPr>
      <w:r>
        <w:rPr>
          <w:rFonts w:ascii="Times New Roman" w:hAnsi="Times New Roman"/>
          <w:sz w:val="18"/>
        </w:rPr>
        <w:t>[6] Ge, Z., et al. (2021). YOLOX: Exceeding YOLO Series Detectors. arXiv:2107.08430.</w:t>
      </w:r>
    </w:p>
    <w:p w14:paraId="1E31B84A" w14:textId="77777777" w:rsidR="00AC2891" w:rsidRDefault="00000000">
      <w:pPr>
        <w:spacing w:after="40"/>
        <w:ind w:left="283"/>
      </w:pPr>
      <w:r>
        <w:rPr>
          <w:rFonts w:ascii="Times New Roman" w:hAnsi="Times New Roman"/>
          <w:sz w:val="18"/>
        </w:rPr>
        <w:t>[7] Zhu, P., et al. (2021). Detection and Tracking Meet Drones Challenge. IEEE TPAMI.</w:t>
      </w:r>
    </w:p>
    <w:p w14:paraId="7477B3AB" w14:textId="77777777" w:rsidR="00AC2891" w:rsidRDefault="00000000">
      <w:pPr>
        <w:spacing w:after="40"/>
        <w:ind w:left="283"/>
      </w:pPr>
      <w:r>
        <w:rPr>
          <w:rFonts w:ascii="Times New Roman" w:hAnsi="Times New Roman"/>
          <w:sz w:val="18"/>
        </w:rPr>
        <w:t>[8] Yang, F., et al. (2019). Clustered Object Detection in Aerial Images. ICCV.</w:t>
      </w:r>
    </w:p>
    <w:p w14:paraId="2F348E39" w14:textId="77777777" w:rsidR="00AC2891" w:rsidRDefault="00000000">
      <w:pPr>
        <w:spacing w:after="40"/>
        <w:ind w:left="283"/>
      </w:pPr>
      <w:r>
        <w:rPr>
          <w:rFonts w:ascii="Times New Roman" w:hAnsi="Times New Roman"/>
          <w:sz w:val="18"/>
        </w:rPr>
        <w:t>[9] Yang, C., et al. (2022). QueryDet: Cascaded Sparse Query for Accelerating High-Resolution Small Object Detection. CVPR.</w:t>
      </w:r>
    </w:p>
    <w:p w14:paraId="0E40F827" w14:textId="77777777" w:rsidR="00AC2891" w:rsidRDefault="00000000">
      <w:pPr>
        <w:spacing w:after="40"/>
        <w:ind w:left="283"/>
      </w:pPr>
      <w:r>
        <w:rPr>
          <w:rFonts w:ascii="Times New Roman" w:hAnsi="Times New Roman"/>
          <w:sz w:val="18"/>
        </w:rPr>
        <w:t>[10] Zhu, X., et al. (2021). TPH-YOLOv5: Improved YOLOv5 Based on Transformer Prediction Head. ICCVW.</w:t>
      </w:r>
    </w:p>
    <w:p w14:paraId="6D7CA2AB" w14:textId="77777777" w:rsidR="00AC2891" w:rsidRDefault="00000000">
      <w:pPr>
        <w:spacing w:after="40"/>
        <w:ind w:left="283"/>
      </w:pPr>
      <w:r>
        <w:rPr>
          <w:rFonts w:ascii="Times New Roman" w:hAnsi="Times New Roman"/>
          <w:sz w:val="18"/>
        </w:rPr>
        <w:t>[11] Wang, X., et al. (2018). ESRGAN: Enhanced Super-Resolution Generative Adversarial Networks. ECCVW.</w:t>
      </w:r>
    </w:p>
    <w:p w14:paraId="6179644B" w14:textId="77777777" w:rsidR="00AC2891" w:rsidRDefault="00000000">
      <w:pPr>
        <w:spacing w:after="40"/>
        <w:ind w:left="283"/>
      </w:pPr>
      <w:r>
        <w:rPr>
          <w:rFonts w:ascii="Times New Roman" w:hAnsi="Times New Roman"/>
          <w:sz w:val="18"/>
        </w:rPr>
        <w:t>[12] Shi, W., et al. (2016). Real-Time Single Image and Video Super-Resolution Using an Efficient Sub-Pixel CNN. CVPR.</w:t>
      </w:r>
    </w:p>
    <w:p w14:paraId="090979ED" w14:textId="77777777" w:rsidR="00AC2891" w:rsidRDefault="00000000">
      <w:pPr>
        <w:spacing w:after="40"/>
        <w:ind w:left="283"/>
      </w:pPr>
      <w:r>
        <w:rPr>
          <w:rFonts w:ascii="Times New Roman" w:hAnsi="Times New Roman"/>
          <w:sz w:val="18"/>
        </w:rPr>
        <w:t>[13] Gu, A., Dao, T. (2023). Mamba: Linear-Time Sequence Modeling with Selective State Spaces. arXiv:2312.00752.</w:t>
      </w:r>
    </w:p>
    <w:p w14:paraId="4B97230F" w14:textId="77777777" w:rsidR="00AC2891" w:rsidRDefault="00000000">
      <w:pPr>
        <w:spacing w:after="40"/>
        <w:ind w:left="283"/>
      </w:pPr>
      <w:r>
        <w:rPr>
          <w:rFonts w:ascii="Times New Roman" w:hAnsi="Times New Roman"/>
          <w:sz w:val="18"/>
        </w:rPr>
        <w:t>[14] Liu, Y., et al. (2024). VMamba: Visual State Space Model. arXiv:2401.13260.</w:t>
      </w:r>
    </w:p>
    <w:sectPr w:rsidR="00AC2891" w:rsidSect="00034616">
      <w:pgSz w:w="12240" w:h="15840"/>
      <w:pgMar w:top="1077" w:right="992" w:bottom="107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510417">
    <w:abstractNumId w:val="8"/>
  </w:num>
  <w:num w:numId="2" w16cid:durableId="2016414772">
    <w:abstractNumId w:val="6"/>
  </w:num>
  <w:num w:numId="3" w16cid:durableId="335960428">
    <w:abstractNumId w:val="5"/>
  </w:num>
  <w:num w:numId="4" w16cid:durableId="1223249414">
    <w:abstractNumId w:val="4"/>
  </w:num>
  <w:num w:numId="5" w16cid:durableId="1746026255">
    <w:abstractNumId w:val="7"/>
  </w:num>
  <w:num w:numId="6" w16cid:durableId="442000645">
    <w:abstractNumId w:val="3"/>
  </w:num>
  <w:num w:numId="7" w16cid:durableId="745341355">
    <w:abstractNumId w:val="2"/>
  </w:num>
  <w:num w:numId="8" w16cid:durableId="1049499755">
    <w:abstractNumId w:val="1"/>
  </w:num>
  <w:num w:numId="9" w16cid:durableId="74738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D1F"/>
    <w:rsid w:val="0015074B"/>
    <w:rsid w:val="0029639D"/>
    <w:rsid w:val="00326F90"/>
    <w:rsid w:val="00AA1D8D"/>
    <w:rsid w:val="00AC2891"/>
    <w:rsid w:val="00B47730"/>
    <w:rsid w:val="00C226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0E9FE"/>
  <w14:defaultImageDpi w14:val="300"/>
  <w15:docId w15:val="{B01C7C81-59F0-456B-B8B5-877D78C6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Pradakshina B</cp:lastModifiedBy>
  <cp:revision>2</cp:revision>
  <dcterms:created xsi:type="dcterms:W3CDTF">2013-12-23T23:15:00Z</dcterms:created>
  <dcterms:modified xsi:type="dcterms:W3CDTF">2026-09-11T15:11:00Z</dcterms:modified>
  <cp:category/>
</cp:coreProperties>
</file>