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3D6E"/>
          <w:sz w:val="30"/>
          <w:szCs w:val="30"/>
        </w:rPr>
        <w:t xml:space="preserve">Architectural Justification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B6B82"/>
          <w:sz w:val="20"/>
          <w:szCs w:val="20"/>
        </w:rPr>
        <w:t xml:space="preserve">Lab 3 — Component Modelling &amp; Architectural Pattern Selection  ·  OpenAPI Mock API Server</w:t>
      </w:r>
    </w:p>
    <w:p>
      <w:pPr>
        <w:pBdr>
          <w:bottom w:val="single" w:color="C9D3E0" w:sz="6" w:space="4"/>
        </w:pBdr>
        <w:spacing w:after="200"/>
      </w:pPr>
      <w:r>
        <w:rPr>
          <w:rFonts w:ascii="Calibri" w:cs="Calibri" w:eastAsia="Calibri" w:hAnsi="Calibri"/>
          <w:b/>
          <w:bCs/>
          <w:color w:val="1F3D6E"/>
          <w:sz w:val="21"/>
          <w:szCs w:val="21"/>
        </w:rPr>
        <w:t xml:space="preserve">Name: </w:t>
      </w:r>
      <w:r>
        <w:rPr>
          <w:rFonts w:ascii="Calibri" w:cs="Calibri" w:eastAsia="Calibri" w:hAnsi="Calibri"/>
          <w:sz w:val="21"/>
          <w:szCs w:val="21"/>
        </w:rPr>
        <w:t xml:space="preserve">Pranav Kalla</w:t>
      </w:r>
      <w:r>
        <w:rPr>
          <w:rFonts w:ascii="Calibri" w:cs="Calibri" w:eastAsia="Calibri" w:hAnsi="Calibri"/>
          <w:b/>
          <w:bCs/>
          <w:color w:val="1F3D6E"/>
          <w:sz w:val="21"/>
          <w:szCs w:val="21"/>
        </w:rPr>
        <w:t xml:space="preserve">          SRN: </w:t>
      </w:r>
      <w:r>
        <w:rPr>
          <w:rFonts w:ascii="Calibri" w:cs="Calibri" w:eastAsia="Calibri" w:hAnsi="Calibri"/>
          <w:sz w:val="21"/>
          <w:szCs w:val="21"/>
        </w:rPr>
        <w:t xml:space="preserve">PES1UG24AM197</w:t>
      </w:r>
    </w:p>
    <w:p>
      <w:pPr>
        <w:spacing w:after="6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We chose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Microservices architecture</w:t>
      </w:r>
      <w:r>
        <w:rPr>
          <w:rFonts w:ascii="Calibri" w:cs="Calibri" w:eastAsia="Calibri" w:hAnsi="Calibri"/>
          <w:sz w:val="21"/>
          <w:szCs w:val="21"/>
        </w:rPr>
        <w:t xml:space="preserve"> for the OpenAPI Mock API Server (the API mocking and testing platform described in the scenario).</w:t>
      </w:r>
    </w:p>
    <w:p>
      <w:pPr>
        <w:pBdr>
          <w:bottom w:val="single" w:color="C9D3E0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D6E"/>
          <w:sz w:val="24"/>
          <w:szCs w:val="24"/>
        </w:rPr>
        <w:t xml:space="preserve">Architectural Choice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The system is decomposed into small, independently deployable services — a Spec Manager, a Mock Generator, a Mock Request Handler, a Request Validator, a Response Engine and a Logging Service — each owning a single responsibility and communicating over well-defined interfaces. This was preferred over a Layered monolith (which couples all concerns into one deployable and scales as a single unit) and over a plain Client–Server design (which centralises logic and creates a single point of failure).</w:t>
      </w:r>
    </w:p>
    <w:p>
      <w:pPr>
        <w:pBdr>
          <w:bottom w:val="single" w:color="C9D3E0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D6E"/>
          <w:sz w:val="24"/>
          <w:szCs w:val="24"/>
        </w:rPr>
        <w:t xml:space="preserve">Two Scenario-Specific Reasons</w:t>
      </w:r>
    </w:p>
    <w:p>
      <w:pPr>
        <w:pStyle w:val="ListParagraph"/>
        <w:numPr>
          <w:ilvl w:val="0"/>
          <w:numId w:val="2"/>
        </w:numPr>
        <w:spacing w:after="10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Independent scaling of the hot path. </w:t>
      </w:r>
      <w:r>
        <w:rPr>
          <w:rFonts w:ascii="Calibri" w:cs="Calibri" w:eastAsia="Calibri" w:hAnsi="Calibri"/>
          <w:sz w:val="21"/>
          <w:szCs w:val="21"/>
        </w:rPr>
        <w:t xml:space="preserve">The scenario requires sustaining at least 1,000 mock API requests per second while holding configured latency within tolerance. Only the Mock Request Handler and Response Engine sit on this high-throughput path; spec parsing and validation happen rarely, at design time. Microservices let us replicate just those runtime services horizontally without paying to scale the seldom-used Spec Manager, which a layered monolith cannot do.</w:t>
      </w:r>
    </w:p>
    <w:p>
      <w:pPr>
        <w:pStyle w:val="ListParagraph"/>
        <w:numPr>
          <w:ilvl w:val="0"/>
          <w:numId w:val="2"/>
        </w:numPr>
        <w:spacing w:after="10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Fault isolation for untrusted input. </w:t>
      </w:r>
      <w:r>
        <w:rPr>
          <w:rFonts w:ascii="Calibri" w:cs="Calibri" w:eastAsia="Calibri" w:hAnsi="Calibri"/>
          <w:sz w:val="21"/>
          <w:szCs w:val="21"/>
        </w:rPr>
        <w:t xml:space="preserve">The system must parse externally supplied OpenAPI specifications and handle malformed or oversized files gracefully. Isolating parsing inside the Spec Manager means a crash or resource spike triggered by a hostile specification is contained to that service; the mock endpoints already serving QA engineers keep running, so validation work cannot take down live testing traffic.</w:t>
      </w:r>
    </w:p>
    <w:p>
      <w:pPr>
        <w:pBdr>
          <w:bottom w:val="single" w:color="C9D3E0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D6E"/>
          <w:sz w:val="24"/>
          <w:szCs w:val="24"/>
        </w:rPr>
        <w:t xml:space="preserve">Security Advantage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Because incoming traffic is funnelled through the Mock Request Handler and every request is checked by a dedicated Request Validator before any response is produced, schema validation and input sanitisation are enforced at a single, hardened boundary. Malformed requests are rejected with a 400 and undefined routes with a 404, and injection payloads never reach the Response Engine or the data store. Each service also runs with least-privilege access — only the Logging Service and Spec Manager touch persistence — so a compromise of a public-facing service does not grant direct database access.</w:t>
      </w:r>
    </w:p>
    <w:p>
      <w:pPr>
        <w:pBdr>
          <w:bottom w:val="single" w:color="C9D3E0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D6E"/>
          <w:sz w:val="24"/>
          <w:szCs w:val="24"/>
        </w:rPr>
        <w:t xml:space="preserve">Performance Benefit</w:t>
      </w:r>
    </w:p>
    <w:p>
      <w:pPr>
        <w:spacing w:after="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Separating the Response Engine (which applies configurable latency, status codes and randomized schema-conformant payloads) from the Mock Request Handler lets the request path stay lightweight and stateless, so it can be load-balanced across many instances to reach the 1,000 req/s target. Simulated delays are applied asynchronously per request and logging is dispatched over an async message channel, meaning artificial latency and I/O for one request never block the throughput of others.</w:t>
      </w:r>
    </w:p>
    <w:sectPr>
      <w:pgSz w:w="12240" w:h="15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2026-09-09T20:56:21.516Z</dcterms:created>
  <dcterms:modified xsi:type="dcterms:W3CDTF">2026-09-09T20:56:21.526Z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