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000000"/>
          <w:sz w:val="30"/>
          <w:szCs w:val="30"/>
        </w:rPr>
        <w:t xml:space="preserve">Predicting Mortgage Backed Securities Prepayment Using Machine Learning Methods</w:t>
      </w:r>
    </w:p>
    <w:p>
      <w:pPr>
        <w:spacing w:after="20"/>
        <w:jc w:val="center"/>
      </w:pPr>
      <w:r>
        <w:rPr>
          <w:rFonts w:ascii="Times New Roman" w:cs="Times New Roman" w:eastAsia="Times New Roman" w:hAnsi="Times New Roman"/>
          <w:color w:val="000000"/>
          <w:sz w:val="21"/>
          <w:szCs w:val="21"/>
        </w:rPr>
        <w:t xml:space="preserve">UE24CS352A – Machine Learning  |  Mini-Project Write-up</w:t>
      </w:r>
    </w:p>
    <w:p>
      <w:pPr>
        <w:spacing w:after="20"/>
        <w:jc w:val="center"/>
      </w:pPr>
      <w:r>
        <w:rPr>
          <w:rFonts w:ascii="Times New Roman" w:cs="Times New Roman" w:eastAsia="Times New Roman" w:hAnsi="Times New Roman"/>
          <w:color w:val="000000"/>
          <w:sz w:val="21"/>
          <w:szCs w:val="21"/>
        </w:rPr>
        <w:t xml:space="preserve">Section D  |  Team D-12  |  Project No. 55</w:t>
      </w:r>
    </w:p>
    <w:p>
      <w:pPr>
        <w:pBdr>
          <w:bottom w:val="single" w:color="000000" w:sz="8" w:space="6"/>
        </w:pBdr>
        <w:spacing w:after="100"/>
        <w:jc w:val="center"/>
      </w:pPr>
      <w:r>
        <w:rPr>
          <w:rFonts w:ascii="Times New Roman" w:cs="Times New Roman" w:eastAsia="Times New Roman" w:hAnsi="Times New Roman"/>
          <w:b/>
          <w:bCs/>
          <w:color w:val="000000"/>
          <w:sz w:val="21"/>
          <w:szCs w:val="21"/>
        </w:rPr>
        <w:t xml:space="preserve">Rachit Satwashil Mane  ·  Pranav Kalla</w:t>
      </w:r>
    </w:p>
    <w:p>
      <w:pPr>
        <w:keepNext/>
        <w:pBdr>
          <w:bottom w:val="single" w:color="808080" w:sz="4" w:space="1"/>
        </w:pBdr>
        <w:spacing w:after="40" w:before="100"/>
      </w:pPr>
      <w:r>
        <w:rPr>
          <w:rFonts w:ascii="Times New Roman" w:cs="Times New Roman" w:eastAsia="Times New Roman" w:hAnsi="Times New Roman"/>
          <w:b/>
          <w:bCs/>
          <w:color w:val="000000"/>
          <w:sz w:val="22"/>
          <w:szCs w:val="22"/>
        </w:rPr>
        <w:t xml:space="preserve">1. Problem Statement and Objective</w:t>
      </w:r>
    </w:p>
    <w:p>
      <w:pPr>
        <w:spacing w:after="50" w:before="0" w:line="246"/>
        <w:jc w:val="both"/>
      </w:pPr>
      <w:r>
        <w:rPr>
          <w:rFonts w:ascii="Times New Roman" w:cs="Times New Roman" w:eastAsia="Times New Roman" w:hAnsi="Times New Roman"/>
          <w:color w:val="000000"/>
          <w:sz w:val="20"/>
          <w:szCs w:val="20"/>
        </w:rPr>
        <w:t xml:space="preserve">When a borrower pays off a mortgage early (prepayment), investors in mortgage-backed securities (MBS) stop receiving the scheduled interest on that loan, so predicting prepayment is central to MBS risk. We treat it as loan-level binary classification: for a loan that is still active at the end of month t, will it be paid off in full in month t+1?</w:t>
      </w:r>
    </w:p>
    <w:p>
      <w:pPr>
        <w:spacing w:after="50" w:before="0" w:line="246"/>
        <w:jc w:val="both"/>
      </w:pPr>
      <w:r>
        <w:rPr>
          <w:rFonts w:ascii="Times New Roman" w:cs="Times New Roman" w:eastAsia="Times New Roman" w:hAnsi="Times New Roman"/>
          <w:b/>
          <w:bCs/>
          <w:color w:val="000000"/>
          <w:sz w:val="20"/>
          <w:szCs w:val="20"/>
        </w:rPr>
        <w:t xml:space="preserve">Original paper. </w:t>
      </w:r>
      <w:r>
        <w:rPr>
          <w:rFonts w:ascii="Times New Roman" w:cs="Times New Roman" w:eastAsia="Times New Roman" w:hAnsi="Times New Roman"/>
          <w:color w:val="000000"/>
          <w:sz w:val="20"/>
          <w:szCs w:val="20"/>
        </w:rPr>
        <w:t xml:space="preserve">Guo, Boccio and Cameron (Stanford CS229, 2021) labelled each loan-month as “prepaid in this month”, split rows at random and compared logistic regression, SVMs, Gaussian discriminant analysis (GDA) and a neural network. The paper reports its best test accuracy, 99.959%, for quadratic GDA (the paper’s result, not ours).</w:t>
      </w:r>
    </w:p>
    <w:p>
      <w:pPr>
        <w:spacing w:after="50" w:before="0" w:line="246"/>
        <w:jc w:val="both"/>
      </w:pPr>
      <w:r>
        <w:rPr>
          <w:rFonts w:ascii="Times New Roman" w:cs="Times New Roman" w:eastAsia="Times New Roman" w:hAnsi="Times New Roman"/>
          <w:b/>
          <w:bCs/>
          <w:color w:val="000000"/>
          <w:sz w:val="20"/>
          <w:szCs w:val="20"/>
        </w:rPr>
        <w:t xml:space="preserve">Our implementation. </w:t>
      </w:r>
      <w:r>
        <w:rPr>
          <w:rFonts w:ascii="Times New Roman" w:cs="Times New Roman" w:eastAsia="Times New Roman" w:hAnsi="Times New Roman"/>
          <w:color w:val="000000"/>
          <w:sz w:val="20"/>
          <w:szCs w:val="20"/>
        </w:rPr>
        <w:t xml:space="preserve">We reimplement the same model families on Freddie Mac data, show why accuracy at that level is not attainable on a leakage-free version of the task, correct the evaluation (target definition, data split and metrics), and compare all models using metrics suited to a rare positive class.</w:t>
      </w:r>
    </w:p>
    <w:p>
      <w:pPr>
        <w:keepNext/>
        <w:pBdr>
          <w:bottom w:val="single" w:color="808080" w:sz="4" w:space="1"/>
        </w:pBdr>
        <w:spacing w:after="40" w:before="100"/>
      </w:pPr>
      <w:r>
        <w:rPr>
          <w:rFonts w:ascii="Times New Roman" w:cs="Times New Roman" w:eastAsia="Times New Roman" w:hAnsi="Times New Roman"/>
          <w:b/>
          <w:bCs/>
          <w:color w:val="000000"/>
          <w:sz w:val="22"/>
          <w:szCs w:val="22"/>
        </w:rPr>
        <w:t xml:space="preserve">2. Dataset</w:t>
      </w:r>
    </w:p>
    <w:p>
      <w:pPr>
        <w:pStyle w:val="ListParagraph"/>
        <w:numPr>
          <w:ilvl w:val="0"/>
          <w:numId w:val="2"/>
        </w:numPr>
        <w:spacing w:after="20" w:line="246"/>
        <w:jc w:val="left"/>
      </w:pPr>
      <w:r>
        <w:rPr>
          <w:rFonts w:ascii="Times New Roman" w:cs="Times New Roman" w:eastAsia="Times New Roman" w:hAnsi="Times New Roman"/>
          <w:b/>
          <w:bCs/>
          <w:color w:val="000000"/>
          <w:sz w:val="20"/>
          <w:szCs w:val="20"/>
        </w:rPr>
        <w:t xml:space="preserve">Source: </w:t>
      </w:r>
      <w:r>
        <w:rPr>
          <w:rFonts w:ascii="Times New Roman" w:cs="Times New Roman" w:eastAsia="Times New Roman" w:hAnsi="Times New Roman"/>
          <w:color w:val="000000"/>
          <w:sz w:val="20"/>
          <w:szCs w:val="20"/>
        </w:rPr>
        <w:t xml:space="preserve">Freddie Mac Single-Family Loan-Level Dataset (sample files). The origination file (one row per loan) is joined on loan ID to the monthly performance file (one row per loan per month).</w:t>
      </w:r>
    </w:p>
    <w:p>
      <w:pPr>
        <w:pStyle w:val="ListParagraph"/>
        <w:numPr>
          <w:ilvl w:val="0"/>
          <w:numId w:val="2"/>
        </w:numPr>
        <w:spacing w:after="20" w:line="246"/>
        <w:jc w:val="left"/>
      </w:pPr>
      <w:r>
        <w:rPr>
          <w:rFonts w:ascii="Times New Roman" w:cs="Times New Roman" w:eastAsia="Times New Roman" w:hAnsi="Times New Roman"/>
          <w:b/>
          <w:bCs/>
          <w:color w:val="000000"/>
          <w:sz w:val="20"/>
          <w:szCs w:val="20"/>
        </w:rPr>
        <w:t xml:space="preserve">Vintages: </w:t>
      </w:r>
      <w:r>
        <w:rPr>
          <w:rFonts w:ascii="Times New Roman" w:cs="Times New Roman" w:eastAsia="Times New Roman" w:hAnsi="Times New Roman"/>
          <w:color w:val="000000"/>
          <w:sz w:val="20"/>
          <w:szCs w:val="20"/>
        </w:rPr>
        <w:t xml:space="preserve">2012, 2014, 2016, 2018, 2020 and 2022; 30-year, fixed-rate, fully amortizing loans; 5,000 loans sampled per vintage, giving 29,982 loans.</w:t>
      </w:r>
    </w:p>
    <w:p>
      <w:pPr>
        <w:pStyle w:val="ListParagraph"/>
        <w:numPr>
          <w:ilvl w:val="0"/>
          <w:numId w:val="2"/>
        </w:numPr>
        <w:spacing w:after="20" w:line="246"/>
        <w:jc w:val="left"/>
      </w:pPr>
      <w:r>
        <w:rPr>
          <w:rFonts w:ascii="Times New Roman" w:cs="Times New Roman" w:eastAsia="Times New Roman" w:hAnsi="Times New Roman"/>
          <w:b/>
          <w:bCs/>
          <w:color w:val="000000"/>
          <w:sz w:val="20"/>
          <w:szCs w:val="20"/>
        </w:rPr>
        <w:t xml:space="preserve">Size: </w:t>
      </w:r>
      <w:r>
        <w:rPr>
          <w:rFonts w:ascii="Times New Roman" w:cs="Times New Roman" w:eastAsia="Times New Roman" w:hAnsi="Times New Roman"/>
          <w:color w:val="000000"/>
          <w:sz w:val="20"/>
          <w:szCs w:val="20"/>
        </w:rPr>
        <w:t xml:space="preserve">1,722,603 usable loan-month observations (reporting months January 2012 to February 2026) with 104 final features after preprocessing.</w:t>
      </w:r>
    </w:p>
    <w:p>
      <w:pPr>
        <w:pStyle w:val="ListParagraph"/>
        <w:numPr>
          <w:ilvl w:val="0"/>
          <w:numId w:val="2"/>
        </w:numPr>
        <w:spacing w:after="20" w:line="246"/>
        <w:jc w:val="left"/>
      </w:pPr>
      <w:r>
        <w:rPr>
          <w:rFonts w:ascii="Times New Roman" w:cs="Times New Roman" w:eastAsia="Times New Roman" w:hAnsi="Times New Roman"/>
          <w:b/>
          <w:bCs/>
          <w:color w:val="000000"/>
          <w:sz w:val="20"/>
          <w:szCs w:val="20"/>
        </w:rPr>
        <w:t xml:space="preserve">Macroeconomic data (FRED): </w:t>
      </w:r>
      <w:r>
        <w:rPr>
          <w:rFonts w:ascii="Times New Roman" w:cs="Times New Roman" w:eastAsia="Times New Roman" w:hAnsi="Times New Roman"/>
          <w:color w:val="000000"/>
          <w:sz w:val="20"/>
          <w:szCs w:val="20"/>
        </w:rPr>
        <w:t xml:space="preserve">30-year mortgage rate (MORTGAGE30US), FHFA house price index (HPIPONM226S) and unemployment rate (UNRATE), joined by reporting month.</w:t>
      </w:r>
    </w:p>
    <w:p>
      <w:pPr>
        <w:pStyle w:val="ListParagraph"/>
        <w:numPr>
          <w:ilvl w:val="0"/>
          <w:numId w:val="2"/>
        </w:numPr>
        <w:spacing w:after="20" w:line="246"/>
        <w:jc w:val="left"/>
      </w:pPr>
      <w:r>
        <w:rPr>
          <w:rFonts w:ascii="Times New Roman" w:cs="Times New Roman" w:eastAsia="Times New Roman" w:hAnsi="Times New Roman"/>
          <w:b/>
          <w:bCs/>
          <w:color w:val="000000"/>
          <w:sz w:val="20"/>
          <w:szCs w:val="20"/>
        </w:rPr>
        <w:t xml:space="preserve">Features: </w:t>
      </w:r>
      <w:r>
        <w:rPr>
          <w:rFonts w:ascii="Times New Roman" w:cs="Times New Roman" w:eastAsia="Times New Roman" w:hAnsi="Times New Roman"/>
          <w:color w:val="000000"/>
          <w:sz w:val="20"/>
          <w:szCs w:val="20"/>
        </w:rPr>
        <w:t xml:space="preserve">origination attributes (credit score, LTV, CLTV, DTI, balance, interest rate, occupancy, purpose, state, etc.), loan history (age, remaining term, balance ratio, delinquency, modification) and engineered market features: refinance incentive (loan rate minus market rate), burnout, mark-to-market LTV, house-price growth, unemployment change and seasonality.</w:t>
      </w:r>
    </w:p>
    <w:p>
      <w:pPr>
        <w:pStyle w:val="ListParagraph"/>
        <w:numPr>
          <w:ilvl w:val="0"/>
          <w:numId w:val="2"/>
        </w:numPr>
        <w:spacing w:after="20" w:line="246"/>
        <w:jc w:val="left"/>
      </w:pPr>
      <w:r>
        <w:rPr>
          <w:rFonts w:ascii="Times New Roman" w:cs="Times New Roman" w:eastAsia="Times New Roman" w:hAnsi="Times New Roman"/>
          <w:b/>
          <w:bCs/>
          <w:color w:val="000000"/>
          <w:sz w:val="20"/>
          <w:szCs w:val="20"/>
        </w:rPr>
        <w:t xml:space="preserve">Target and class balance: </w:t>
      </w:r>
      <w:r>
        <w:rPr>
          <w:rFonts w:ascii="Times New Roman" w:cs="Times New Roman" w:eastAsia="Times New Roman" w:hAnsi="Times New Roman"/>
          <w:color w:val="000000"/>
          <w:sz w:val="20"/>
          <w:szCs w:val="20"/>
        </w:rPr>
        <w:t xml:space="preserve">1 if the loan’s next monthly record shows zero-balance code 01 (voluntary payoff), excluding maturity. Only 1.08% of observations are positive (18,556 prepayments vs. 1,704,047 non-prepayments).</w:t>
      </w:r>
    </w:p>
    <w:p>
      <w:pPr>
        <w:keepNext/>
        <w:pBdr>
          <w:bottom w:val="single" w:color="808080" w:sz="4" w:space="1"/>
        </w:pBdr>
        <w:spacing w:after="40" w:before="100"/>
      </w:pPr>
      <w:r>
        <w:rPr>
          <w:rFonts w:ascii="Times New Roman" w:cs="Times New Roman" w:eastAsia="Times New Roman" w:hAnsi="Times New Roman"/>
          <w:b/>
          <w:bCs/>
          <w:color w:val="000000"/>
          <w:sz w:val="22"/>
          <w:szCs w:val="22"/>
        </w:rPr>
        <w:t xml:space="preserve">3. Methodology</w:t>
      </w:r>
    </w:p>
    <w:p>
      <w:pPr>
        <w:pStyle w:val="ListParagraph"/>
        <w:numPr>
          <w:ilvl w:val="0"/>
          <w:numId w:val="2"/>
        </w:numPr>
        <w:spacing w:after="20" w:line="246"/>
        <w:jc w:val="left"/>
      </w:pPr>
      <w:r>
        <w:rPr>
          <w:rFonts w:ascii="Times New Roman" w:cs="Times New Roman" w:eastAsia="Times New Roman" w:hAnsi="Times New Roman"/>
          <w:b/>
          <w:bCs/>
          <w:color w:val="000000"/>
          <w:sz w:val="20"/>
          <w:szCs w:val="20"/>
        </w:rPr>
        <w:t xml:space="preserve">Next-month target: </w:t>
      </w:r>
      <w:r>
        <w:rPr>
          <w:rFonts w:ascii="Times New Roman" w:cs="Times New Roman" w:eastAsia="Times New Roman" w:hAnsi="Times New Roman"/>
          <w:color w:val="000000"/>
          <w:sz w:val="20"/>
          <w:szCs w:val="20"/>
        </w:rPr>
        <w:t xml:space="preserve">features use only information known at the end of month t. The payoff row itself, whose reported balance is already 0, is never used as a feature row.</w:t>
      </w:r>
    </w:p>
    <w:p>
      <w:pPr>
        <w:pStyle w:val="ListParagraph"/>
        <w:numPr>
          <w:ilvl w:val="0"/>
          <w:numId w:val="2"/>
        </w:numPr>
        <w:spacing w:after="20" w:line="246"/>
        <w:jc w:val="left"/>
      </w:pPr>
      <w:r>
        <w:rPr>
          <w:rFonts w:ascii="Times New Roman" w:cs="Times New Roman" w:eastAsia="Times New Roman" w:hAnsi="Times New Roman"/>
          <w:b/>
          <w:bCs/>
          <w:color w:val="000000"/>
          <w:sz w:val="20"/>
          <w:szCs w:val="20"/>
        </w:rPr>
        <w:t xml:space="preserve">Loan-level 60/20/20 split </w:t>
      </w:r>
      <w:r>
        <w:rPr>
          <w:rFonts w:ascii="Times New Roman" w:cs="Times New Roman" w:eastAsia="Times New Roman" w:hAnsi="Times New Roman"/>
          <w:color w:val="000000"/>
          <w:sz w:val="20"/>
          <w:szCs w:val="20"/>
        </w:rPr>
        <w:t xml:space="preserve">(seed 42): train 1,031,599 rows (17,989 loans), validation 344,513 rows (5,996 loans), test 346,491 rows (5,997 loans). No loan appears in more than one set.</w:t>
      </w:r>
    </w:p>
    <w:p>
      <w:pPr>
        <w:pStyle w:val="ListParagraph"/>
        <w:numPr>
          <w:ilvl w:val="0"/>
          <w:numId w:val="2"/>
        </w:numPr>
        <w:spacing w:after="20" w:line="246"/>
        <w:jc w:val="left"/>
      </w:pPr>
      <w:r>
        <w:rPr>
          <w:rFonts w:ascii="Times New Roman" w:cs="Times New Roman" w:eastAsia="Times New Roman" w:hAnsi="Times New Roman"/>
          <w:b/>
          <w:bCs/>
          <w:color w:val="000000"/>
          <w:sz w:val="20"/>
          <w:szCs w:val="20"/>
        </w:rPr>
        <w:t xml:space="preserve">Preprocessing fitted on training data only: </w:t>
      </w:r>
      <w:r>
        <w:rPr>
          <w:rFonts w:ascii="Times New Roman" w:cs="Times New Roman" w:eastAsia="Times New Roman" w:hAnsi="Times New Roman"/>
          <w:color w:val="000000"/>
          <w:sz w:val="20"/>
          <w:szCs w:val="20"/>
        </w:rPr>
        <w:t xml:space="preserve">missing-value codes (e.g. credit score 9999, LTV/DTI 999) set to missing; median imputation plus a missing-value indicator; one-hot encoding of 9 categorical variables (levels with at least 50 training rows); standardization; constant columns dropped.</w:t>
      </w:r>
    </w:p>
    <w:p>
      <w:pPr>
        <w:pStyle w:val="ListParagraph"/>
        <w:numPr>
          <w:ilvl w:val="0"/>
          <w:numId w:val="2"/>
        </w:numPr>
        <w:spacing w:after="20" w:line="246"/>
        <w:jc w:val="left"/>
      </w:pPr>
      <w:r>
        <w:rPr>
          <w:rFonts w:ascii="Times New Roman" w:cs="Times New Roman" w:eastAsia="Times New Roman" w:hAnsi="Times New Roman"/>
          <w:b/>
          <w:bCs/>
          <w:color w:val="000000"/>
          <w:sz w:val="20"/>
          <w:szCs w:val="20"/>
        </w:rPr>
        <w:t xml:space="preserve">Validation-based threshold: </w:t>
      </w:r>
      <w:r>
        <w:rPr>
          <w:rFonts w:ascii="Times New Roman" w:cs="Times New Roman" w:eastAsia="Times New Roman" w:hAnsi="Times New Roman"/>
          <w:color w:val="000000"/>
          <w:sz w:val="20"/>
          <w:szCs w:val="20"/>
        </w:rPr>
        <w:t xml:space="preserve">each model’s decision threshold is the one that maximizes F1 on the validation set; it is then applied unchanged to the test set.</w:t>
      </w:r>
    </w:p>
    <w:p>
      <w:pPr>
        <w:pStyle w:val="ListParagraph"/>
        <w:numPr>
          <w:ilvl w:val="0"/>
          <w:numId w:val="2"/>
        </w:numPr>
        <w:spacing w:after="20" w:line="246"/>
        <w:jc w:val="left"/>
      </w:pPr>
      <w:r>
        <w:rPr>
          <w:rFonts w:ascii="Times New Roman" w:cs="Times New Roman" w:eastAsia="Times New Roman" w:hAnsi="Times New Roman"/>
          <w:b/>
          <w:bCs/>
          <w:color w:val="000000"/>
          <w:sz w:val="20"/>
          <w:szCs w:val="20"/>
        </w:rPr>
        <w:t xml:space="preserve">Implementation: </w:t>
      </w:r>
      <w:r>
        <w:rPr>
          <w:rFonts w:ascii="Times New Roman" w:cs="Times New Roman" w:eastAsia="Times New Roman" w:hAnsi="Times New Roman"/>
          <w:color w:val="000000"/>
          <w:sz w:val="20"/>
          <w:szCs w:val="20"/>
        </w:rPr>
        <w:t xml:space="preserve">Python with pandas, scikit-learn and PyTorch. run_all.py builds the dataset, trains, evaluates and saves all models; demo.py scores held-out test loan-months with the saved models without retraining.</w:t>
      </w:r>
    </w:p>
    <w:p>
      <w:pPr>
        <w:keepNext/>
        <w:spacing w:after="40"/>
      </w:pP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5200"/>
      </w:tblGrid>
      <w:tr>
        <w:trPr>
          <w:tblHeader/>
        </w:trPr>
        <w:tc>
          <w:tcPr>
            <w:tcW w:type="dxa" w:w="3800"/>
            <w:tcBorders>
              <w:top w:val="single" w:color="808080" w:sz="4"/>
              <w:left w:val="none" w:color="FFFFFF" w:sz="0"/>
              <w:bottom w:val="single" w:color="808080" w:sz="4"/>
              <w:right w:val="none" w:color="FFFFFF" w:sz="0"/>
            </w:tcBorders>
            <w:shd w:fill="E7E6E6" w:color="auto" w:val="clear"/>
            <w:tcMar>
              <w:top w:type="dxa" w:w="10"/>
              <w:left w:type="dxa" w:w="80"/>
              <w:bottom w:type="dxa" w:w="10"/>
              <w:right w:type="dxa" w:w="80"/>
            </w:tcMar>
            <w:vAlign w:val="center"/>
          </w:tcPr>
          <w:p>
            <w:pPr>
              <w:spacing w:after="0" w:line="240"/>
              <w:jc w:val="left"/>
            </w:pPr>
            <w:r>
              <w:rPr>
                <w:rFonts w:ascii="Times New Roman" w:cs="Times New Roman" w:eastAsia="Times New Roman" w:hAnsi="Times New Roman"/>
                <w:b/>
                <w:bCs/>
                <w:color w:val="000000"/>
                <w:sz w:val="17"/>
                <w:szCs w:val="17"/>
              </w:rPr>
              <w:t xml:space="preserve">Problem in original setup</w:t>
            </w:r>
          </w:p>
        </w:tc>
        <w:tc>
          <w:tcPr>
            <w:tcW w:type="dxa" w:w="5200"/>
            <w:tcBorders>
              <w:top w:val="single" w:color="808080" w:sz="4"/>
              <w:left w:val="none" w:color="FFFFFF" w:sz="0"/>
              <w:bottom w:val="single" w:color="808080" w:sz="4"/>
              <w:right w:val="none" w:color="FFFFFF" w:sz="0"/>
            </w:tcBorders>
            <w:shd w:fill="E7E6E6" w:color="auto" w:val="clear"/>
            <w:tcMar>
              <w:top w:type="dxa" w:w="10"/>
              <w:left w:type="dxa" w:w="80"/>
              <w:bottom w:type="dxa" w:w="10"/>
              <w:right w:type="dxa" w:w="80"/>
            </w:tcMar>
            <w:vAlign w:val="center"/>
          </w:tcPr>
          <w:p>
            <w:pPr>
              <w:spacing w:after="0" w:line="240"/>
              <w:jc w:val="left"/>
            </w:pPr>
            <w:r>
              <w:rPr>
                <w:rFonts w:ascii="Times New Roman" w:cs="Times New Roman" w:eastAsia="Times New Roman" w:hAnsi="Times New Roman"/>
                <w:b/>
                <w:bCs/>
                <w:color w:val="000000"/>
                <w:sz w:val="17"/>
                <w:szCs w:val="17"/>
              </w:rPr>
              <w:t xml:space="preserve">Our correction</w:t>
            </w:r>
          </w:p>
        </w:tc>
      </w:tr>
      <w:tr>
        <w:trPr>
          <w:cantSplit/>
        </w:trPr>
        <w:tc>
          <w:tcPr>
            <w:tcW w:type="dxa" w:w="380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left"/>
            </w:pPr>
            <w:r>
              <w:rPr>
                <w:rFonts w:ascii="Times New Roman" w:cs="Times New Roman" w:eastAsia="Times New Roman" w:hAnsi="Times New Roman"/>
                <w:color w:val="000000"/>
                <w:sz w:val="17"/>
                <w:szCs w:val="17"/>
              </w:rPr>
              <w:t xml:space="preserve">Same-month label leakage</w:t>
            </w:r>
          </w:p>
        </w:tc>
        <w:tc>
          <w:tcPr>
            <w:tcW w:type="dxa" w:w="520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left"/>
            </w:pPr>
            <w:r>
              <w:rPr>
                <w:rFonts w:ascii="Times New Roman" w:cs="Times New Roman" w:eastAsia="Times New Roman" w:hAnsi="Times New Roman"/>
                <w:color w:val="000000"/>
                <w:sz w:val="17"/>
                <w:szCs w:val="17"/>
              </w:rPr>
              <w:t xml:space="preserve">Next-month target</w:t>
            </w:r>
          </w:p>
        </w:tc>
      </w:tr>
      <w:tr>
        <w:trPr>
          <w:cantSplit/>
        </w:trPr>
        <w:tc>
          <w:tcPr>
            <w:tcW w:type="dxa" w:w="380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left"/>
            </w:pPr>
            <w:r>
              <w:rPr>
                <w:rFonts w:ascii="Times New Roman" w:cs="Times New Roman" w:eastAsia="Times New Roman" w:hAnsi="Times New Roman"/>
                <w:color w:val="000000"/>
                <w:sz w:val="17"/>
                <w:szCs w:val="17"/>
              </w:rPr>
              <w:t xml:space="preserve">Random row split</w:t>
            </w:r>
          </w:p>
        </w:tc>
        <w:tc>
          <w:tcPr>
            <w:tcW w:type="dxa" w:w="520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left"/>
            </w:pPr>
            <w:r>
              <w:rPr>
                <w:rFonts w:ascii="Times New Roman" w:cs="Times New Roman" w:eastAsia="Times New Roman" w:hAnsi="Times New Roman"/>
                <w:color w:val="000000"/>
                <w:sz w:val="17"/>
                <w:szCs w:val="17"/>
              </w:rPr>
              <w:t xml:space="preserve">Loan-level split</w:t>
            </w:r>
          </w:p>
        </w:tc>
      </w:tr>
      <w:tr>
        <w:trPr>
          <w:cantSplit/>
        </w:trPr>
        <w:tc>
          <w:tcPr>
            <w:tcW w:type="dxa" w:w="3800"/>
            <w:tcBorders>
              <w:top w:val="none" w:color="FFFFFF" w:sz="0"/>
              <w:left w:val="none" w:color="FFFFFF" w:sz="0"/>
              <w:bottom w:val="single" w:color="808080" w:sz="4"/>
              <w:right w:val="none" w:color="FFFFFF" w:sz="0"/>
            </w:tcBorders>
            <w:tcMar>
              <w:top w:type="dxa" w:w="10"/>
              <w:left w:type="dxa" w:w="80"/>
              <w:bottom w:type="dxa" w:w="10"/>
              <w:right w:type="dxa" w:w="80"/>
            </w:tcMar>
            <w:vAlign w:val="center"/>
          </w:tcPr>
          <w:p>
            <w:pPr>
              <w:spacing w:after="0" w:line="240"/>
              <w:jc w:val="left"/>
            </w:pPr>
            <w:r>
              <w:rPr>
                <w:rFonts w:ascii="Times New Roman" w:cs="Times New Roman" w:eastAsia="Times New Roman" w:hAnsi="Times New Roman"/>
                <w:color w:val="000000"/>
                <w:sz w:val="17"/>
                <w:szCs w:val="17"/>
              </w:rPr>
              <w:t xml:space="preserve">Accuracy on highly imbalanced data</w:t>
            </w:r>
          </w:p>
        </w:tc>
        <w:tc>
          <w:tcPr>
            <w:tcW w:type="dxa" w:w="5200"/>
            <w:tcBorders>
              <w:top w:val="none" w:color="FFFFFF" w:sz="0"/>
              <w:left w:val="none" w:color="FFFFFF" w:sz="0"/>
              <w:bottom w:val="single" w:color="808080" w:sz="4"/>
              <w:right w:val="none" w:color="FFFFFF" w:sz="0"/>
            </w:tcBorders>
            <w:tcMar>
              <w:top w:type="dxa" w:w="10"/>
              <w:left w:type="dxa" w:w="80"/>
              <w:bottom w:type="dxa" w:w="10"/>
              <w:right w:type="dxa" w:w="80"/>
            </w:tcMar>
            <w:vAlign w:val="center"/>
          </w:tcPr>
          <w:p>
            <w:pPr>
              <w:spacing w:after="0" w:line="240"/>
              <w:jc w:val="left"/>
            </w:pPr>
            <w:r>
              <w:rPr>
                <w:rFonts w:ascii="Times New Roman" w:cs="Times New Roman" w:eastAsia="Times New Roman" w:hAnsi="Times New Roman"/>
                <w:color w:val="000000"/>
                <w:sz w:val="17"/>
                <w:szCs w:val="17"/>
              </w:rPr>
              <w:t xml:space="preserve">PR-AUC, precision, recall and validation threshold</w:t>
            </w:r>
          </w:p>
        </w:tc>
      </w:tr>
    </w:tbl>
    <w:p>
      <w:pPr>
        <w:spacing w:after="60" w:before="20" w:line="228"/>
        <w:jc w:val="left"/>
      </w:pPr>
      <w:r>
        <w:rPr>
          <w:rFonts w:ascii="Times New Roman" w:cs="Times New Roman" w:eastAsia="Times New Roman" w:hAnsi="Times New Roman"/>
          <w:i/>
          <w:iCs/>
          <w:color w:val="000000"/>
          <w:sz w:val="17"/>
          <w:szCs w:val="17"/>
        </w:rPr>
        <w:t xml:space="preserve">Table 1. Methodological corrections relative to the original paper’s setup.</w:t>
      </w:r>
    </w:p>
    <w:p>
      <w:pPr>
        <w:spacing w:after="0"/>
      </w:pPr>
      <w:r>
        <w:br w:type="page"/>
      </w:r>
    </w:p>
    <w:p>
      <w:pPr>
        <w:keepNext/>
        <w:pBdr>
          <w:bottom w:val="single" w:color="808080" w:sz="4" w:space="1"/>
        </w:pBdr>
        <w:spacing w:after="40" w:before="100"/>
      </w:pPr>
      <w:r>
        <w:rPr>
          <w:rFonts w:ascii="Times New Roman" w:cs="Times New Roman" w:eastAsia="Times New Roman" w:hAnsi="Times New Roman"/>
          <w:b/>
          <w:bCs/>
          <w:color w:val="000000"/>
          <w:sz w:val="22"/>
          <w:szCs w:val="22"/>
        </w:rPr>
        <w:t xml:space="preserve">4. Machine Learning Models</w:t>
      </w:r>
    </w:p>
    <w:p>
      <w:pPr>
        <w:pStyle w:val="ListParagraph"/>
        <w:numPr>
          <w:ilvl w:val="0"/>
          <w:numId w:val="2"/>
        </w:numPr>
        <w:spacing w:after="20" w:line="246"/>
        <w:jc w:val="left"/>
      </w:pPr>
      <w:r>
        <w:rPr>
          <w:rFonts w:ascii="Times New Roman" w:cs="Times New Roman" w:eastAsia="Times New Roman" w:hAnsi="Times New Roman"/>
          <w:b/>
          <w:bCs/>
          <w:color w:val="000000"/>
          <w:sz w:val="20"/>
          <w:szCs w:val="20"/>
        </w:rPr>
        <w:t xml:space="preserve">Logistic regression: </w:t>
      </w:r>
      <w:r>
        <w:rPr>
          <w:rFonts w:ascii="Times New Roman" w:cs="Times New Roman" w:eastAsia="Times New Roman" w:hAnsi="Times New Roman"/>
          <w:color w:val="000000"/>
          <w:sz w:val="20"/>
          <w:szCs w:val="20"/>
        </w:rPr>
        <w:t xml:space="preserve">no penalty, L1 and L2 (C = 0.1); trained on a 600,000-row training subsample.</w:t>
      </w:r>
    </w:p>
    <w:p>
      <w:pPr>
        <w:pStyle w:val="ListParagraph"/>
        <w:numPr>
          <w:ilvl w:val="0"/>
          <w:numId w:val="2"/>
        </w:numPr>
        <w:spacing w:after="20" w:line="246"/>
        <w:jc w:val="left"/>
      </w:pPr>
      <w:r>
        <w:rPr>
          <w:rFonts w:ascii="Times New Roman" w:cs="Times New Roman" w:eastAsia="Times New Roman" w:hAnsi="Times New Roman"/>
          <w:b/>
          <w:bCs/>
          <w:color w:val="000000"/>
          <w:sz w:val="20"/>
          <w:szCs w:val="20"/>
        </w:rPr>
        <w:t xml:space="preserve">SVM: </w:t>
      </w:r>
      <w:r>
        <w:rPr>
          <w:rFonts w:ascii="Times New Roman" w:cs="Times New Roman" w:eastAsia="Times New Roman" w:hAnsi="Times New Roman"/>
          <w:color w:val="000000"/>
          <w:sz w:val="20"/>
          <w:szCs w:val="20"/>
        </w:rPr>
        <w:t xml:space="preserve">polynomial (degree 3), RBF and sigmoid kernels (C = 1); 15,000-row training subsample (kernel cost).</w:t>
      </w:r>
    </w:p>
    <w:p>
      <w:pPr>
        <w:pStyle w:val="ListParagraph"/>
        <w:numPr>
          <w:ilvl w:val="0"/>
          <w:numId w:val="2"/>
        </w:numPr>
        <w:spacing w:after="20" w:line="246"/>
        <w:jc w:val="left"/>
      </w:pPr>
      <w:r>
        <w:rPr>
          <w:rFonts w:ascii="Times New Roman" w:cs="Times New Roman" w:eastAsia="Times New Roman" w:hAnsi="Times New Roman"/>
          <w:b/>
          <w:bCs/>
          <w:color w:val="000000"/>
          <w:sz w:val="20"/>
          <w:szCs w:val="20"/>
        </w:rPr>
        <w:t xml:space="preserve">GDA: </w:t>
      </w:r>
      <w:r>
        <w:rPr>
          <w:rFonts w:ascii="Times New Roman" w:cs="Times New Roman" w:eastAsia="Times New Roman" w:hAnsi="Times New Roman"/>
          <w:color w:val="000000"/>
          <w:sz w:val="20"/>
          <w:szCs w:val="20"/>
        </w:rPr>
        <w:t xml:space="preserve">linear (LDA) and quadratic (QDA; regularization 0.001 selected on validation).</w:t>
      </w:r>
    </w:p>
    <w:p>
      <w:pPr>
        <w:pStyle w:val="ListParagraph"/>
        <w:numPr>
          <w:ilvl w:val="0"/>
          <w:numId w:val="2"/>
        </w:numPr>
        <w:spacing w:after="20" w:line="246"/>
        <w:jc w:val="left"/>
      </w:pPr>
      <w:r>
        <w:rPr>
          <w:rFonts w:ascii="Times New Roman" w:cs="Times New Roman" w:eastAsia="Times New Roman" w:hAnsi="Times New Roman"/>
          <w:b/>
          <w:bCs/>
          <w:color w:val="000000"/>
          <w:sz w:val="20"/>
          <w:szCs w:val="20"/>
        </w:rPr>
        <w:t xml:space="preserve">Feed-forward neural network (PyTorch): </w:t>
      </w:r>
      <w:r>
        <w:rPr>
          <w:rFonts w:ascii="Times New Roman" w:cs="Times New Roman" w:eastAsia="Times New Roman" w:hAnsi="Times New Roman"/>
          <w:color w:val="000000"/>
          <w:sz w:val="20"/>
          <w:szCs w:val="20"/>
        </w:rPr>
        <w:t xml:space="preserve">104–128–256–1 with batch normalization and ReLU, binary cross-entropy with positive-class weight 10, SGD (learning rate 0.1, ×0.91 per epoch), 30 epochs; the epoch with the best validation PR-AUC is kept.</w:t>
      </w:r>
    </w:p>
    <w:p>
      <w:pPr>
        <w:pStyle w:val="ListParagraph"/>
        <w:numPr>
          <w:ilvl w:val="0"/>
          <w:numId w:val="2"/>
        </w:numPr>
        <w:spacing w:after="20" w:line="246"/>
        <w:jc w:val="left"/>
      </w:pPr>
      <w:r>
        <w:rPr>
          <w:rFonts w:ascii="Times New Roman" w:cs="Times New Roman" w:eastAsia="Times New Roman" w:hAnsi="Times New Roman"/>
          <w:b/>
          <w:bCs/>
          <w:color w:val="000000"/>
          <w:sz w:val="20"/>
          <w:szCs w:val="20"/>
        </w:rPr>
        <w:t xml:space="preserve">Reference models: </w:t>
      </w:r>
      <w:r>
        <w:rPr>
          <w:rFonts w:ascii="Times New Roman" w:cs="Times New Roman" w:eastAsia="Times New Roman" w:hAnsi="Times New Roman"/>
          <w:color w:val="000000"/>
          <w:sz w:val="20"/>
          <w:szCs w:val="20"/>
        </w:rPr>
        <w:t xml:space="preserve">an always-“no” baseline, and gradient boosting (HistGradientBoosting), which we added as a benchmark; </w:t>
      </w:r>
      <w:r>
        <w:rPr>
          <w:rFonts w:ascii="Times New Roman" w:cs="Times New Roman" w:eastAsia="Times New Roman" w:hAnsi="Times New Roman"/>
          <w:i/>
          <w:iCs/>
          <w:color w:val="000000"/>
          <w:sz w:val="20"/>
          <w:szCs w:val="20"/>
        </w:rPr>
        <w:t xml:space="preserve">gradient boosting was not in the original paper.</w:t>
      </w:r>
    </w:p>
    <w:p>
      <w:pPr>
        <w:keepNext/>
        <w:pBdr>
          <w:bottom w:val="single" w:color="808080" w:sz="4" w:space="1"/>
        </w:pBdr>
        <w:spacing w:after="40" w:before="100"/>
      </w:pPr>
      <w:r>
        <w:rPr>
          <w:rFonts w:ascii="Times New Roman" w:cs="Times New Roman" w:eastAsia="Times New Roman" w:hAnsi="Times New Roman"/>
          <w:b/>
          <w:bCs/>
          <w:color w:val="000000"/>
          <w:sz w:val="22"/>
          <w:szCs w:val="22"/>
        </w:rPr>
        <w:t xml:space="preserve">5. Results (OUR RESULTS)</w:t>
      </w:r>
    </w:p>
    <w:tbl>
      <w:tblPr>
        <w:tblW w:type="dxa" w:w="81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500"/>
        <w:gridCol w:w="1500"/>
        <w:gridCol w:w="1500"/>
      </w:tblGrid>
      <w:tr>
        <w:trPr>
          <w:tblHeader/>
        </w:trPr>
        <w:tc>
          <w:tcPr>
            <w:tcW w:type="dxa" w:w="3600"/>
            <w:tcBorders>
              <w:top w:val="single" w:color="808080" w:sz="4"/>
              <w:left w:val="none" w:color="FFFFFF" w:sz="0"/>
              <w:bottom w:val="single" w:color="808080" w:sz="4"/>
              <w:right w:val="none" w:color="FFFFFF" w:sz="0"/>
            </w:tcBorders>
            <w:shd w:fill="E7E6E6" w:color="auto" w:val="clear"/>
            <w:tcMar>
              <w:top w:type="dxa" w:w="10"/>
              <w:left w:type="dxa" w:w="80"/>
              <w:bottom w:type="dxa" w:w="10"/>
              <w:right w:type="dxa" w:w="80"/>
            </w:tcMar>
            <w:vAlign w:val="center"/>
          </w:tcPr>
          <w:p>
            <w:pPr>
              <w:spacing w:after="0" w:line="240"/>
              <w:jc w:val="left"/>
            </w:pPr>
            <w:r>
              <w:rPr>
                <w:rFonts w:ascii="Times New Roman" w:cs="Times New Roman" w:eastAsia="Times New Roman" w:hAnsi="Times New Roman"/>
                <w:b/>
                <w:bCs/>
                <w:color w:val="000000"/>
                <w:sz w:val="17"/>
                <w:szCs w:val="17"/>
              </w:rPr>
              <w:t xml:space="preserve">Model</w:t>
            </w:r>
          </w:p>
        </w:tc>
        <w:tc>
          <w:tcPr>
            <w:tcW w:type="dxa" w:w="1500"/>
            <w:tcBorders>
              <w:top w:val="single" w:color="808080" w:sz="4"/>
              <w:left w:val="none" w:color="FFFFFF" w:sz="0"/>
              <w:bottom w:val="single" w:color="808080" w:sz="4"/>
              <w:right w:val="none" w:color="FFFFFF" w:sz="0"/>
            </w:tcBorders>
            <w:shd w:fill="E7E6E6" w:color="auto" w:val="clear"/>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b/>
                <w:bCs/>
                <w:color w:val="000000"/>
                <w:sz w:val="17"/>
                <w:szCs w:val="17"/>
              </w:rPr>
              <w:t xml:space="preserve">Accuracy</w:t>
            </w:r>
          </w:p>
        </w:tc>
        <w:tc>
          <w:tcPr>
            <w:tcW w:type="dxa" w:w="1500"/>
            <w:tcBorders>
              <w:top w:val="single" w:color="808080" w:sz="4"/>
              <w:left w:val="none" w:color="FFFFFF" w:sz="0"/>
              <w:bottom w:val="single" w:color="808080" w:sz="4"/>
              <w:right w:val="none" w:color="FFFFFF" w:sz="0"/>
            </w:tcBorders>
            <w:shd w:fill="E7E6E6" w:color="auto" w:val="clear"/>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b/>
                <w:bCs/>
                <w:color w:val="000000"/>
                <w:sz w:val="17"/>
                <w:szCs w:val="17"/>
              </w:rPr>
              <w:t xml:space="preserve">PR-AUC</w:t>
            </w:r>
          </w:p>
        </w:tc>
        <w:tc>
          <w:tcPr>
            <w:tcW w:type="dxa" w:w="1500"/>
            <w:tcBorders>
              <w:top w:val="single" w:color="808080" w:sz="4"/>
              <w:left w:val="none" w:color="FFFFFF" w:sz="0"/>
              <w:bottom w:val="single" w:color="808080" w:sz="4"/>
              <w:right w:val="none" w:color="FFFFFF" w:sz="0"/>
            </w:tcBorders>
            <w:shd w:fill="E7E6E6" w:color="auto" w:val="clear"/>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b/>
                <w:bCs/>
                <w:color w:val="000000"/>
                <w:sz w:val="17"/>
                <w:szCs w:val="17"/>
              </w:rPr>
              <w:t xml:space="preserve">ROC-AUC</w:t>
            </w:r>
          </w:p>
        </w:tc>
      </w:tr>
      <w:tr>
        <w:trPr>
          <w:cantSplit/>
        </w:trPr>
        <w:tc>
          <w:tcPr>
            <w:tcW w:type="dxa" w:w="360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left"/>
            </w:pPr>
            <w:r>
              <w:rPr>
                <w:rFonts w:ascii="Times New Roman" w:cs="Times New Roman" w:eastAsia="Times New Roman" w:hAnsi="Times New Roman"/>
                <w:color w:val="000000"/>
                <w:sz w:val="17"/>
                <w:szCs w:val="17"/>
              </w:rPr>
              <w:t xml:space="preserve">Gradient Boosting†</w:t>
            </w:r>
          </w:p>
        </w:tc>
        <w:tc>
          <w:tcPr>
            <w:tcW w:type="dxa" w:w="150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color w:val="000000"/>
                <w:sz w:val="17"/>
                <w:szCs w:val="17"/>
              </w:rPr>
              <w:t xml:space="preserve">96.11%</w:t>
            </w:r>
          </w:p>
        </w:tc>
        <w:tc>
          <w:tcPr>
            <w:tcW w:type="dxa" w:w="150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color w:val="000000"/>
                <w:sz w:val="17"/>
                <w:szCs w:val="17"/>
              </w:rPr>
              <w:t xml:space="preserve">0.0382</w:t>
            </w:r>
          </w:p>
        </w:tc>
        <w:tc>
          <w:tcPr>
            <w:tcW w:type="dxa" w:w="150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color w:val="000000"/>
                <w:sz w:val="17"/>
                <w:szCs w:val="17"/>
              </w:rPr>
              <w:t xml:space="preserve">0.7557</w:t>
            </w:r>
          </w:p>
        </w:tc>
      </w:tr>
      <w:tr>
        <w:trPr>
          <w:cantSplit/>
        </w:trPr>
        <w:tc>
          <w:tcPr>
            <w:tcW w:type="dxa" w:w="360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left"/>
            </w:pPr>
            <w:r>
              <w:rPr>
                <w:rFonts w:ascii="Times New Roman" w:cs="Times New Roman" w:eastAsia="Times New Roman" w:hAnsi="Times New Roman"/>
                <w:color w:val="000000"/>
                <w:sz w:val="17"/>
                <w:szCs w:val="17"/>
              </w:rPr>
              <w:t xml:space="preserve">Neural Network</w:t>
            </w:r>
          </w:p>
        </w:tc>
        <w:tc>
          <w:tcPr>
            <w:tcW w:type="dxa" w:w="150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color w:val="000000"/>
                <w:sz w:val="17"/>
                <w:szCs w:val="17"/>
              </w:rPr>
              <w:t xml:space="preserve">96.96%</w:t>
            </w:r>
          </w:p>
        </w:tc>
        <w:tc>
          <w:tcPr>
            <w:tcW w:type="dxa" w:w="150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color w:val="000000"/>
                <w:sz w:val="17"/>
                <w:szCs w:val="17"/>
              </w:rPr>
              <w:t xml:space="preserve">0.0380</w:t>
            </w:r>
          </w:p>
        </w:tc>
        <w:tc>
          <w:tcPr>
            <w:tcW w:type="dxa" w:w="150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color w:val="000000"/>
                <w:sz w:val="17"/>
                <w:szCs w:val="17"/>
              </w:rPr>
              <w:t xml:space="preserve">0.7393</w:t>
            </w:r>
          </w:p>
        </w:tc>
      </w:tr>
      <w:tr>
        <w:trPr>
          <w:cantSplit/>
        </w:trPr>
        <w:tc>
          <w:tcPr>
            <w:tcW w:type="dxa" w:w="360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left"/>
            </w:pPr>
            <w:r>
              <w:rPr>
                <w:rFonts w:ascii="Times New Roman" w:cs="Times New Roman" w:eastAsia="Times New Roman" w:hAnsi="Times New Roman"/>
                <w:color w:val="000000"/>
                <w:sz w:val="17"/>
                <w:szCs w:val="17"/>
              </w:rPr>
              <w:t xml:space="preserve">Logistic L1</w:t>
            </w:r>
          </w:p>
        </w:tc>
        <w:tc>
          <w:tcPr>
            <w:tcW w:type="dxa" w:w="150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color w:val="000000"/>
                <w:sz w:val="17"/>
                <w:szCs w:val="17"/>
              </w:rPr>
              <w:t xml:space="preserve">94.80%</w:t>
            </w:r>
          </w:p>
        </w:tc>
        <w:tc>
          <w:tcPr>
            <w:tcW w:type="dxa" w:w="150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color w:val="000000"/>
                <w:sz w:val="17"/>
                <w:szCs w:val="17"/>
              </w:rPr>
              <w:t xml:space="preserve">0.0314</w:t>
            </w:r>
          </w:p>
        </w:tc>
        <w:tc>
          <w:tcPr>
            <w:tcW w:type="dxa" w:w="150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color w:val="000000"/>
                <w:sz w:val="17"/>
                <w:szCs w:val="17"/>
              </w:rPr>
              <w:t xml:space="preserve">0.7271</w:t>
            </w:r>
          </w:p>
        </w:tc>
      </w:tr>
      <w:tr>
        <w:trPr>
          <w:cantSplit/>
        </w:trPr>
        <w:tc>
          <w:tcPr>
            <w:tcW w:type="dxa" w:w="360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left"/>
            </w:pPr>
            <w:r>
              <w:rPr>
                <w:rFonts w:ascii="Times New Roman" w:cs="Times New Roman" w:eastAsia="Times New Roman" w:hAnsi="Times New Roman"/>
                <w:color w:val="000000"/>
                <w:sz w:val="17"/>
                <w:szCs w:val="17"/>
              </w:rPr>
              <w:t xml:space="preserve">Logistic L2</w:t>
            </w:r>
          </w:p>
        </w:tc>
        <w:tc>
          <w:tcPr>
            <w:tcW w:type="dxa" w:w="150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color w:val="000000"/>
                <w:sz w:val="17"/>
                <w:szCs w:val="17"/>
              </w:rPr>
              <w:t xml:space="preserve">94.77%</w:t>
            </w:r>
          </w:p>
        </w:tc>
        <w:tc>
          <w:tcPr>
            <w:tcW w:type="dxa" w:w="150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color w:val="000000"/>
                <w:sz w:val="17"/>
                <w:szCs w:val="17"/>
              </w:rPr>
              <w:t xml:space="preserve">0.0313</w:t>
            </w:r>
          </w:p>
        </w:tc>
        <w:tc>
          <w:tcPr>
            <w:tcW w:type="dxa" w:w="150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color w:val="000000"/>
                <w:sz w:val="17"/>
                <w:szCs w:val="17"/>
              </w:rPr>
              <w:t xml:space="preserve">0.7272</w:t>
            </w:r>
          </w:p>
        </w:tc>
      </w:tr>
      <w:tr>
        <w:trPr>
          <w:cantSplit/>
        </w:trPr>
        <w:tc>
          <w:tcPr>
            <w:tcW w:type="dxa" w:w="360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left"/>
            </w:pPr>
            <w:r>
              <w:rPr>
                <w:rFonts w:ascii="Times New Roman" w:cs="Times New Roman" w:eastAsia="Times New Roman" w:hAnsi="Times New Roman"/>
                <w:color w:val="000000"/>
                <w:sz w:val="17"/>
                <w:szCs w:val="17"/>
              </w:rPr>
              <w:t xml:space="preserve">Logistic No Penalty</w:t>
            </w:r>
          </w:p>
        </w:tc>
        <w:tc>
          <w:tcPr>
            <w:tcW w:type="dxa" w:w="150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color w:val="000000"/>
                <w:sz w:val="17"/>
                <w:szCs w:val="17"/>
              </w:rPr>
              <w:t xml:space="preserve">94.79%</w:t>
            </w:r>
          </w:p>
        </w:tc>
        <w:tc>
          <w:tcPr>
            <w:tcW w:type="dxa" w:w="150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color w:val="000000"/>
                <w:sz w:val="17"/>
                <w:szCs w:val="17"/>
              </w:rPr>
              <w:t xml:space="preserve">0.0313</w:t>
            </w:r>
          </w:p>
        </w:tc>
        <w:tc>
          <w:tcPr>
            <w:tcW w:type="dxa" w:w="150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color w:val="000000"/>
                <w:sz w:val="17"/>
                <w:szCs w:val="17"/>
              </w:rPr>
              <w:t xml:space="preserve">0.7272</w:t>
            </w:r>
          </w:p>
        </w:tc>
      </w:tr>
      <w:tr>
        <w:trPr>
          <w:cantSplit/>
        </w:trPr>
        <w:tc>
          <w:tcPr>
            <w:tcW w:type="dxa" w:w="360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left"/>
            </w:pPr>
            <w:r>
              <w:rPr>
                <w:rFonts w:ascii="Times New Roman" w:cs="Times New Roman" w:eastAsia="Times New Roman" w:hAnsi="Times New Roman"/>
                <w:color w:val="000000"/>
                <w:sz w:val="17"/>
                <w:szCs w:val="17"/>
              </w:rPr>
              <w:t xml:space="preserve">GDA Linear</w:t>
            </w:r>
          </w:p>
        </w:tc>
        <w:tc>
          <w:tcPr>
            <w:tcW w:type="dxa" w:w="150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color w:val="000000"/>
                <w:sz w:val="17"/>
                <w:szCs w:val="17"/>
              </w:rPr>
              <w:t xml:space="preserve">93.96%</w:t>
            </w:r>
          </w:p>
        </w:tc>
        <w:tc>
          <w:tcPr>
            <w:tcW w:type="dxa" w:w="150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color w:val="000000"/>
                <w:sz w:val="17"/>
                <w:szCs w:val="17"/>
              </w:rPr>
              <w:t xml:space="preserve">0.0300</w:t>
            </w:r>
          </w:p>
        </w:tc>
        <w:tc>
          <w:tcPr>
            <w:tcW w:type="dxa" w:w="150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color w:val="000000"/>
                <w:sz w:val="17"/>
                <w:szCs w:val="17"/>
              </w:rPr>
              <w:t xml:space="preserve">0.7210</w:t>
            </w:r>
          </w:p>
        </w:tc>
      </w:tr>
      <w:tr>
        <w:trPr>
          <w:cantSplit/>
        </w:trPr>
        <w:tc>
          <w:tcPr>
            <w:tcW w:type="dxa" w:w="360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left"/>
            </w:pPr>
            <w:r>
              <w:rPr>
                <w:rFonts w:ascii="Times New Roman" w:cs="Times New Roman" w:eastAsia="Times New Roman" w:hAnsi="Times New Roman"/>
                <w:color w:val="000000"/>
                <w:sz w:val="17"/>
                <w:szCs w:val="17"/>
              </w:rPr>
              <w:t xml:space="preserve">GDA Quadratic</w:t>
            </w:r>
          </w:p>
        </w:tc>
        <w:tc>
          <w:tcPr>
            <w:tcW w:type="dxa" w:w="150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color w:val="000000"/>
                <w:sz w:val="17"/>
                <w:szCs w:val="17"/>
              </w:rPr>
              <w:t xml:space="preserve">92.14%</w:t>
            </w:r>
          </w:p>
        </w:tc>
        <w:tc>
          <w:tcPr>
            <w:tcW w:type="dxa" w:w="150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color w:val="000000"/>
                <w:sz w:val="17"/>
                <w:szCs w:val="17"/>
              </w:rPr>
              <w:t xml:space="preserve">0.0210</w:t>
            </w:r>
          </w:p>
        </w:tc>
        <w:tc>
          <w:tcPr>
            <w:tcW w:type="dxa" w:w="150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color w:val="000000"/>
                <w:sz w:val="17"/>
                <w:szCs w:val="17"/>
              </w:rPr>
              <w:t xml:space="preserve">0.6603</w:t>
            </w:r>
          </w:p>
        </w:tc>
      </w:tr>
      <w:tr>
        <w:trPr>
          <w:cantSplit/>
        </w:trPr>
        <w:tc>
          <w:tcPr>
            <w:tcW w:type="dxa" w:w="360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left"/>
            </w:pPr>
            <w:r>
              <w:rPr>
                <w:rFonts w:ascii="Times New Roman" w:cs="Times New Roman" w:eastAsia="Times New Roman" w:hAnsi="Times New Roman"/>
                <w:color w:val="000000"/>
                <w:sz w:val="17"/>
                <w:szCs w:val="17"/>
              </w:rPr>
              <w:t xml:space="preserve">SVM RBF</w:t>
            </w:r>
          </w:p>
        </w:tc>
        <w:tc>
          <w:tcPr>
            <w:tcW w:type="dxa" w:w="150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color w:val="000000"/>
                <w:sz w:val="17"/>
                <w:szCs w:val="17"/>
              </w:rPr>
              <w:t xml:space="preserve">90.37%</w:t>
            </w:r>
          </w:p>
        </w:tc>
        <w:tc>
          <w:tcPr>
            <w:tcW w:type="dxa" w:w="150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color w:val="000000"/>
                <w:sz w:val="17"/>
                <w:szCs w:val="17"/>
              </w:rPr>
              <w:t xml:space="preserve">0.0170</w:t>
            </w:r>
          </w:p>
        </w:tc>
        <w:tc>
          <w:tcPr>
            <w:tcW w:type="dxa" w:w="150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color w:val="000000"/>
                <w:sz w:val="17"/>
                <w:szCs w:val="17"/>
              </w:rPr>
              <w:t xml:space="preserve">0.6093</w:t>
            </w:r>
          </w:p>
        </w:tc>
      </w:tr>
      <w:tr>
        <w:trPr>
          <w:cantSplit/>
        </w:trPr>
        <w:tc>
          <w:tcPr>
            <w:tcW w:type="dxa" w:w="360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left"/>
            </w:pPr>
            <w:r>
              <w:rPr>
                <w:rFonts w:ascii="Times New Roman" w:cs="Times New Roman" w:eastAsia="Times New Roman" w:hAnsi="Times New Roman"/>
                <w:color w:val="000000"/>
                <w:sz w:val="17"/>
                <w:szCs w:val="17"/>
              </w:rPr>
              <w:t xml:space="preserve">SVM Polynomial</w:t>
            </w:r>
          </w:p>
        </w:tc>
        <w:tc>
          <w:tcPr>
            <w:tcW w:type="dxa" w:w="150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color w:val="000000"/>
                <w:sz w:val="17"/>
                <w:szCs w:val="17"/>
              </w:rPr>
              <w:t xml:space="preserve">89.60%</w:t>
            </w:r>
          </w:p>
        </w:tc>
        <w:tc>
          <w:tcPr>
            <w:tcW w:type="dxa" w:w="150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color w:val="000000"/>
                <w:sz w:val="17"/>
                <w:szCs w:val="17"/>
              </w:rPr>
              <w:t xml:space="preserve">0.0151</w:t>
            </w:r>
          </w:p>
        </w:tc>
        <w:tc>
          <w:tcPr>
            <w:tcW w:type="dxa" w:w="150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color w:val="000000"/>
                <w:sz w:val="17"/>
                <w:szCs w:val="17"/>
              </w:rPr>
              <w:t xml:space="preserve">0.5759</w:t>
            </w:r>
          </w:p>
        </w:tc>
      </w:tr>
      <w:tr>
        <w:trPr>
          <w:cantSplit/>
        </w:trPr>
        <w:tc>
          <w:tcPr>
            <w:tcW w:type="dxa" w:w="360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left"/>
            </w:pPr>
            <w:r>
              <w:rPr>
                <w:rFonts w:ascii="Times New Roman" w:cs="Times New Roman" w:eastAsia="Times New Roman" w:hAnsi="Times New Roman"/>
                <w:color w:val="000000"/>
                <w:sz w:val="17"/>
                <w:szCs w:val="17"/>
              </w:rPr>
              <w:t xml:space="preserve">SVM Sigmoid</w:t>
            </w:r>
          </w:p>
        </w:tc>
        <w:tc>
          <w:tcPr>
            <w:tcW w:type="dxa" w:w="150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color w:val="000000"/>
                <w:sz w:val="17"/>
                <w:szCs w:val="17"/>
              </w:rPr>
              <w:t xml:space="preserve">90.63%</w:t>
            </w:r>
          </w:p>
        </w:tc>
        <w:tc>
          <w:tcPr>
            <w:tcW w:type="dxa" w:w="150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color w:val="000000"/>
                <w:sz w:val="17"/>
                <w:szCs w:val="17"/>
              </w:rPr>
              <w:t xml:space="preserve">0.0124</w:t>
            </w:r>
          </w:p>
        </w:tc>
        <w:tc>
          <w:tcPr>
            <w:tcW w:type="dxa" w:w="150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color w:val="000000"/>
                <w:sz w:val="17"/>
                <w:szCs w:val="17"/>
              </w:rPr>
              <w:t xml:space="preserve">0.5437</w:t>
            </w:r>
          </w:p>
        </w:tc>
      </w:tr>
      <w:tr>
        <w:trPr>
          <w:cantSplit/>
        </w:trPr>
        <w:tc>
          <w:tcPr>
            <w:tcW w:type="dxa" w:w="3600"/>
            <w:tcBorders>
              <w:top w:val="none" w:color="FFFFFF" w:sz="0"/>
              <w:left w:val="none" w:color="FFFFFF" w:sz="0"/>
              <w:bottom w:val="single" w:color="808080" w:sz="4"/>
              <w:right w:val="none" w:color="FFFFFF" w:sz="0"/>
            </w:tcBorders>
            <w:tcMar>
              <w:top w:type="dxa" w:w="10"/>
              <w:left w:type="dxa" w:w="80"/>
              <w:bottom w:type="dxa" w:w="10"/>
              <w:right w:type="dxa" w:w="80"/>
            </w:tcMar>
            <w:vAlign w:val="center"/>
          </w:tcPr>
          <w:p>
            <w:pPr>
              <w:spacing w:after="0" w:line="240"/>
              <w:jc w:val="left"/>
            </w:pPr>
            <w:r>
              <w:rPr>
                <w:rFonts w:ascii="Times New Roman" w:cs="Times New Roman" w:eastAsia="Times New Roman" w:hAnsi="Times New Roman"/>
                <w:color w:val="000000"/>
                <w:sz w:val="17"/>
                <w:szCs w:val="17"/>
              </w:rPr>
              <w:t xml:space="preserve">Baseline (always “no”)</w:t>
            </w:r>
          </w:p>
        </w:tc>
        <w:tc>
          <w:tcPr>
            <w:tcW w:type="dxa" w:w="1500"/>
            <w:tcBorders>
              <w:top w:val="none" w:color="FFFFFF" w:sz="0"/>
              <w:left w:val="none" w:color="FFFFFF" w:sz="0"/>
              <w:bottom w:val="single" w:color="808080" w:sz="4"/>
              <w:right w:val="none" w:color="FFFFFF" w:sz="0"/>
            </w:tcBorders>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color w:val="000000"/>
                <w:sz w:val="17"/>
                <w:szCs w:val="17"/>
              </w:rPr>
              <w:t xml:space="preserve">98.93%</w:t>
            </w:r>
          </w:p>
        </w:tc>
        <w:tc>
          <w:tcPr>
            <w:tcW w:type="dxa" w:w="1500"/>
            <w:tcBorders>
              <w:top w:val="none" w:color="FFFFFF" w:sz="0"/>
              <w:left w:val="none" w:color="FFFFFF" w:sz="0"/>
              <w:bottom w:val="single" w:color="808080" w:sz="4"/>
              <w:right w:val="none" w:color="FFFFFF" w:sz="0"/>
            </w:tcBorders>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color w:val="000000"/>
                <w:sz w:val="17"/>
                <w:szCs w:val="17"/>
              </w:rPr>
              <w:t xml:space="preserve">0.0107</w:t>
            </w:r>
          </w:p>
        </w:tc>
        <w:tc>
          <w:tcPr>
            <w:tcW w:type="dxa" w:w="1500"/>
            <w:tcBorders>
              <w:top w:val="none" w:color="FFFFFF" w:sz="0"/>
              <w:left w:val="none" w:color="FFFFFF" w:sz="0"/>
              <w:bottom w:val="single" w:color="808080" w:sz="4"/>
              <w:right w:val="none" w:color="FFFFFF" w:sz="0"/>
            </w:tcBorders>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color w:val="000000"/>
                <w:sz w:val="17"/>
                <w:szCs w:val="17"/>
              </w:rPr>
              <w:t xml:space="preserve">0.5000</w:t>
            </w:r>
          </w:p>
        </w:tc>
      </w:tr>
    </w:tbl>
    <w:p>
      <w:pPr>
        <w:spacing w:after="60" w:before="20" w:line="228"/>
        <w:jc w:val="left"/>
      </w:pPr>
      <w:r>
        <w:rPr>
          <w:rFonts w:ascii="Times New Roman" w:cs="Times New Roman" w:eastAsia="Times New Roman" w:hAnsi="Times New Roman"/>
          <w:i/>
          <w:iCs/>
          <w:color w:val="000000"/>
          <w:sz w:val="17"/>
          <w:szCs w:val="17"/>
        </w:rPr>
        <w:t xml:space="preserve">Table 2. OUR RESULTS on the held-out test set (346,491 loan-months, 3,705 prepayments), sorted by PR-AUC. Random guessing gives PR-AUC 0.0107 (the positive rate). † Benchmark, not in the original paper. The baseline is not a useful model: its accuracy comes from always predicting the majority class and it detects no prepayments.</w:t>
      </w:r>
    </w:p>
    <w:p>
      <w:pPr>
        <w:keepNext/>
        <w:pBdr>
          <w:bottom w:val="single" w:color="808080" w:sz="4" w:space="1"/>
        </w:pBdr>
        <w:spacing w:after="40" w:before="100"/>
      </w:pPr>
      <w:r>
        <w:rPr>
          <w:rFonts w:ascii="Times New Roman" w:cs="Times New Roman" w:eastAsia="Times New Roman" w:hAnsi="Times New Roman"/>
          <w:b/>
          <w:bCs/>
          <w:color w:val="000000"/>
          <w:sz w:val="22"/>
          <w:szCs w:val="22"/>
        </w:rPr>
        <w:t xml:space="preserve">6. Leakage Analysis</w:t>
      </w:r>
    </w:p>
    <w:tbl>
      <w:tblPr>
        <w:tblW w:type="dxa" w:w="89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00"/>
        <w:gridCol w:w="1250"/>
        <w:gridCol w:w="1250"/>
        <w:gridCol w:w="1250"/>
        <w:gridCol w:w="1250"/>
      </w:tblGrid>
      <w:tr>
        <w:trPr>
          <w:tblHeader/>
        </w:trPr>
        <w:tc>
          <w:tcPr>
            <w:tcW w:type="dxa" w:w="3900"/>
            <w:tcBorders>
              <w:top w:val="single" w:color="808080" w:sz="4"/>
              <w:left w:val="none" w:color="FFFFFF" w:sz="0"/>
              <w:bottom w:val="single" w:color="808080" w:sz="4"/>
              <w:right w:val="none" w:color="FFFFFF" w:sz="0"/>
            </w:tcBorders>
            <w:shd w:fill="E7E6E6" w:color="auto" w:val="clear"/>
            <w:tcMar>
              <w:top w:type="dxa" w:w="10"/>
              <w:left w:type="dxa" w:w="80"/>
              <w:bottom w:type="dxa" w:w="10"/>
              <w:right w:type="dxa" w:w="80"/>
            </w:tcMar>
            <w:vAlign w:val="center"/>
          </w:tcPr>
          <w:p>
            <w:pPr>
              <w:spacing w:after="0" w:line="240"/>
              <w:jc w:val="left"/>
            </w:pPr>
            <w:r>
              <w:rPr>
                <w:rFonts w:ascii="Times New Roman" w:cs="Times New Roman" w:eastAsia="Times New Roman" w:hAnsi="Times New Roman"/>
                <w:b/>
                <w:bCs/>
                <w:color w:val="000000"/>
                <w:sz w:val="17"/>
                <w:szCs w:val="17"/>
              </w:rPr>
              <w:t xml:space="preserve">Setup (L2 logistic regression, same loans)</w:t>
            </w:r>
          </w:p>
        </w:tc>
        <w:tc>
          <w:tcPr>
            <w:tcW w:type="dxa" w:w="1250"/>
            <w:tcBorders>
              <w:top w:val="single" w:color="808080" w:sz="4"/>
              <w:left w:val="none" w:color="FFFFFF" w:sz="0"/>
              <w:bottom w:val="single" w:color="808080" w:sz="4"/>
              <w:right w:val="none" w:color="FFFFFF" w:sz="0"/>
            </w:tcBorders>
            <w:shd w:fill="E7E6E6" w:color="auto" w:val="clear"/>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b/>
                <w:bCs/>
                <w:color w:val="000000"/>
                <w:sz w:val="17"/>
                <w:szCs w:val="17"/>
              </w:rPr>
              <w:t xml:space="preserve">Accuracy</w:t>
            </w:r>
          </w:p>
        </w:tc>
        <w:tc>
          <w:tcPr>
            <w:tcW w:type="dxa" w:w="1250"/>
            <w:tcBorders>
              <w:top w:val="single" w:color="808080" w:sz="4"/>
              <w:left w:val="none" w:color="FFFFFF" w:sz="0"/>
              <w:bottom w:val="single" w:color="808080" w:sz="4"/>
              <w:right w:val="none" w:color="FFFFFF" w:sz="0"/>
            </w:tcBorders>
            <w:shd w:fill="E7E6E6" w:color="auto" w:val="clear"/>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b/>
                <w:bCs/>
                <w:color w:val="000000"/>
                <w:sz w:val="17"/>
                <w:szCs w:val="17"/>
              </w:rPr>
              <w:t xml:space="preserve">Precision</w:t>
            </w:r>
          </w:p>
        </w:tc>
        <w:tc>
          <w:tcPr>
            <w:tcW w:type="dxa" w:w="1250"/>
            <w:tcBorders>
              <w:top w:val="single" w:color="808080" w:sz="4"/>
              <w:left w:val="none" w:color="FFFFFF" w:sz="0"/>
              <w:bottom w:val="single" w:color="808080" w:sz="4"/>
              <w:right w:val="none" w:color="FFFFFF" w:sz="0"/>
            </w:tcBorders>
            <w:shd w:fill="E7E6E6" w:color="auto" w:val="clear"/>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b/>
                <w:bCs/>
                <w:color w:val="000000"/>
                <w:sz w:val="17"/>
                <w:szCs w:val="17"/>
              </w:rPr>
              <w:t xml:space="preserve">Recall</w:t>
            </w:r>
          </w:p>
        </w:tc>
        <w:tc>
          <w:tcPr>
            <w:tcW w:type="dxa" w:w="1250"/>
            <w:tcBorders>
              <w:top w:val="single" w:color="808080" w:sz="4"/>
              <w:left w:val="none" w:color="FFFFFF" w:sz="0"/>
              <w:bottom w:val="single" w:color="808080" w:sz="4"/>
              <w:right w:val="none" w:color="FFFFFF" w:sz="0"/>
            </w:tcBorders>
            <w:shd w:fill="E7E6E6" w:color="auto" w:val="clear"/>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b/>
                <w:bCs/>
                <w:color w:val="000000"/>
                <w:sz w:val="17"/>
                <w:szCs w:val="17"/>
              </w:rPr>
              <w:t xml:space="preserve">PR-AUC</w:t>
            </w:r>
          </w:p>
        </w:tc>
      </w:tr>
      <w:tr>
        <w:trPr>
          <w:cantSplit/>
        </w:trPr>
        <w:tc>
          <w:tcPr>
            <w:tcW w:type="dxa" w:w="390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left"/>
            </w:pPr>
            <w:r>
              <w:rPr>
                <w:rFonts w:ascii="Times New Roman" w:cs="Times New Roman" w:eastAsia="Times New Roman" w:hAnsi="Times New Roman"/>
                <w:color w:val="000000"/>
                <w:sz w:val="17"/>
                <w:szCs w:val="17"/>
              </w:rPr>
              <w:t xml:space="preserve">Paper setup reproduced (OUR RESULTS)</w:t>
            </w:r>
          </w:p>
        </w:tc>
        <w:tc>
          <w:tcPr>
            <w:tcW w:type="dxa" w:w="125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color w:val="000000"/>
                <w:sz w:val="17"/>
                <w:szCs w:val="17"/>
              </w:rPr>
              <w:t xml:space="preserve">99.95%</w:t>
            </w:r>
          </w:p>
        </w:tc>
        <w:tc>
          <w:tcPr>
            <w:tcW w:type="dxa" w:w="125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color w:val="000000"/>
                <w:sz w:val="17"/>
                <w:szCs w:val="17"/>
              </w:rPr>
              <w:t xml:space="preserve">0.972</w:t>
            </w:r>
          </w:p>
        </w:tc>
        <w:tc>
          <w:tcPr>
            <w:tcW w:type="dxa" w:w="125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color w:val="000000"/>
                <w:sz w:val="17"/>
                <w:szCs w:val="17"/>
              </w:rPr>
              <w:t xml:space="preserve">0.985</w:t>
            </w:r>
          </w:p>
        </w:tc>
        <w:tc>
          <w:tcPr>
            <w:tcW w:type="dxa" w:w="1250"/>
            <w:tcBorders>
              <w:top w:val="none" w:color="FFFFFF" w:sz="0"/>
              <w:left w:val="none" w:color="FFFFFF" w:sz="0"/>
              <w:bottom w:val="none" w:color="FFFFFF" w:sz="0"/>
              <w:right w:val="none" w:color="FFFFFF" w:sz="0"/>
            </w:tcBorders>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color w:val="000000"/>
                <w:sz w:val="17"/>
                <w:szCs w:val="17"/>
              </w:rPr>
              <w:t xml:space="preserve">0.987</w:t>
            </w:r>
          </w:p>
        </w:tc>
      </w:tr>
      <w:tr>
        <w:trPr>
          <w:cantSplit/>
        </w:trPr>
        <w:tc>
          <w:tcPr>
            <w:tcW w:type="dxa" w:w="3900"/>
            <w:tcBorders>
              <w:top w:val="none" w:color="FFFFFF" w:sz="0"/>
              <w:left w:val="none" w:color="FFFFFF" w:sz="0"/>
              <w:bottom w:val="single" w:color="808080" w:sz="4"/>
              <w:right w:val="none" w:color="FFFFFF" w:sz="0"/>
            </w:tcBorders>
            <w:tcMar>
              <w:top w:type="dxa" w:w="10"/>
              <w:left w:type="dxa" w:w="80"/>
              <w:bottom w:type="dxa" w:w="10"/>
              <w:right w:type="dxa" w:w="80"/>
            </w:tcMar>
            <w:vAlign w:val="center"/>
          </w:tcPr>
          <w:p>
            <w:pPr>
              <w:spacing w:after="0" w:line="240"/>
              <w:jc w:val="left"/>
            </w:pPr>
            <w:r>
              <w:rPr>
                <w:rFonts w:ascii="Times New Roman" w:cs="Times New Roman" w:eastAsia="Times New Roman" w:hAnsi="Times New Roman"/>
                <w:color w:val="000000"/>
                <w:sz w:val="17"/>
                <w:szCs w:val="17"/>
              </w:rPr>
              <w:t xml:space="preserve">Fixed setup (OUR RESULTS)</w:t>
            </w:r>
          </w:p>
        </w:tc>
        <w:tc>
          <w:tcPr>
            <w:tcW w:type="dxa" w:w="1250"/>
            <w:tcBorders>
              <w:top w:val="none" w:color="FFFFFF" w:sz="0"/>
              <w:left w:val="none" w:color="FFFFFF" w:sz="0"/>
              <w:bottom w:val="single" w:color="808080" w:sz="4"/>
              <w:right w:val="none" w:color="FFFFFF" w:sz="0"/>
            </w:tcBorders>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color w:val="000000"/>
                <w:sz w:val="17"/>
                <w:szCs w:val="17"/>
              </w:rPr>
              <w:t xml:space="preserve">94.77%</w:t>
            </w:r>
          </w:p>
        </w:tc>
        <w:tc>
          <w:tcPr>
            <w:tcW w:type="dxa" w:w="1250"/>
            <w:tcBorders>
              <w:top w:val="none" w:color="FFFFFF" w:sz="0"/>
              <w:left w:val="none" w:color="FFFFFF" w:sz="0"/>
              <w:bottom w:val="single" w:color="808080" w:sz="4"/>
              <w:right w:val="none" w:color="FFFFFF" w:sz="0"/>
            </w:tcBorders>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color w:val="000000"/>
                <w:sz w:val="17"/>
                <w:szCs w:val="17"/>
              </w:rPr>
              <w:t xml:space="preserve">0.045</w:t>
            </w:r>
          </w:p>
        </w:tc>
        <w:tc>
          <w:tcPr>
            <w:tcW w:type="dxa" w:w="1250"/>
            <w:tcBorders>
              <w:top w:val="none" w:color="FFFFFF" w:sz="0"/>
              <w:left w:val="none" w:color="FFFFFF" w:sz="0"/>
              <w:bottom w:val="single" w:color="808080" w:sz="4"/>
              <w:right w:val="none" w:color="FFFFFF" w:sz="0"/>
            </w:tcBorders>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color w:val="000000"/>
                <w:sz w:val="17"/>
                <w:szCs w:val="17"/>
              </w:rPr>
              <w:t xml:space="preserve">0.193</w:t>
            </w:r>
          </w:p>
        </w:tc>
        <w:tc>
          <w:tcPr>
            <w:tcW w:type="dxa" w:w="1250"/>
            <w:tcBorders>
              <w:top w:val="none" w:color="FFFFFF" w:sz="0"/>
              <w:left w:val="none" w:color="FFFFFF" w:sz="0"/>
              <w:bottom w:val="single" w:color="808080" w:sz="4"/>
              <w:right w:val="none" w:color="FFFFFF" w:sz="0"/>
            </w:tcBorders>
            <w:tcMar>
              <w:top w:type="dxa" w:w="10"/>
              <w:left w:type="dxa" w:w="80"/>
              <w:bottom w:type="dxa" w:w="10"/>
              <w:right w:type="dxa" w:w="80"/>
            </w:tcMar>
            <w:vAlign w:val="center"/>
          </w:tcPr>
          <w:p>
            <w:pPr>
              <w:spacing w:after="0" w:line="240"/>
              <w:jc w:val="center"/>
            </w:pPr>
            <w:r>
              <w:rPr>
                <w:rFonts w:ascii="Times New Roman" w:cs="Times New Roman" w:eastAsia="Times New Roman" w:hAnsi="Times New Roman"/>
                <w:color w:val="000000"/>
                <w:sz w:val="17"/>
                <w:szCs w:val="17"/>
              </w:rPr>
              <w:t xml:space="preserve">0.031</w:t>
            </w:r>
          </w:p>
        </w:tc>
      </w:tr>
    </w:tbl>
    <w:p>
      <w:pPr>
        <w:spacing w:after="60" w:before="20" w:line="228"/>
        <w:jc w:val="left"/>
      </w:pPr>
      <w:r>
        <w:rPr>
          <w:rFonts w:ascii="Times New Roman" w:cs="Times New Roman" w:eastAsia="Times New Roman" w:hAnsi="Times New Roman"/>
          <w:i/>
          <w:iCs/>
          <w:color w:val="000000"/>
          <w:sz w:val="17"/>
          <w:szCs w:val="17"/>
        </w:rPr>
        <w:t xml:space="preserve">Table 3. Effect of the original setup versus the corrected setup.</w:t>
      </w:r>
    </w:p>
    <w:p>
      <w:pPr>
        <w:spacing w:after="50" w:before="0" w:line="246"/>
        <w:jc w:val="both"/>
      </w:pPr>
      <w:r>
        <w:rPr>
          <w:rFonts w:ascii="Times New Roman" w:cs="Times New Roman" w:eastAsia="Times New Roman" w:hAnsi="Times New Roman"/>
          <w:color w:val="000000"/>
          <w:sz w:val="20"/>
          <w:szCs w:val="20"/>
        </w:rPr>
        <w:t xml:space="preserve">The paper setup labels each row “prepaid this month”, keeps the payoff row and splits rows at random. Freddie Mac reports the current balance as 0 in the payoff month, so the balance feature effectively reveals the label, and months of the same loan appear in both training and test data. On our data this setup gives 99.95% accuracy, close to the paper’s 99.951% for L2 logistic regression (the paper’s result). With a next-month target and a loan-level split, PR-AUC falls from 0.987 to 0.031: the near-perfect scores come from leakage, not predictive skill. The comparison changes target, balance feature and split together, not each one separately.</w:t>
      </w:r>
    </w:p>
    <w:p>
      <w:pPr>
        <w:keepNext/>
        <w:pBdr>
          <w:bottom w:val="single" w:color="808080" w:sz="4" w:space="1"/>
        </w:pBdr>
        <w:spacing w:after="40" w:before="100"/>
      </w:pPr>
      <w:r>
        <w:rPr>
          <w:rFonts w:ascii="Times New Roman" w:cs="Times New Roman" w:eastAsia="Times New Roman" w:hAnsi="Times New Roman"/>
          <w:b/>
          <w:bCs/>
          <w:color w:val="000000"/>
          <w:sz w:val="22"/>
          <w:szCs w:val="22"/>
        </w:rPr>
        <w:t xml:space="preserve">7. Key Findings</w:t>
      </w:r>
    </w:p>
    <w:p>
      <w:pPr>
        <w:pStyle w:val="ListParagraph"/>
        <w:numPr>
          <w:ilvl w:val="0"/>
          <w:numId w:val="2"/>
        </w:numPr>
        <w:spacing w:after="20" w:line="246"/>
        <w:jc w:val="left"/>
      </w:pPr>
      <w:r>
        <w:rPr>
          <w:rFonts w:ascii="Times New Roman" w:cs="Times New Roman" w:eastAsia="Times New Roman" w:hAnsi="Times New Roman"/>
          <w:color w:val="000000"/>
          <w:sz w:val="20"/>
          <w:szCs w:val="20"/>
        </w:rPr>
        <w:t xml:space="preserve">Accuracy is misleading with a 1.08% positive class: the always-“no” baseline has the highest accuracy (98.93%) yet detects zero prepayments.</w:t>
      </w:r>
    </w:p>
    <w:p>
      <w:pPr>
        <w:pStyle w:val="ListParagraph"/>
        <w:numPr>
          <w:ilvl w:val="0"/>
          <w:numId w:val="2"/>
        </w:numPr>
        <w:spacing w:after="20" w:line="246"/>
        <w:jc w:val="left"/>
      </w:pPr>
      <w:r>
        <w:rPr>
          <w:rFonts w:ascii="Times New Roman" w:cs="Times New Roman" w:eastAsia="Times New Roman" w:hAnsi="Times New Roman"/>
          <w:color w:val="000000"/>
          <w:sz w:val="20"/>
          <w:szCs w:val="20"/>
        </w:rPr>
        <w:t xml:space="preserve">Gradient boosting (PR-AUC 0.0382) and the neural network (0.0380) are strongest, about 3.6× random (0.0107).</w:t>
      </w:r>
    </w:p>
    <w:p>
      <w:pPr>
        <w:pStyle w:val="ListParagraph"/>
        <w:numPr>
          <w:ilvl w:val="0"/>
          <w:numId w:val="2"/>
        </w:numPr>
        <w:spacing w:after="20" w:line="246"/>
        <w:jc w:val="left"/>
      </w:pPr>
      <w:r>
        <w:rPr>
          <w:rFonts w:ascii="Times New Roman" w:cs="Times New Roman" w:eastAsia="Times New Roman" w:hAnsi="Times New Roman"/>
          <w:color w:val="000000"/>
          <w:sz w:val="20"/>
          <w:szCs w:val="20"/>
        </w:rPr>
        <w:t xml:space="preserve">Logistic L1, L2 and no-penalty results are very similar (PR-AUC 0.0313–0.0314; ROC-AUC 0.7271–0.7272).</w:t>
      </w:r>
    </w:p>
    <w:p>
      <w:pPr>
        <w:pStyle w:val="ListParagraph"/>
        <w:numPr>
          <w:ilvl w:val="0"/>
          <w:numId w:val="2"/>
        </w:numPr>
        <w:spacing w:after="20" w:line="246"/>
        <w:jc w:val="left"/>
      </w:pPr>
      <w:r>
        <w:rPr>
          <w:rFonts w:ascii="Times New Roman" w:cs="Times New Roman" w:eastAsia="Times New Roman" w:hAnsi="Times New Roman"/>
          <w:color w:val="000000"/>
          <w:sz w:val="20"/>
          <w:szCs w:val="20"/>
        </w:rPr>
        <w:t xml:space="preserve">QDA, the paper’s best model, does not reproduce its strong result: PR-AUC 0.0210, below LDA (0.0300).</w:t>
      </w:r>
    </w:p>
    <w:p>
      <w:pPr>
        <w:pStyle w:val="ListParagraph"/>
        <w:numPr>
          <w:ilvl w:val="0"/>
          <w:numId w:val="2"/>
        </w:numPr>
        <w:spacing w:after="20" w:line="246"/>
        <w:jc w:val="left"/>
      </w:pPr>
      <w:r>
        <w:rPr>
          <w:rFonts w:ascii="Times New Roman" w:cs="Times New Roman" w:eastAsia="Times New Roman" w:hAnsi="Times New Roman"/>
          <w:color w:val="000000"/>
          <w:sz w:val="20"/>
          <w:szCs w:val="20"/>
        </w:rPr>
        <w:t xml:space="preserve">SVMs have the lowest PR-AUC (0.0124–0.0170); they were trained on a 15,000-row subsample.</w:t>
      </w:r>
    </w:p>
    <w:p>
      <w:pPr>
        <w:pStyle w:val="ListParagraph"/>
        <w:numPr>
          <w:ilvl w:val="0"/>
          <w:numId w:val="2"/>
        </w:numPr>
        <w:spacing w:after="20" w:line="246"/>
        <w:jc w:val="left"/>
      </w:pPr>
      <w:r>
        <w:rPr>
          <w:rFonts w:ascii="Times New Roman" w:cs="Times New Roman" w:eastAsia="Times New Roman" w:hAnsi="Times New Roman"/>
          <w:color w:val="000000"/>
          <w:sz w:val="20"/>
          <w:szCs w:val="20"/>
        </w:rPr>
        <w:t xml:space="preserve">Largest L1 logistic coefficients: rate incentive (+0.417), mortgage rate (−0.392), mark-to-market LTV (−0.341).</w:t>
      </w:r>
    </w:p>
    <w:p>
      <w:pPr>
        <w:keepNext/>
        <w:pBdr>
          <w:bottom w:val="single" w:color="808080" w:sz="4" w:space="1"/>
        </w:pBdr>
        <w:spacing w:after="40" w:before="100"/>
      </w:pPr>
      <w:r>
        <w:rPr>
          <w:rFonts w:ascii="Times New Roman" w:cs="Times New Roman" w:eastAsia="Times New Roman" w:hAnsi="Times New Roman"/>
          <w:b/>
          <w:bCs/>
          <w:color w:val="000000"/>
          <w:sz w:val="22"/>
          <w:szCs w:val="22"/>
        </w:rPr>
        <w:t xml:space="preserve">8. Conclusion and Limitations</w:t>
      </w:r>
    </w:p>
    <w:p>
      <w:pPr>
        <w:spacing w:after="50" w:before="0" w:line="246"/>
        <w:jc w:val="both"/>
      </w:pPr>
      <w:r>
        <w:rPr>
          <w:rFonts w:ascii="Times New Roman" w:cs="Times New Roman" w:eastAsia="Times New Roman" w:hAnsi="Times New Roman"/>
          <w:color w:val="000000"/>
          <w:sz w:val="20"/>
          <w:szCs w:val="20"/>
        </w:rPr>
        <w:t xml:space="preserve">The original paper’s accuracy of about 99.9% reflects its problem setup rather than predictive skill: reproducing it on our data gives 99.95% accuracy, while the leakage-free, loan-level evaluation gives far lower but realistic scores. Gradient boosting and the neural network perform best (PR-AUC about 0.038), followed by the logistic models and LDA. For a rare event like monthly prepayment, PR-AUC, precision and recall should be reported instead of accuracy.</w:t>
      </w:r>
    </w:p>
    <w:p>
      <w:pPr>
        <w:spacing w:after="50" w:before="0" w:line="246"/>
        <w:jc w:val="both"/>
      </w:pPr>
      <w:r>
        <w:rPr>
          <w:rFonts w:ascii="Times New Roman" w:cs="Times New Roman" w:eastAsia="Times New Roman" w:hAnsi="Times New Roman"/>
          <w:b/>
          <w:bCs/>
          <w:color w:val="000000"/>
          <w:sz w:val="20"/>
          <w:szCs w:val="20"/>
        </w:rPr>
        <w:t xml:space="preserve">Limitations: </w:t>
      </w:r>
      <w:r>
        <w:rPr>
          <w:rFonts w:ascii="Times New Roman" w:cs="Times New Roman" w:eastAsia="Times New Roman" w:hAnsi="Times New Roman"/>
          <w:color w:val="000000"/>
          <w:sz w:val="20"/>
          <w:szCs w:val="20"/>
        </w:rPr>
        <w:t xml:space="preserve">Freddie Mac sample data (5,000 loans per vintage); SVM and logistic models trained on subsamples; national rather than regional macroeconomic variables; no out-of-time evaluation was run (training and test sets share calendar months); results come from a single experimental run (seed 42).</w:t>
      </w:r>
    </w:p>
    <w:p>
      <w:pPr>
        <w:keepNext/>
        <w:pBdr>
          <w:bottom w:val="single" w:color="808080" w:sz="4" w:space="1"/>
        </w:pBdr>
        <w:spacing w:after="40" w:before="100"/>
      </w:pPr>
      <w:r>
        <w:rPr>
          <w:rFonts w:ascii="Times New Roman" w:cs="Times New Roman" w:eastAsia="Times New Roman" w:hAnsi="Times New Roman"/>
          <w:b/>
          <w:bCs/>
          <w:color w:val="000000"/>
          <w:sz w:val="22"/>
          <w:szCs w:val="22"/>
        </w:rPr>
        <w:t xml:space="preserve">References</w:t>
      </w:r>
    </w:p>
    <w:p>
      <w:pPr>
        <w:spacing w:after="10" w:before="0" w:line="228"/>
        <w:jc w:val="left"/>
      </w:pPr>
      <w:r>
        <w:rPr>
          <w:rFonts w:ascii="Times New Roman" w:cs="Times New Roman" w:eastAsia="Times New Roman" w:hAnsi="Times New Roman"/>
          <w:color w:val="000000"/>
          <w:sz w:val="17"/>
          <w:szCs w:val="17"/>
        </w:rPr>
        <w:t xml:space="preserve">[1] C. Guo, J. Boccio, C. Cameron, “Predicting Mortgage Backed Securities Prepayment Using Machine Learning Methods,” Stanford CS229 project report, Spring 2021. </w:t>
      </w:r>
      <w:hyperlink w:history="1" r:id="rIdhcasyki6bej2rm1pd9irt">
        <w:r>
          <w:rPr>
            <w:rFonts w:ascii="Times New Roman" w:cs="Times New Roman" w:eastAsia="Times New Roman" w:hAnsi="Times New Roman"/>
            <w:color w:val="1F3A93"/>
            <w:sz w:val="17"/>
            <w:szCs w:val="17"/>
          </w:rPr>
          <w:t xml:space="preserve">https://cs229.stanford.edu/proj2021spr/report2/81995903.pdf</w:t>
        </w:r>
      </w:hyperlink>
    </w:p>
    <w:p>
      <w:pPr>
        <w:spacing w:after="10" w:before="0" w:line="228"/>
        <w:jc w:val="left"/>
      </w:pPr>
      <w:r>
        <w:rPr>
          <w:rFonts w:ascii="Times New Roman" w:cs="Times New Roman" w:eastAsia="Times New Roman" w:hAnsi="Times New Roman"/>
          <w:color w:val="000000"/>
          <w:sz w:val="17"/>
          <w:szCs w:val="17"/>
        </w:rPr>
        <w:t xml:space="preserve">[2] Freddie Mac, Single-Family Loan-Level Dataset and General User Guide. </w:t>
      </w:r>
      <w:hyperlink w:history="1" r:id="rIdgjkldlgu96geojrsn9qdn">
        <w:r>
          <w:rPr>
            <w:rFonts w:ascii="Times New Roman" w:cs="Times New Roman" w:eastAsia="Times New Roman" w:hAnsi="Times New Roman"/>
            <w:color w:val="1F3A93"/>
            <w:sz w:val="17"/>
            <w:szCs w:val="17"/>
          </w:rPr>
          <w:t xml:space="preserve">https://www.freddiemac.com/research/datasets/sf-loanlevel-dataset</w:t>
        </w:r>
      </w:hyperlink>
    </w:p>
    <w:p>
      <w:pPr>
        <w:spacing w:after="10" w:before="0" w:line="228"/>
        <w:jc w:val="left"/>
      </w:pPr>
      <w:r>
        <w:rPr>
          <w:rFonts w:ascii="Times New Roman" w:cs="Times New Roman" w:eastAsia="Times New Roman" w:hAnsi="Times New Roman"/>
          <w:color w:val="000000"/>
          <w:sz w:val="17"/>
          <w:szCs w:val="17"/>
        </w:rPr>
        <w:t xml:space="preserve">[3] Federal Reserve Bank of St. Louis, FRED Economic Data: MORTGAGE30US, HPIPONM226S, UNRATE. </w:t>
      </w:r>
      <w:hyperlink w:history="1" r:id="rIdjwnggbcxhoygbuo_tzxt2">
        <w:r>
          <w:rPr>
            <w:rFonts w:ascii="Times New Roman" w:cs="Times New Roman" w:eastAsia="Times New Roman" w:hAnsi="Times New Roman"/>
            <w:color w:val="1F3A93"/>
            <w:sz w:val="17"/>
            <w:szCs w:val="17"/>
          </w:rPr>
          <w:t xml:space="preserve">https://fred.stlouisfed.org/</w:t>
        </w:r>
      </w:hyperlink>
    </w:p>
    <w:p>
      <w:pPr>
        <w:spacing w:after="0" w:before="0" w:line="228"/>
        <w:jc w:val="left"/>
      </w:pPr>
      <w:r>
        <w:rPr>
          <w:rFonts w:ascii="Times New Roman" w:cs="Times New Roman" w:eastAsia="Times New Roman" w:hAnsi="Times New Roman"/>
          <w:b/>
          <w:bCs/>
          <w:color w:val="000000"/>
          <w:sz w:val="17"/>
          <w:szCs w:val="17"/>
        </w:rPr>
        <w:t xml:space="preserve">Code: </w:t>
      </w:r>
      <w:hyperlink w:history="1" r:id="rIdhkfsuwjcwm13cgcep1_c0">
        <w:r>
          <w:rPr>
            <w:rFonts w:ascii="Times New Roman" w:cs="Times New Roman" w:eastAsia="Times New Roman" w:hAnsi="Times New Roman"/>
            <w:color w:val="1F3A93"/>
            <w:sz w:val="17"/>
            <w:szCs w:val="17"/>
          </w:rPr>
          <w:t xml:space="preserve">https://github.com/PRANAVKALLA230106/Securities-Prepayment-Using-Machine-Learning-Methods</w:t>
        </w:r>
      </w:hyperlink>
    </w:p>
    <w:sectPr>
      <w:footerReference w:type="default" r:id="rId6"/>
      <w:pgSz w:w="11906" w:h="16838" w:orient="portrait"/>
      <w:pgMar w:top="760" w:right="1008" w:bottom="760" w:left="1008" w:header="708" w:footer="4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hcasyki6bej2rm1pd9irt" Type="http://schemas.openxmlformats.org/officeDocument/2006/relationships/hyperlink" Target="https://cs229.stanford.edu/proj2021spr/report2/81995903.pdf" TargetMode="External"/><Relationship Id="rIdgjkldlgu96geojrsn9qdn" Type="http://schemas.openxmlformats.org/officeDocument/2006/relationships/hyperlink" Target="https://www.freddiemac.com/research/datasets/sf-loanlevel-dataset" TargetMode="External"/><Relationship Id="rIdjwnggbcxhoygbuo_tzxt2" Type="http://schemas.openxmlformats.org/officeDocument/2006/relationships/hyperlink" Target="https://fred.stlouisfed.org/" TargetMode="External"/><Relationship Id="rIdhkfsuwjcwm13cgcep1_c0" Type="http://schemas.openxmlformats.org/officeDocument/2006/relationships/hyperlink" Target="https://github.com/PRANAVKALLA230106/Securities-Prepayment-Using-Machine-Learning-Method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Mortgage Backed Securities Prepayment Using Machine Learning Methods</dc:title>
  <dc:creator>Rachit Satwashil Mane, Pranav Kalla</dc:creator>
  <dc:description>UE24CS352A Machine Learning mini-project write-up, Team D-12</dc:description>
  <cp:lastModifiedBy>Un-named</cp:lastModifiedBy>
  <cp:revision>1</cp:revision>
  <dcterms:created xsi:type="dcterms:W3CDTF">2026-10-02T09:56:34.426Z</dcterms:created>
  <dcterms:modified xsi:type="dcterms:W3CDTF">2026-10-02T09:56:34.429Z</dcterms:modified>
</cp:coreProperties>
</file>

<file path=docProps/custom.xml><?xml version="1.0" encoding="utf-8"?>
<Properties xmlns="http://schemas.openxmlformats.org/officeDocument/2006/custom-properties" xmlns:vt="http://schemas.openxmlformats.org/officeDocument/2006/docPropsVTypes"/>
</file>