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f5895d635b2bbac5903779ddb07534c9d23779"/>
    <w:p>
      <w:pPr>
        <w:pStyle w:val="Heading1"/>
      </w:pPr>
      <w:r>
        <w:t xml:space="preserve">Advanced Data Preprocessing and Knowledge Discovery: A Comprehensive Diagnostic Pipeline</w:t>
      </w:r>
    </w:p>
    <w:bookmarkStart w:id="9" w:name="introduction-and-background-framework"/>
    <w:p>
      <w:pPr>
        <w:pStyle w:val="Heading2"/>
      </w:pPr>
      <w:r>
        <w:t xml:space="preserve">1. Introduction and Background Framework</w:t>
      </w:r>
    </w:p>
    <w:p>
      <w:pPr>
        <w:pStyle w:val="FirstParagraph"/>
      </w:pPr>
      <w:r>
        <w:rPr>
          <w:b/>
          <w:bCs/>
        </w:rPr>
        <w:t xml:space="preserve">Dataset Origin:</w:t>
      </w:r>
      <w:r>
        <w:t xml:space="preserve"> </w:t>
      </w:r>
      <w:r>
        <w:t xml:space="preserve">The foundational data utilized within this analytical study is the globally renowned UCI Heart Disease dataset, derived natively from the Cleveland Clinic Foundation’s databases. For several decades, this specific dataset has operated as a gold-standard benchmarking tool within the machine learning community for testing diagnostic methodologies.</w:t>
      </w:r>
    </w:p>
    <w:p>
      <w:pPr>
        <w:pStyle w:val="BodyText"/>
      </w:pPr>
      <w:r>
        <w:rPr>
          <w:b/>
          <w:bCs/>
        </w:rPr>
        <w:t xml:space="preserve">Application Domain Scope:</w:t>
      </w:r>
      <w:r>
        <w:t xml:space="preserve"> </w:t>
      </w:r>
      <w:r>
        <w:t xml:space="preserve">Our investigative domain is strictly anchored in Clinical Healthcare Analytics and Predictive Cardiology. Modeling heart disease parameters algorithmically provides computational systems the ability to offload significant diagnostic burdens from human physicians, rendering it one of the most critical subsets of modern medical informatics.</w:t>
      </w:r>
    </w:p>
    <w:p>
      <w:pPr>
        <w:pStyle w:val="BodyText"/>
      </w:pPr>
      <w:r>
        <w:rPr>
          <w:b/>
          <w:bCs/>
        </w:rPr>
        <w:t xml:space="preserve">Extracted Knowledge Targets:</w:t>
      </w:r>
      <w:r>
        <w:t xml:space="preserve"> </w:t>
      </w:r>
      <w:r>
        <w:t xml:space="preserve">The primary objective centers around mining complex mathematical associations between routine, non-invasive physiological measurements (such as resting blood pressure, fasting blood sugar, and electrocardiographic results) and the binary probability of angiographic heart disease. The extracted knowledge models bypass simple linear assumptions, revealing deep threshold-based patterns mapping asymptomatic chest pain directly to cardiac blockages.</w:t>
      </w:r>
    </w:p>
    <w:p>
      <w:pPr>
        <w:pStyle w:val="BodyText"/>
      </w:pPr>
      <w:r>
        <w:rPr>
          <w:b/>
          <w:bCs/>
        </w:rPr>
        <w:t xml:space="preserve">Real-world Medical Implementations:</w:t>
      </w:r>
      <w:r>
        <w:t xml:space="preserve"> </w:t>
      </w:r>
      <w:r>
        <w:t xml:space="preserve">The discoveries generated via this data mining pipeline actively drive tangible healthcare outcomes:</w:t>
      </w:r>
      <w:r>
        <w:t xml:space="preserve"> </w:t>
      </w:r>
      <w:r>
        <w:t xml:space="preserve">-</w:t>
      </w:r>
      <w:r>
        <w:t xml:space="preserve"> </w:t>
      </w:r>
      <w:r>
        <w:rPr>
          <w:b/>
          <w:bCs/>
        </w:rPr>
        <w:t xml:space="preserve">Algorithmic Triage:</w:t>
      </w:r>
      <w:r>
        <w:t xml:space="preserve"> </w:t>
      </w:r>
      <w:r>
        <w:t xml:space="preserve">Offering immediate, calculated diagnostic probabilities in emergency settings where specialized cardiologists may not be instantly available.</w:t>
      </w:r>
      <w:r>
        <w:t xml:space="preserve"> </w:t>
      </w:r>
      <w:r>
        <w:t xml:space="preserve">-</w:t>
      </w:r>
      <w:r>
        <w:t xml:space="preserve"> </w:t>
      </w:r>
      <w:r>
        <w:rPr>
          <w:b/>
          <w:bCs/>
        </w:rPr>
        <w:t xml:space="preserve">Resource Allocation:</w:t>
      </w:r>
      <w:r>
        <w:t xml:space="preserve"> </w:t>
      </w:r>
      <w:r>
        <w:t xml:space="preserve">Flagging high-probability disease profiles for expensive angiogram pipelines, ensuring medical imaging availability is strictly prioritized for patients demonstrating absolute maximum computational risk.</w:t>
      </w:r>
      <w:r>
        <w:t xml:space="preserve"> </w:t>
      </w:r>
      <w:r>
        <w:t xml:space="preserve">-</w:t>
      </w:r>
      <w:r>
        <w:t xml:space="preserve"> </w:t>
      </w:r>
      <w:r>
        <w:rPr>
          <w:b/>
          <w:bCs/>
        </w:rPr>
        <w:t xml:space="preserve">Risk Stratification and Intervention:</w:t>
      </w:r>
      <w:r>
        <w:t xml:space="preserve"> </w:t>
      </w:r>
      <w:r>
        <w:t xml:space="preserve">Assisting primary care physicians in diagnosing progressive disease architectures earlier, prescribing physiological treatments to reverse damage prior to catastrophic cardiac events.</w:t>
      </w:r>
    </w:p>
    <w:p>
      <w:r>
        <w:pict>
          <v:rect style="width:0;height:1.5pt" o:hralign="center" o:hrstd="t" o:hr="t"/>
        </w:pict>
      </w:r>
    </w:p>
    <w:bookmarkEnd w:id="9"/>
    <w:bookmarkStart w:id="10" w:name="structural-dataset-description"/>
    <w:p>
      <w:pPr>
        <w:pStyle w:val="Heading2"/>
      </w:pPr>
      <w:r>
        <w:t xml:space="preserve">2. Structural Dataset Description</w:t>
      </w:r>
    </w:p>
    <w:p>
      <w:pPr>
        <w:pStyle w:val="FirstParagraph"/>
      </w:pPr>
      <w:r>
        <w:rPr>
          <w:b/>
          <w:bCs/>
        </w:rPr>
        <w:t xml:space="preserve">Core Definitions:</w:t>
      </w:r>
      <w:r>
        <w:t xml:space="preserve"> </w:t>
      </w:r>
      <w:r>
        <w:t xml:space="preserve">-</w:t>
      </w:r>
      <w:r>
        <w:t xml:space="preserve"> </w:t>
      </w:r>
      <w:r>
        <w:rPr>
          <w:b/>
          <w:bCs/>
        </w:rPr>
        <w:t xml:space="preserve">Data object:</w:t>
      </w:r>
      <w:r>
        <w:t xml:space="preserve"> </w:t>
      </w:r>
      <w:r>
        <w:t xml:space="preserve">Within our scope, a fundamental data object signifies a unique biological patient. Each instance encompasses an isolated snapshot of an individual’s measurable health metrics gathered during examination.</w:t>
      </w:r>
      <w:r>
        <w:t xml:space="preserve"> </w:t>
      </w:r>
      <w:r>
        <w:t xml:space="preserve">-</w:t>
      </w:r>
      <w:r>
        <w:t xml:space="preserve"> </w:t>
      </w:r>
      <w:r>
        <w:rPr>
          <w:b/>
          <w:bCs/>
        </w:rPr>
        <w:t xml:space="preserve">Attributes (Features):</w:t>
      </w:r>
      <w:r>
        <w:t xml:space="preserve"> </w:t>
      </w:r>
      <w:r>
        <w:t xml:space="preserve">The independent, quantifiable variables functioning to geometrically map each data object. Examples include</w:t>
      </w:r>
      <w:r>
        <w:t xml:space="preserve"> </w:t>
      </w:r>
      <w:r>
        <w:rPr>
          <w:rStyle w:val="VerbatimChar"/>
        </w:rPr>
        <w:t xml:space="preserve">chol</w:t>
      </w:r>
      <w:r>
        <w:t xml:space="preserve"> </w:t>
      </w:r>
      <w:r>
        <w:t xml:space="preserve">(Cholesterol count) or</w:t>
      </w:r>
      <w:r>
        <w:t xml:space="preserve"> </w:t>
      </w:r>
      <w:r>
        <w:rPr>
          <w:rStyle w:val="VerbatimChar"/>
        </w:rPr>
        <w:t xml:space="preserve">oldpeak</w:t>
      </w:r>
      <w:r>
        <w:t xml:space="preserve"> </w:t>
      </w:r>
      <w:r>
        <w:t xml:space="preserve">(Electrocardiogram tracking), which mathematically construct the clinical profile.</w:t>
      </w:r>
    </w:p>
    <w:p>
      <w:pPr>
        <w:pStyle w:val="BodyText"/>
      </w:pPr>
      <w:r>
        <w:rPr>
          <w:b/>
          <w:bCs/>
        </w:rPr>
        <w:t xml:space="preserve">Mathematical Dataset Representation:</w:t>
      </w:r>
      <w:r>
        <w:t xml:space="preserve"> </w:t>
      </w:r>
      <w:r>
        <w:t xml:space="preserve">To evaluate the clinical records programmatically, the dataset translates entirely into a mathematical design. Assuming</w:t>
      </w:r>
      <w:r>
        <w:t xml:space="preserve"> </w:t>
      </w:r>
      <m:oMath>
        <m:r>
          <m:t>n</m:t>
        </m:r>
      </m:oMath>
      <w:r>
        <w:t xml:space="preserve"> </w:t>
      </w:r>
      <w:r>
        <w:t xml:space="preserve">equal to our patient volume and</w:t>
      </w:r>
      <w:r>
        <w:t xml:space="preserve"> </w:t>
      </w:r>
      <m:oMath>
        <m:r>
          <m:t>d</m:t>
        </m:r>
      </m:oMath>
      <w:r>
        <w:t xml:space="preserve"> </w:t>
      </w:r>
      <w:r>
        <w:t xml:space="preserve">equal to measured diagnostic criteria, the entire population forms a two-dimensional matrix. Respectively, an individual patient exists as multidimensional vector</w:t>
      </w:r>
      <w:r>
        <w:t xml:space="preserve"> </w:t>
      </w:r>
      <m:oMath>
        <m:r>
          <m:t>X</m:t>
        </m:r>
      </m:oMath>
      <w:r>
        <w:t xml:space="preserve">:</w:t>
      </w:r>
    </w:p>
    <w:p>
      <w:pPr>
        <w:pStyle w:val="BodyText"/>
      </w:pPr>
      <m:oMathPara>
        <m:oMathParaPr>
          <m:jc m:val="center"/>
        </m:oMathParaP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d</m:t>
              </m:r>
            </m:sub>
          </m:sSub>
          <m:r>
            <m:rPr>
              <m:sty m:val="p"/>
            </m:rPr>
            <m:t>)</m:t>
          </m:r>
        </m:oMath>
      </m:oMathPara>
    </w:p>
    <w:p>
      <w:pPr>
        <w:pStyle w:val="FirstParagraph"/>
      </w:pPr>
      <w:r>
        <w:t xml:space="preserve">The value</w:t>
      </w:r>
      <w:r>
        <w:t xml:space="preserve"> </w:t>
      </w:r>
      <m:oMath>
        <m:sSub>
          <m:e>
            <m:r>
              <m:t>x</m:t>
            </m:r>
          </m:e>
          <m:sub>
            <m:r>
              <m:t>i</m:t>
            </m:r>
          </m:sub>
        </m:sSub>
      </m:oMath>
      <w:r>
        <w:t xml:space="preserve"> </w:t>
      </w:r>
      <w:r>
        <w:t xml:space="preserve">acts as the localized feature value, seamlessly transforming biological observations into query-able numeric vectors essential for distance-based regression algorithms.</w:t>
      </w:r>
    </w:p>
    <w:p>
      <w:r>
        <w:pict>
          <v:rect style="width:0;height:1.5pt" o:hralign="center" o:hrstd="t" o:hr="t"/>
        </w:pict>
      </w:r>
    </w:p>
    <w:bookmarkEnd w:id="10"/>
    <w:bookmarkStart w:id="11" w:name="X81750ce3f919d496f934b328489864dd55ff879"/>
    <w:p>
      <w:pPr>
        <w:pStyle w:val="Heading2"/>
      </w:pPr>
      <w:r>
        <w:t xml:space="preserve">3. Data Object Classifications and Attributes</w:t>
      </w:r>
    </w:p>
    <w:p>
      <w:pPr>
        <w:pStyle w:val="FirstParagraph"/>
      </w:pPr>
      <w:r>
        <w:t xml:space="preserve">A robust data pipeline mandates stringent datatype definitions. Misclassifying an ordinal rank as a ratio continuous metric mathematically destroys model integrity.</w:t>
      </w:r>
    </w:p>
    <w:p>
      <w:pPr>
        <w:pStyle w:val="BodyText"/>
      </w:pPr>
      <w:r>
        <w:rPr>
          <w:b/>
          <w:bCs/>
        </w:rPr>
        <w:t xml:space="preserve">Categorical and Continuous Feature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ID</w:t>
            </w:r>
          </w:p>
        </w:tc>
        <w:tc>
          <w:tcPr/>
          <w:p>
            <w:pPr>
              <w:pStyle w:val="Compact"/>
              <w:jc w:val="left"/>
            </w:pPr>
            <w:r>
              <w:t xml:space="preserve">Full Diagnostic Metric</w:t>
            </w:r>
          </w:p>
        </w:tc>
        <w:tc>
          <w:tcPr/>
          <w:p>
            <w:pPr>
              <w:pStyle w:val="Compact"/>
              <w:jc w:val="left"/>
            </w:pPr>
            <w:r>
              <w:t xml:space="preserve">Fundamental Data Type</w:t>
            </w:r>
          </w:p>
        </w:tc>
        <w:tc>
          <w:tcPr/>
          <w:p>
            <w:pPr>
              <w:pStyle w:val="Compact"/>
              <w:jc w:val="left"/>
            </w:pPr>
            <w:r>
              <w:t xml:space="preserve">Common Example Values</w:t>
            </w:r>
          </w:p>
        </w:tc>
      </w:tr>
      <w:tr>
        <w:tc>
          <w:tcPr/>
          <w:p>
            <w:pPr>
              <w:pStyle w:val="Compact"/>
              <w:jc w:val="left"/>
            </w:pPr>
            <w:r>
              <w:rPr>
                <w:rStyle w:val="VerbatimChar"/>
              </w:rPr>
              <w:t xml:space="preserve">age</w:t>
            </w:r>
          </w:p>
        </w:tc>
        <w:tc>
          <w:tcPr/>
          <w:p>
            <w:pPr>
              <w:pStyle w:val="Compact"/>
              <w:jc w:val="left"/>
            </w:pPr>
            <w:r>
              <w:t xml:space="preserve">Biological Age</w:t>
            </w:r>
          </w:p>
        </w:tc>
        <w:tc>
          <w:tcPr/>
          <w:p>
            <w:pPr>
              <w:pStyle w:val="Compact"/>
              <w:jc w:val="left"/>
            </w:pPr>
            <w:r>
              <w:rPr>
                <w:b/>
                <w:bCs/>
              </w:rPr>
              <w:t xml:space="preserve">Numerical (Ratio)</w:t>
            </w:r>
          </w:p>
        </w:tc>
        <w:tc>
          <w:tcPr/>
          <w:p>
            <w:pPr>
              <w:pStyle w:val="Compact"/>
              <w:jc w:val="left"/>
            </w:pPr>
            <w:r>
              <w:t xml:space="preserve">67.0, 56.0, 48.0</w:t>
            </w:r>
          </w:p>
        </w:tc>
      </w:tr>
      <w:tr>
        <w:tc>
          <w:tcPr/>
          <w:p>
            <w:pPr>
              <w:pStyle w:val="Compact"/>
              <w:jc w:val="left"/>
            </w:pPr>
            <w:r>
              <w:rPr>
                <w:rStyle w:val="VerbatimChar"/>
              </w:rPr>
              <w:t xml:space="preserve">sex</w:t>
            </w:r>
          </w:p>
        </w:tc>
        <w:tc>
          <w:tcPr/>
          <w:p>
            <w:pPr>
              <w:pStyle w:val="Compact"/>
              <w:jc w:val="left"/>
            </w:pPr>
            <w:r>
              <w:t xml:space="preserve">Gender Flag</w:t>
            </w:r>
          </w:p>
        </w:tc>
        <w:tc>
          <w:tcPr/>
          <w:p>
            <w:pPr>
              <w:pStyle w:val="Compact"/>
              <w:jc w:val="left"/>
            </w:pPr>
            <w:r>
              <w:rPr>
                <w:b/>
                <w:bCs/>
              </w:rPr>
              <w:t xml:space="preserve">Binary (Symmetric)</w:t>
            </w:r>
          </w:p>
        </w:tc>
        <w:tc>
          <w:tcPr/>
          <w:p>
            <w:pPr>
              <w:pStyle w:val="Compact"/>
              <w:jc w:val="left"/>
            </w:pPr>
            <w:r>
              <w:t xml:space="preserve">1 (Male), 0 (Female)</w:t>
            </w:r>
          </w:p>
        </w:tc>
      </w:tr>
      <w:tr>
        <w:tc>
          <w:tcPr/>
          <w:p>
            <w:pPr>
              <w:pStyle w:val="Compact"/>
              <w:jc w:val="left"/>
            </w:pPr>
            <w:r>
              <w:rPr>
                <w:rStyle w:val="VerbatimChar"/>
              </w:rPr>
              <w:t xml:space="preserve">cp</w:t>
            </w:r>
          </w:p>
        </w:tc>
        <w:tc>
          <w:tcPr/>
          <w:p>
            <w:pPr>
              <w:pStyle w:val="Compact"/>
              <w:jc w:val="left"/>
            </w:pPr>
            <w:r>
              <w:t xml:space="preserve">Chest Pain Classification</w:t>
            </w:r>
          </w:p>
        </w:tc>
        <w:tc>
          <w:tcPr/>
          <w:p>
            <w:pPr>
              <w:pStyle w:val="Compact"/>
              <w:jc w:val="left"/>
            </w:pPr>
            <w:r>
              <w:rPr>
                <w:b/>
                <w:bCs/>
              </w:rPr>
              <w:t xml:space="preserve">Nominal</w:t>
            </w:r>
          </w:p>
        </w:tc>
        <w:tc>
          <w:tcPr/>
          <w:p>
            <w:pPr>
              <w:pStyle w:val="Compact"/>
              <w:jc w:val="left"/>
            </w:pPr>
            <w:r>
              <w:t xml:space="preserve">1 (typical angina), 2 (atypical), 3 (non-anginal), 4 (asymptomatic)</w:t>
            </w:r>
          </w:p>
        </w:tc>
      </w:tr>
      <w:tr>
        <w:tc>
          <w:tcPr/>
          <w:p>
            <w:pPr>
              <w:pStyle w:val="Compact"/>
              <w:jc w:val="left"/>
            </w:pPr>
            <w:r>
              <w:rPr>
                <w:rStyle w:val="VerbatimChar"/>
              </w:rPr>
              <w:t xml:space="preserve">trestbps</w:t>
            </w:r>
          </w:p>
        </w:tc>
        <w:tc>
          <w:tcPr/>
          <w:p>
            <w:pPr>
              <w:pStyle w:val="Compact"/>
              <w:jc w:val="left"/>
            </w:pPr>
            <w:r>
              <w:t xml:space="preserve">Resting Systolic Blood Pressure</w:t>
            </w:r>
          </w:p>
        </w:tc>
        <w:tc>
          <w:tcPr/>
          <w:p>
            <w:pPr>
              <w:pStyle w:val="Compact"/>
              <w:jc w:val="left"/>
            </w:pPr>
            <w:r>
              <w:rPr>
                <w:b/>
                <w:bCs/>
              </w:rPr>
              <w:t xml:space="preserve">Numerical (Ratio)</w:t>
            </w:r>
          </w:p>
        </w:tc>
        <w:tc>
          <w:tcPr/>
          <w:p>
            <w:pPr>
              <w:pStyle w:val="Compact"/>
              <w:jc w:val="left"/>
            </w:pPr>
            <w:r>
              <w:t xml:space="preserve">140.0, 125.0, 110.0</w:t>
            </w:r>
          </w:p>
        </w:tc>
      </w:tr>
      <w:tr>
        <w:tc>
          <w:tcPr/>
          <w:p>
            <w:pPr>
              <w:pStyle w:val="Compact"/>
              <w:jc w:val="left"/>
            </w:pPr>
            <w:r>
              <w:rPr>
                <w:rStyle w:val="VerbatimChar"/>
              </w:rPr>
              <w:t xml:space="preserve">chol</w:t>
            </w:r>
          </w:p>
        </w:tc>
        <w:tc>
          <w:tcPr/>
          <w:p>
            <w:pPr>
              <w:pStyle w:val="Compact"/>
              <w:jc w:val="left"/>
            </w:pPr>
            <w:r>
              <w:t xml:space="preserve">Measured Serum Cholesterol</w:t>
            </w:r>
          </w:p>
        </w:tc>
        <w:tc>
          <w:tcPr/>
          <w:p>
            <w:pPr>
              <w:pStyle w:val="Compact"/>
              <w:jc w:val="left"/>
            </w:pPr>
            <w:r>
              <w:rPr>
                <w:b/>
                <w:bCs/>
              </w:rPr>
              <w:t xml:space="preserve">Numerical (Ratio)</w:t>
            </w:r>
          </w:p>
        </w:tc>
        <w:tc>
          <w:tcPr/>
          <w:p>
            <w:pPr>
              <w:pStyle w:val="Compact"/>
              <w:jc w:val="left"/>
            </w:pPr>
            <w:r>
              <w:t xml:space="preserve">220.0, 245.0, 310.0</w:t>
            </w:r>
          </w:p>
        </w:tc>
      </w:tr>
      <w:tr>
        <w:tc>
          <w:tcPr/>
          <w:p>
            <w:pPr>
              <w:pStyle w:val="Compact"/>
              <w:jc w:val="left"/>
            </w:pPr>
            <w:r>
              <w:rPr>
                <w:rStyle w:val="VerbatimChar"/>
              </w:rPr>
              <w:t xml:space="preserve">fbs</w:t>
            </w:r>
          </w:p>
        </w:tc>
        <w:tc>
          <w:tcPr/>
          <w:p>
            <w:pPr>
              <w:pStyle w:val="Compact"/>
              <w:jc w:val="left"/>
            </w:pPr>
            <w:r>
              <w:t xml:space="preserve">Fasting Blood Sugar &gt; 120 mg/dl</w:t>
            </w:r>
          </w:p>
        </w:tc>
        <w:tc>
          <w:tcPr/>
          <w:p>
            <w:pPr>
              <w:pStyle w:val="Compact"/>
              <w:jc w:val="left"/>
            </w:pPr>
            <w:r>
              <w:rPr>
                <w:b/>
                <w:bCs/>
              </w:rPr>
              <w:t xml:space="preserve">Binary (Asymmetric)</w:t>
            </w:r>
          </w:p>
        </w:tc>
        <w:tc>
          <w:tcPr/>
          <w:p>
            <w:pPr>
              <w:pStyle w:val="Compact"/>
              <w:jc w:val="left"/>
            </w:pPr>
            <w:r>
              <w:t xml:space="preserve">1 (True Flag), 0 (False Flag)</w:t>
            </w:r>
          </w:p>
        </w:tc>
      </w:tr>
      <w:tr>
        <w:tc>
          <w:tcPr/>
          <w:p>
            <w:pPr>
              <w:pStyle w:val="Compact"/>
              <w:jc w:val="left"/>
            </w:pPr>
            <w:r>
              <w:rPr>
                <w:rStyle w:val="VerbatimChar"/>
              </w:rPr>
              <w:t xml:space="preserve">restecg</w:t>
            </w:r>
          </w:p>
        </w:tc>
        <w:tc>
          <w:tcPr/>
          <w:p>
            <w:pPr>
              <w:pStyle w:val="Compact"/>
              <w:jc w:val="left"/>
            </w:pPr>
            <w:r>
              <w:t xml:space="preserve">Baseline Electrocardiographic Activity</w:t>
            </w:r>
          </w:p>
        </w:tc>
        <w:tc>
          <w:tcPr/>
          <w:p>
            <w:pPr>
              <w:pStyle w:val="Compact"/>
              <w:jc w:val="left"/>
            </w:pPr>
            <w:r>
              <w:rPr>
                <w:b/>
                <w:bCs/>
              </w:rPr>
              <w:t xml:space="preserve">Nominal</w:t>
            </w:r>
          </w:p>
        </w:tc>
        <w:tc>
          <w:tcPr/>
          <w:p>
            <w:pPr>
              <w:pStyle w:val="Compact"/>
              <w:jc w:val="left"/>
            </w:pPr>
            <w:r>
              <w:t xml:space="preserve">0 (normal baseline), 1 (ST-T wave abnormality), 2 (hypertrophy)</w:t>
            </w:r>
          </w:p>
        </w:tc>
      </w:tr>
      <w:tr>
        <w:tc>
          <w:tcPr/>
          <w:p>
            <w:pPr>
              <w:pStyle w:val="Compact"/>
              <w:jc w:val="left"/>
            </w:pPr>
            <w:r>
              <w:rPr>
                <w:rStyle w:val="VerbatimChar"/>
              </w:rPr>
              <w:t xml:space="preserve">thalach</w:t>
            </w:r>
          </w:p>
        </w:tc>
        <w:tc>
          <w:tcPr/>
          <w:p>
            <w:pPr>
              <w:pStyle w:val="Compact"/>
              <w:jc w:val="left"/>
            </w:pPr>
            <w:r>
              <w:t xml:space="preserve">Maximum Biological Heart Rate Mapped</w:t>
            </w:r>
          </w:p>
        </w:tc>
        <w:tc>
          <w:tcPr/>
          <w:p>
            <w:pPr>
              <w:pStyle w:val="Compact"/>
              <w:jc w:val="left"/>
            </w:pPr>
            <w:r>
              <w:rPr>
                <w:b/>
                <w:bCs/>
              </w:rPr>
              <w:t xml:space="preserve">Numerical (Ratio)</w:t>
            </w:r>
          </w:p>
        </w:tc>
        <w:tc>
          <w:tcPr/>
          <w:p>
            <w:pPr>
              <w:pStyle w:val="Compact"/>
              <w:jc w:val="left"/>
            </w:pPr>
            <w:r>
              <w:t xml:space="preserve">155.0, 168.0, 133.0</w:t>
            </w:r>
          </w:p>
        </w:tc>
      </w:tr>
      <w:tr>
        <w:tc>
          <w:tcPr/>
          <w:p>
            <w:pPr>
              <w:pStyle w:val="Compact"/>
              <w:jc w:val="left"/>
            </w:pPr>
            <w:r>
              <w:rPr>
                <w:rStyle w:val="VerbatimChar"/>
              </w:rPr>
              <w:t xml:space="preserve">exang</w:t>
            </w:r>
          </w:p>
        </w:tc>
        <w:tc>
          <w:tcPr/>
          <w:p>
            <w:pPr>
              <w:pStyle w:val="Compact"/>
              <w:jc w:val="left"/>
            </w:pPr>
            <w:r>
              <w:t xml:space="preserve">Exercise-induced Angina Observation</w:t>
            </w:r>
          </w:p>
        </w:tc>
        <w:tc>
          <w:tcPr/>
          <w:p>
            <w:pPr>
              <w:pStyle w:val="Compact"/>
              <w:jc w:val="left"/>
            </w:pPr>
            <w:r>
              <w:rPr>
                <w:b/>
                <w:bCs/>
              </w:rPr>
              <w:t xml:space="preserve">Binary (Asymmetric)</w:t>
            </w:r>
          </w:p>
        </w:tc>
        <w:tc>
          <w:tcPr/>
          <w:p>
            <w:pPr>
              <w:pStyle w:val="Compact"/>
              <w:jc w:val="left"/>
            </w:pPr>
            <w:r>
              <w:t xml:space="preserve">1 (Detected), 0 (Lacking)</w:t>
            </w:r>
          </w:p>
        </w:tc>
      </w:tr>
      <w:tr>
        <w:tc>
          <w:tcPr/>
          <w:p>
            <w:pPr>
              <w:pStyle w:val="Compact"/>
              <w:jc w:val="left"/>
            </w:pPr>
            <w:r>
              <w:rPr>
                <w:rStyle w:val="VerbatimChar"/>
              </w:rPr>
              <w:t xml:space="preserve">oldpeak</w:t>
            </w:r>
          </w:p>
        </w:tc>
        <w:tc>
          <w:tcPr/>
          <w:p>
            <w:pPr>
              <w:pStyle w:val="Compact"/>
              <w:jc w:val="left"/>
            </w:pPr>
            <w:r>
              <w:t xml:space="preserve">Electrocardiogram ST Depression Value</w:t>
            </w:r>
          </w:p>
        </w:tc>
        <w:tc>
          <w:tcPr/>
          <w:p>
            <w:pPr>
              <w:pStyle w:val="Compact"/>
              <w:jc w:val="left"/>
            </w:pPr>
            <w:r>
              <w:rPr>
                <w:b/>
                <w:bCs/>
              </w:rPr>
              <w:t xml:space="preserve">Numerical (Interval)</w:t>
            </w:r>
          </w:p>
        </w:tc>
        <w:tc>
          <w:tcPr/>
          <w:p>
            <w:pPr>
              <w:pStyle w:val="Compact"/>
              <w:jc w:val="left"/>
            </w:pPr>
            <w:r>
              <w:t xml:space="preserve">2.5, 1.9, 4.0</w:t>
            </w:r>
          </w:p>
        </w:tc>
      </w:tr>
      <w:tr>
        <w:tc>
          <w:tcPr/>
          <w:p>
            <w:pPr>
              <w:pStyle w:val="Compact"/>
              <w:jc w:val="left"/>
            </w:pPr>
            <w:r>
              <w:rPr>
                <w:rStyle w:val="VerbatimChar"/>
              </w:rPr>
              <w:t xml:space="preserve">slope</w:t>
            </w:r>
          </w:p>
        </w:tc>
        <w:tc>
          <w:tcPr/>
          <w:p>
            <w:pPr>
              <w:pStyle w:val="Compact"/>
              <w:jc w:val="left"/>
            </w:pPr>
            <w:r>
              <w:t xml:space="preserve">ST Peak Exercise Segment Geometry</w:t>
            </w:r>
          </w:p>
        </w:tc>
        <w:tc>
          <w:tcPr/>
          <w:p>
            <w:pPr>
              <w:pStyle w:val="Compact"/>
              <w:jc w:val="left"/>
            </w:pPr>
            <w:r>
              <w:rPr>
                <w:b/>
                <w:bCs/>
              </w:rPr>
              <w:t xml:space="preserve">Ordinal</w:t>
            </w:r>
          </w:p>
        </w:tc>
        <w:tc>
          <w:tcPr/>
          <w:p>
            <w:pPr>
              <w:pStyle w:val="Compact"/>
              <w:jc w:val="left"/>
            </w:pPr>
            <w:r>
              <w:t xml:space="preserve">1 (upsloping curve), 2 (flat curve), 3 (downsloping)</w:t>
            </w:r>
          </w:p>
        </w:tc>
      </w:tr>
      <w:tr>
        <w:tc>
          <w:tcPr/>
          <w:p>
            <w:pPr>
              <w:pStyle w:val="Compact"/>
              <w:jc w:val="left"/>
            </w:pPr>
            <w:r>
              <w:rPr>
                <w:rStyle w:val="VerbatimChar"/>
              </w:rPr>
              <w:t xml:space="preserve">ca</w:t>
            </w:r>
          </w:p>
        </w:tc>
        <w:tc>
          <w:tcPr/>
          <w:p>
            <w:pPr>
              <w:pStyle w:val="Compact"/>
              <w:jc w:val="left"/>
            </w:pPr>
            <w:r>
              <w:t xml:space="preserve">Count of Fluoroscopically Colored Vessels</w:t>
            </w:r>
          </w:p>
        </w:tc>
        <w:tc>
          <w:tcPr/>
          <w:p>
            <w:pPr>
              <w:pStyle w:val="Compact"/>
              <w:jc w:val="left"/>
            </w:pPr>
            <w:r>
              <w:rPr>
                <w:b/>
                <w:bCs/>
              </w:rPr>
              <w:t xml:space="preserve">Numerical (Ratio)</w:t>
            </w:r>
          </w:p>
        </w:tc>
        <w:tc>
          <w:tcPr/>
          <w:p>
            <w:pPr>
              <w:pStyle w:val="Compact"/>
              <w:jc w:val="left"/>
            </w:pPr>
            <w:r>
              <w:t xml:space="preserve">0.0, 1.0, 2.0, 3.0</w:t>
            </w:r>
          </w:p>
        </w:tc>
      </w:tr>
      <w:tr>
        <w:tc>
          <w:tcPr/>
          <w:p>
            <w:pPr>
              <w:pStyle w:val="Compact"/>
              <w:jc w:val="left"/>
            </w:pPr>
            <w:r>
              <w:rPr>
                <w:rStyle w:val="VerbatimChar"/>
              </w:rPr>
              <w:t xml:space="preserve">thal</w:t>
            </w:r>
          </w:p>
        </w:tc>
        <w:tc>
          <w:tcPr/>
          <w:p>
            <w:pPr>
              <w:pStyle w:val="Compact"/>
              <w:jc w:val="left"/>
            </w:pPr>
            <w:r>
              <w:t xml:space="preserve">Blood Thalassemia Condition</w:t>
            </w:r>
          </w:p>
        </w:tc>
        <w:tc>
          <w:tcPr/>
          <w:p>
            <w:pPr>
              <w:pStyle w:val="Compact"/>
              <w:jc w:val="left"/>
            </w:pPr>
            <w:r>
              <w:rPr>
                <w:b/>
                <w:bCs/>
              </w:rPr>
              <w:t xml:space="preserve">Nominal</w:t>
            </w:r>
          </w:p>
        </w:tc>
        <w:tc>
          <w:tcPr/>
          <w:p>
            <w:pPr>
              <w:pStyle w:val="Compact"/>
              <w:jc w:val="left"/>
            </w:pPr>
            <w:r>
              <w:t xml:space="preserve">3 (normal tissue), 6 (fixed genetic defect), 7 (reversable)</w:t>
            </w:r>
          </w:p>
        </w:tc>
      </w:tr>
      <w:tr>
        <w:tc>
          <w:tcPr/>
          <w:p>
            <w:pPr>
              <w:pStyle w:val="Compact"/>
              <w:jc w:val="left"/>
            </w:pPr>
            <w:r>
              <w:rPr>
                <w:rStyle w:val="VerbatimChar"/>
              </w:rPr>
              <w:t xml:space="preserve">target</w:t>
            </w:r>
          </w:p>
        </w:tc>
        <w:tc>
          <w:tcPr/>
          <w:p>
            <w:pPr>
              <w:pStyle w:val="Compact"/>
              <w:jc w:val="left"/>
            </w:pPr>
            <w:r>
              <w:t xml:space="preserve">Clinically Diagnosed Cardiac Disease</w:t>
            </w:r>
          </w:p>
        </w:tc>
        <w:tc>
          <w:tcPr/>
          <w:p>
            <w:pPr>
              <w:pStyle w:val="Compact"/>
              <w:jc w:val="left"/>
            </w:pPr>
            <w:r>
              <w:rPr>
                <w:b/>
                <w:bCs/>
              </w:rPr>
              <w:t xml:space="preserve">Ordinal / Binary Target</w:t>
            </w:r>
          </w:p>
        </w:tc>
        <w:tc>
          <w:tcPr/>
          <w:p>
            <w:pPr>
              <w:pStyle w:val="Compact"/>
              <w:jc w:val="left"/>
            </w:pPr>
            <w:r>
              <w:t xml:space="preserve">0 (Clear Diagnosis), 1, 2, 3, 4 (Disease Severity Stages)</w:t>
            </w:r>
          </w:p>
        </w:tc>
      </w:tr>
    </w:tbl>
    <w:p>
      <w:pPr>
        <w:pStyle w:val="BodyText"/>
      </w:pPr>
      <w:r>
        <w:rPr>
          <w:i/>
          <w:iCs/>
        </w:rPr>
        <w:t xml:space="preserve">(Analysis Addendum: For explicit probabilistic binary regression goals implemented during Knowledge Discovery, the ordinal classification output spanning 0 to 4 is simplified dynamically. A value of 0 implies absolute wellness, while any diagnostic target &gt; 0 triggers positive flags for disease modeling frameworks.)</w:t>
      </w:r>
    </w:p>
    <w:p>
      <w:r>
        <w:pict>
          <v:rect style="width:0;height:1.5pt" o:hralign="center" o:hrstd="t" o:hr="t"/>
        </w:pict>
      </w:r>
    </w:p>
    <w:bookmarkEnd w:id="11"/>
    <w:bookmarkStart w:id="12" w:name="X026d20e6e384fe5f9f56e8d0af2d8b112eafc16"/>
    <w:p>
      <w:pPr>
        <w:pStyle w:val="Heading2"/>
      </w:pPr>
      <w:r>
        <w:t xml:space="preserve">4. Analytical Similarity and Exploratory Trajectories</w:t>
      </w:r>
    </w:p>
    <w:p>
      <w:pPr>
        <w:pStyle w:val="FirstParagraph"/>
      </w:pPr>
      <w:r>
        <w:rPr>
          <w:b/>
          <w:bCs/>
        </w:rPr>
        <w:t xml:space="preserve">Most Influential Predictive Attributes:</w:t>
      </w:r>
      <w:r>
        <w:t xml:space="preserve"> </w:t>
      </w:r>
      <w:r>
        <w:t xml:space="preserve">Through aggressive graphical examination leveraging distribution matrices and comparative heatmaps against the target classification column, five defining features stand mathematically supreme:</w:t>
      </w:r>
      <w:r>
        <w:t xml:space="preserve"> </w:t>
      </w:r>
      <w:r>
        <w:rPr>
          <w:rStyle w:val="VerbatimChar"/>
        </w:rPr>
        <w:t xml:space="preserve">cp</w:t>
      </w:r>
      <w:r>
        <w:t xml:space="preserve"> </w:t>
      </w:r>
      <w:r>
        <w:t xml:space="preserve">(types of symptomatic chest pain),</w:t>
      </w:r>
      <w:r>
        <w:t xml:space="preserve"> </w:t>
      </w:r>
      <w:r>
        <w:rPr>
          <w:rStyle w:val="VerbatimChar"/>
        </w:rPr>
        <w:t xml:space="preserve">thalach</w:t>
      </w:r>
      <w:r>
        <w:t xml:space="preserve"> </w:t>
      </w:r>
      <w:r>
        <w:t xml:space="preserve">(the measured ceiling of achievable heart rates),</w:t>
      </w:r>
      <w:r>
        <w:t xml:space="preserve"> </w:t>
      </w:r>
      <w:r>
        <w:rPr>
          <w:rStyle w:val="VerbatimChar"/>
        </w:rPr>
        <w:t xml:space="preserve">exang</w:t>
      </w:r>
      <w:r>
        <w:t xml:space="preserve"> </w:t>
      </w:r>
      <w:r>
        <w:t xml:space="preserve">(responses to strenuous loads),</w:t>
      </w:r>
      <w:r>
        <w:t xml:space="preserve"> </w:t>
      </w:r>
      <w:r>
        <w:rPr>
          <w:rStyle w:val="VerbatimChar"/>
        </w:rPr>
        <w:t xml:space="preserve">oldpeak</w:t>
      </w:r>
      <w:r>
        <w:t xml:space="preserve"> </w:t>
      </w:r>
      <w:r>
        <w:t xml:space="preserve">(EKG variance geometries), and</w:t>
      </w:r>
      <w:r>
        <w:t xml:space="preserve"> </w:t>
      </w:r>
      <w:r>
        <w:rPr>
          <w:rStyle w:val="VerbatimChar"/>
        </w:rPr>
        <w:t xml:space="preserve">ca</w:t>
      </w:r>
      <w:r>
        <w:t xml:space="preserve"> </w:t>
      </w:r>
      <w:r>
        <w:t xml:space="preserve">(vessel counts). These five indices control the primary vector distances dividing healthy candidates from severe medical alerts.</w:t>
      </w:r>
    </w:p>
    <w:p>
      <w:pPr>
        <w:pStyle w:val="BodyText"/>
      </w:pPr>
      <w:r>
        <w:rPr>
          <w:b/>
          <w:bCs/>
        </w:rPr>
        <w:t xml:space="preserve">Feature Redundancy Evaluation:</w:t>
      </w:r>
      <w:r>
        <w:t xml:space="preserve"> </w:t>
      </w:r>
      <w:r>
        <w:t xml:space="preserve">Applying broad EDA correlation tools, primarily scanning symmetric Pearson heat matrices, revealed a striking lack of collinearity across our features. The overwhelming majority of cross-feature variance maintained bounds highly isolated between -0.4 and +0.4. Because feature axes lack collinear dependency, we ascertain the diagnostic framework contains incredibly low metric redundancy. The highest inverse linkage naturally bonded maximum heart rate (</w:t>
      </w:r>
      <w:r>
        <w:rPr>
          <w:rStyle w:val="VerbatimChar"/>
        </w:rPr>
        <w:t xml:space="preserve">thalach</w:t>
      </w:r>
      <w:r>
        <w:t xml:space="preserve">) to</w:t>
      </w:r>
      <w:r>
        <w:t xml:space="preserve"> </w:t>
      </w:r>
      <w:r>
        <w:rPr>
          <w:rStyle w:val="VerbatimChar"/>
        </w:rPr>
        <w:t xml:space="preserve">age</w:t>
      </w:r>
      <w:r>
        <w:t xml:space="preserve"> </w:t>
      </w:r>
      <w:r>
        <w:t xml:space="preserve">(-0.39). Physiologically, athletic heart rate tracking limits decline automatically throughout aging structures, meaning this linkage acts as an organic truth rather than artificial predictive redundancy.</w:t>
      </w:r>
    </w:p>
    <w:p>
      <w:pPr>
        <w:pStyle w:val="BodyText"/>
      </w:pPr>
      <w:r>
        <w:rPr>
          <w:b/>
          <w:bCs/>
        </w:rPr>
        <w:t xml:space="preserve">Geometries of Relationships (Linear vs. Nonlinear):</w:t>
      </w:r>
      <w:r>
        <w:t xml:space="preserve"> </w:t>
      </w:r>
      <w:r>
        <w:t xml:space="preserve">Although standard continuous parameters (</w:t>
      </w:r>
      <w:r>
        <w:rPr>
          <w:rStyle w:val="VerbatimChar"/>
        </w:rPr>
        <w:t xml:space="preserve">oldpeak</w:t>
      </w:r>
      <w:r>
        <w:t xml:space="preserve">) exhibit some linear predictive scaling alongside diagnosis (larger values loosely equate directly to worse outcomes), the defining architecture of clinical risk fundamentally rests within</w:t>
      </w:r>
      <w:r>
        <w:t xml:space="preserve"> </w:t>
      </w:r>
      <w:r>
        <w:rPr>
          <w:b/>
          <w:bCs/>
        </w:rPr>
        <w:t xml:space="preserve">nonlinear</w:t>
      </w:r>
      <w:r>
        <w:t xml:space="preserve"> </w:t>
      </w:r>
      <w:r>
        <w:t xml:space="preserve">bounds. Biological failures occur systematically when specific physiological constraints are bypassed uniformly (e.g., massive risk escalates uniquely when asymptomatic pain interacts directly with highly depressed ST slopes simultaneously). Predictive mechanisms leveraging merely straightforward linear slopes fail to isolate these complicated combinatorial thresholds.</w:t>
      </w:r>
    </w:p>
    <w:p>
      <w:r>
        <w:pict>
          <v:rect style="width:0;height:1.5pt" o:hralign="center" o:hrstd="t" o:hr="t"/>
        </w:pict>
      </w:r>
    </w:p>
    <w:bookmarkEnd w:id="12"/>
    <w:bookmarkStart w:id="13" w:name="association-models-dissimilarity-spaces"/>
    <w:p>
      <w:pPr>
        <w:pStyle w:val="Heading2"/>
      </w:pPr>
      <w:r>
        <w:t xml:space="preserve">5. Association Models &amp; Dissimilarity Spaces</w:t>
      </w:r>
    </w:p>
    <w:p>
      <w:pPr>
        <w:pStyle w:val="FirstParagraph"/>
      </w:pPr>
      <w:r>
        <w:rPr>
          <w:b/>
          <w:bCs/>
        </w:rPr>
        <w:t xml:space="preserve">Pearson vs. Spearman Mechanics:</w:t>
      </w:r>
      <w:r>
        <w:t xml:space="preserve"> </w:t>
      </w:r>
      <w:r>
        <w:t xml:space="preserve">Calculating relational ties utilizes deeply divergent mathematical ideologies:</w:t>
      </w:r>
      <w:r>
        <w:t xml:space="preserve"> </w:t>
      </w:r>
      <w:r>
        <w:t xml:space="preserve">-</w:t>
      </w:r>
      <w:r>
        <w:t xml:space="preserve"> </w:t>
      </w:r>
      <w:r>
        <w:rPr>
          <w:b/>
          <w:bCs/>
        </w:rPr>
        <w:t xml:space="preserve">Pearson Correlations</w:t>
      </w:r>
      <w:r>
        <w:t xml:space="preserve"> </w:t>
      </w:r>
      <w:r>
        <w:t xml:space="preserve">examine multi-variant parametric stability, mapping strict ratio distances aiming heavily to define completely flat, proportional linear dependency functions between vectors.</w:t>
      </w:r>
      <w:r>
        <w:t xml:space="preserve"> </w:t>
      </w:r>
      <w:r>
        <w:t xml:space="preserve">-</w:t>
      </w:r>
      <w:r>
        <w:t xml:space="preserve"> </w:t>
      </w:r>
      <w:r>
        <w:rPr>
          <w:b/>
          <w:bCs/>
        </w:rPr>
        <w:t xml:space="preserve">Spearman Correlations</w:t>
      </w:r>
      <w:r>
        <w:t xml:space="preserve"> </w:t>
      </w:r>
      <w:r>
        <w:t xml:space="preserve">calculate strictly based on non-parametric tiered rank arrangements. The scalar values become irrelevant; instead, it checks only if one diagnostic factor inherently rises monotonically whenever the secondary variable rises, seamlessly traversing highly complex non-linear curve progressions.</w:t>
      </w:r>
    </w:p>
    <w:p>
      <w:pPr>
        <w:pStyle w:val="BodyText"/>
      </w:pPr>
      <w:r>
        <w:rPr>
          <w:b/>
          <w:bCs/>
        </w:rPr>
        <w:t xml:space="preserve">Multidimensional Similarity Comparisons:</w:t>
      </w:r>
      <w:r>
        <w:t xml:space="preserve"> </w:t>
      </w:r>
      <w:r>
        <w:t xml:space="preserve">Analyzing isolated testing cohorts of approximately 10 records mandates scaling topological algorithms differently:</w:t>
      </w:r>
      <w:r>
        <w:t xml:space="preserve"> </w:t>
      </w:r>
      <w:r>
        <w:t xml:space="preserve">-</w:t>
      </w:r>
      <w:r>
        <w:t xml:space="preserve"> </w:t>
      </w:r>
      <w:r>
        <w:rPr>
          <w:b/>
          <w:bCs/>
        </w:rPr>
        <w:t xml:space="preserve">Euclidean Separation:</w:t>
      </w:r>
      <w:r>
        <w:t xml:space="preserve"> </w:t>
      </w:r>
      <w:r>
        <w:t xml:space="preserve">Measures distinct absolute magnitude lines. Patients scaled dramatically differently across numeric spectrums yield high geographic isolation distances.</w:t>
      </w:r>
      <w:r>
        <w:t xml:space="preserve"> </w:t>
      </w:r>
      <w:r>
        <w:t xml:space="preserve">-</w:t>
      </w:r>
      <w:r>
        <w:t xml:space="preserve"> </w:t>
      </w:r>
      <w:r>
        <w:rPr>
          <w:b/>
          <w:bCs/>
        </w:rPr>
        <w:t xml:space="preserve">Cosine Tracking:</w:t>
      </w:r>
      <w:r>
        <w:t xml:space="preserve"> </w:t>
      </w:r>
      <w:r>
        <w:t xml:space="preserve">Maps localized directionality via vector trajectory angles. If two distinct profiles exhibit identical trajectory paths across variables, they score closely clustered similarity relationships regardless of total cumulative values matching.</w:t>
      </w:r>
      <w:r>
        <w:t xml:space="preserve"> </w:t>
      </w:r>
      <w:r>
        <w:t xml:space="preserve">-</w:t>
      </w:r>
      <w:r>
        <w:t xml:space="preserve"> </w:t>
      </w:r>
      <w:r>
        <w:rPr>
          <w:b/>
          <w:bCs/>
        </w:rPr>
        <w:t xml:space="preserve">Jaccard Indexing Sets:</w:t>
      </w:r>
      <w:r>
        <w:t xml:space="preserve"> </w:t>
      </w:r>
      <w:r>
        <w:t xml:space="preserve">Tailor-made for evaluating asymmetric Binary flags (</w:t>
      </w:r>
      <w:r>
        <w:rPr>
          <w:rStyle w:val="VerbatimChar"/>
        </w:rPr>
        <w:t xml:space="preserve">fbs</w:t>
      </w:r>
      <w:r>
        <w:t xml:space="preserve"> </w:t>
      </w:r>
      <w:r>
        <w:t xml:space="preserve">and</w:t>
      </w:r>
      <w:r>
        <w:t xml:space="preserve"> </w:t>
      </w:r>
      <w:r>
        <w:rPr>
          <w:rStyle w:val="VerbatimChar"/>
        </w:rPr>
        <w:t xml:space="preserve">sex</w:t>
      </w:r>
      <w:r>
        <w:t xml:space="preserve">), computing mathematically optimized ratios quantifying shared Boolean overlaps against entirely aggregated flag interactions.</w:t>
      </w:r>
    </w:p>
    <w:p>
      <w:r>
        <w:pict>
          <v:rect style="width:0;height:1.5pt" o:hralign="center" o:hrstd="t" o:hr="t"/>
        </w:pict>
      </w:r>
    </w:p>
    <w:bookmarkEnd w:id="13"/>
    <w:bookmarkStart w:id="14" w:name="structural-data-quality-integrity-checks"/>
    <w:p>
      <w:pPr>
        <w:pStyle w:val="Heading2"/>
      </w:pPr>
      <w:r>
        <w:t xml:space="preserve">6. Structural Data Quality &amp; Integrity Checks</w:t>
      </w:r>
    </w:p>
    <w:p>
      <w:pPr>
        <w:pStyle w:val="FirstParagraph"/>
      </w:pPr>
      <w:r>
        <w:t xml:space="preserve">Implementing structural data parsing over the raw UCI documentation explicitly targets corruption boundaries—characterizing</w:t>
      </w:r>
      <w:r>
        <w:t xml:space="preserve"> </w:t>
      </w:r>
      <w:r>
        <w:rPr>
          <w:rStyle w:val="VerbatimChar"/>
        </w:rPr>
        <w:t xml:space="preserve">'?'</w:t>
      </w:r>
      <w:r>
        <w:t xml:space="preserve"> </w:t>
      </w:r>
      <w:r>
        <w:t xml:space="preserve">entries or hidden string parameters as null gaps. The integrity results returned exceptionally high confidence metrics across the clinical records:</w:t>
      </w:r>
      <w:r>
        <w:t xml:space="preserve"> </w:t>
      </w:r>
      <w:r>
        <w:t xml:space="preserve">- The</w:t>
      </w:r>
      <w:r>
        <w:t xml:space="preserve"> </w:t>
      </w:r>
      <w:r>
        <w:rPr>
          <w:rStyle w:val="VerbatimChar"/>
        </w:rPr>
        <w:t xml:space="preserve">ca</w:t>
      </w:r>
      <w:r>
        <w:t xml:space="preserve"> </w:t>
      </w:r>
      <w:r>
        <w:t xml:space="preserve">fluoroscopy feature generated exactly 4 localized metric omissions.</w:t>
      </w:r>
      <w:r>
        <w:t xml:space="preserve"> </w:t>
      </w:r>
      <w:r>
        <w:t xml:space="preserve">- The</w:t>
      </w:r>
      <w:r>
        <w:t xml:space="preserve"> </w:t>
      </w:r>
      <w:r>
        <w:rPr>
          <w:rStyle w:val="VerbatimChar"/>
        </w:rPr>
        <w:t xml:space="preserve">thal</w:t>
      </w:r>
      <w:r>
        <w:t xml:space="preserve"> </w:t>
      </w:r>
      <w:r>
        <w:t xml:space="preserve">thalassemia array suffered precisely 2 localized failures.</w:t>
      </w:r>
    </w:p>
    <w:p>
      <w:pPr>
        <w:pStyle w:val="BodyText"/>
      </w:pPr>
      <w:r>
        <w:t xml:space="preserve">Across an exhaustive 303-patient repository, witnessing solely six isolated incomplete data points demonstrates premium clinical integrity. However, algorithm estimators routinely abort calculations across complete row coordinates if any solitary scalar is missing. Therefore, strictly deleting 6 patient histories to dodge 6 empty parameters severely reduces probabilistic output. We must alternatively implement targeted predictive algorithmic estimations (Imputation).</w:t>
      </w:r>
    </w:p>
    <w:p>
      <w:r>
        <w:pict>
          <v:rect style="width:0;height:1.5pt" o:hralign="center" o:hrstd="t" o:hr="t"/>
        </w:pict>
      </w:r>
    </w:p>
    <w:bookmarkEnd w:id="14"/>
    <w:bookmarkStart w:id="16" w:name="intelligent-preprocessing-algorithms"/>
    <w:p>
      <w:pPr>
        <w:pStyle w:val="Heading2"/>
      </w:pPr>
      <w:r>
        <w:t xml:space="preserve">7. Intelligent Preprocessing Algorithms</w:t>
      </w:r>
    </w:p>
    <w:p>
      <w:pPr>
        <w:pStyle w:val="FirstParagraph"/>
      </w:pPr>
      <w:r>
        <w:t xml:space="preserve">Correcting unrecorded diagnostic boundaries integrates three foundational computation algorithms:</w:t>
      </w:r>
      <w:r>
        <w:t xml:space="preserve"> </w:t>
      </w:r>
      <w:r>
        <w:t xml:space="preserve">-</w:t>
      </w:r>
      <w:r>
        <w:t xml:space="preserve"> </w:t>
      </w:r>
      <w:r>
        <w:rPr>
          <w:b/>
          <w:bCs/>
        </w:rPr>
        <w:t xml:space="preserve">Fixed Mean/Median Interpolation:</w:t>
      </w:r>
      <w:r>
        <w:t xml:space="preserve"> </w:t>
      </w:r>
      <w:r>
        <w:t xml:space="preserve">Rapidly bridges dataset gaps using aggregated baseline column averages. While highly optimized, it fails drastically at addressing correlated patterns across varying metrics and artificially compresses parameter distributions.</w:t>
      </w:r>
      <w:r>
        <w:t xml:space="preserve"> </w:t>
      </w:r>
      <w:r>
        <w:t xml:space="preserve">-</w:t>
      </w:r>
      <w:r>
        <w:t xml:space="preserve"> </w:t>
      </w:r>
      <w:r>
        <w:rPr>
          <w:b/>
          <w:bCs/>
        </w:rPr>
        <w:t xml:space="preserve">KNN (K-Nearest Neighbors) Approximations:</w:t>
      </w:r>
      <w:r>
        <w:t xml:space="preserve"> </w:t>
      </w:r>
      <w:r>
        <w:t xml:space="preserve">Maps proximal distance clusters to intelligently extract the</w:t>
      </w:r>
      <w:r>
        <w:t xml:space="preserve"> </w:t>
      </w:r>
      <w:r>
        <w:t xml:space="preserve">“closest”</w:t>
      </w:r>
      <w:r>
        <w:t xml:space="preserve"> </w:t>
      </w:r>
      <w:r>
        <w:t xml:space="preserve">matched</w:t>
      </w:r>
      <w:r>
        <w:t xml:space="preserve"> </w:t>
      </w:r>
      <m:oMath>
        <m:r>
          <m:t>k</m:t>
        </m:r>
      </m:oMath>
      <w:r>
        <w:t xml:space="preserve">-neighbors across all existing multi-metric categories. Providing vastly superior imputations, KNN naturally interpolates missing values that specifically mirror similar medical profiles locally rather than generically injecting rigid global scale constants.</w:t>
      </w:r>
      <w:r>
        <w:t xml:space="preserve"> </w:t>
      </w:r>
      <w:r>
        <w:t xml:space="preserve">-</w:t>
      </w:r>
      <w:r>
        <w:t xml:space="preserve"> </w:t>
      </w:r>
      <w:r>
        <w:rPr>
          <w:b/>
          <w:bCs/>
        </w:rPr>
        <w:t xml:space="preserve">Multi-variate Iterative Imputations:</w:t>
      </w:r>
      <w:r>
        <w:t xml:space="preserve"> </w:t>
      </w:r>
      <w:r>
        <w:t xml:space="preserve">Implements extremely advanced sequential stochastic modeling methodologies. It trains machine-learning regression subsets actively on established columns to iteratively predict the incomplete structures, culminating in peak geometric integrity.</w:t>
      </w:r>
    </w:p>
    <w:bookmarkStart w:id="15" w:name="safeguarded-pipelines"/>
    <w:p>
      <w:pPr>
        <w:pStyle w:val="Heading3"/>
      </w:pPr>
      <w:r>
        <w:t xml:space="preserve">Safeguarded Pipelines</w:t>
      </w:r>
    </w:p>
    <w:p>
      <w:pPr>
        <w:pStyle w:val="FirstParagraph"/>
      </w:pPr>
      <w:r>
        <w:rPr>
          <w:b/>
          <w:bCs/>
        </w:rPr>
        <w:t xml:space="preserve">The necessity of Pipeline Encasements:</w:t>
      </w:r>
      <w:r>
        <w:t xml:space="preserve"> </w:t>
      </w:r>
      <w:r>
        <w:t xml:space="preserve">Preprocessing pipelines effectively encapsulate and bind variable modeling procedures into locked execution streams. Structuring imputation routines tied uniformly into standard scalar normalizing mechanisms allows analysts to export these complete chains perfectly onto independent, brand-new real-world clinical databases without ever re-engineering calculation codes individually, thereby ensuring deployment speed and diagnostic reproducibility.</w:t>
      </w:r>
    </w:p>
    <w:p>
      <w:pPr>
        <w:pStyle w:val="BodyText"/>
      </w:pPr>
      <w:r>
        <w:rPr>
          <w:b/>
          <w:bCs/>
        </w:rPr>
        <w:t xml:space="preserve">Preventing Intrinsic Data Leakage:</w:t>
      </w:r>
      <w:r>
        <w:t xml:space="preserve"> </w:t>
      </w:r>
      <w:r>
        <w:rPr>
          <w:b/>
          <w:bCs/>
        </w:rPr>
        <w:t xml:space="preserve">Data leakage</w:t>
      </w:r>
      <w:r>
        <w:t xml:space="preserve"> </w:t>
      </w:r>
      <w:r>
        <w:t xml:space="preserve">defines the foundational, catastrophic corruption of validation test scores where distinct statistical behaviors from</w:t>
      </w:r>
      <w:r>
        <w:t xml:space="preserve"> </w:t>
      </w:r>
      <w:r>
        <w:t xml:space="preserve">“unseen”</w:t>
      </w:r>
      <w:r>
        <w:t xml:space="preserve"> </w:t>
      </w:r>
      <w:r>
        <w:t xml:space="preserve">test pools unknowingly shift the mathematical training parameters—a common flaw encountered when scaling metrics across the whole unified dataset simultaneously before data-splitting occurs.</w:t>
      </w:r>
      <w:r>
        <w:t xml:space="preserve"> </w:t>
      </w:r>
      <w:r>
        <w:t xml:space="preserve">Developing via standardized Python integration Pipelines fundamentally eliminates this phenomenon. The</w:t>
      </w:r>
      <w:r>
        <w:t xml:space="preserve"> </w:t>
      </w:r>
      <w:r>
        <w:rPr>
          <w:rStyle w:val="VerbatimChar"/>
        </w:rPr>
        <w:t xml:space="preserve">fit_transform()</w:t>
      </w:r>
      <w:r>
        <w:t xml:space="preserve"> </w:t>
      </w:r>
      <w:r>
        <w:t xml:space="preserve">architecture triggers strictly on isolated training components. When processing the secondary test framework, the Pipeline exclusively fires</w:t>
      </w:r>
      <w:r>
        <w:t xml:space="preserve"> </w:t>
      </w:r>
      <w:r>
        <w:rPr>
          <w:rStyle w:val="VerbatimChar"/>
        </w:rPr>
        <w:t xml:space="preserve">transform()</w:t>
      </w:r>
      <w:r>
        <w:t xml:space="preserve">, strictly applying the pure scaling metrics built locally on the original training matrix to structurally score the test block transparently, halting theoretical test-leakage dead and verifying pristine modeling fidelity.</w:t>
      </w:r>
    </w:p>
    <w:p>
      <w:r>
        <w:pict>
          <v:rect style="width:0;height:1.5pt" o:hralign="center" o:hrstd="t" o:hr="t"/>
        </w:pict>
      </w:r>
    </w:p>
    <w:bookmarkEnd w:id="15"/>
    <w:bookmarkEnd w:id="16"/>
    <w:bookmarkStart w:id="17" w:name="clinical-knowledge-generation-summary"/>
    <w:p>
      <w:pPr>
        <w:pStyle w:val="Heading2"/>
      </w:pPr>
      <w:r>
        <w:t xml:space="preserve">8. Clinical Knowledge Generation &amp; Summary</w:t>
      </w:r>
    </w:p>
    <w:p>
      <w:pPr>
        <w:pStyle w:val="FirstParagraph"/>
      </w:pPr>
      <w:r>
        <w:t xml:space="preserve">By executing localized imputation rectifications paired with dynamic test-validation metric scaling, the computational methodologies accurately yielded profoundly confident physiological predictive patterns.</w:t>
      </w:r>
    </w:p>
    <w:p>
      <w:pPr>
        <w:pStyle w:val="BodyText"/>
      </w:pPr>
      <w:r>
        <w:rPr>
          <w:b/>
          <w:bCs/>
        </w:rPr>
        <w:t xml:space="preserve">Identified Diagnostics Behaviors:</w:t>
      </w:r>
      <w:r>
        <w:t xml:space="preserve"> </w:t>
      </w:r>
      <w:r>
        <w:t xml:space="preserve">Investigating isolated algorithm classifications mapping successfully alongside raw exploratory observations indicated powerful relationships: Patients returning strictly asymptomatic taxonomy classifications (</w:t>
      </w:r>
      <w:r>
        <w:rPr>
          <w:rStyle w:val="VerbatimChar"/>
        </w:rPr>
        <w:t xml:space="preserve">cp</w:t>
      </w:r>
      <w:r>
        <w:t xml:space="preserve"> </w:t>
      </w:r>
      <w:r>
        <w:t xml:space="preserve">= 4), registering distinct physiological strains generating exercise-induced pain (</w:t>
      </w:r>
      <w:r>
        <w:rPr>
          <w:rStyle w:val="VerbatimChar"/>
        </w:rPr>
        <w:t xml:space="preserve">exang</w:t>
      </w:r>
      <w:r>
        <w:t xml:space="preserve">), testing high baseline slope depreciations (</w:t>
      </w:r>
      <w:r>
        <w:rPr>
          <w:rStyle w:val="VerbatimChar"/>
        </w:rPr>
        <w:t xml:space="preserve">oldpeak</w:t>
      </w:r>
      <w:r>
        <w:t xml:space="preserve">), and concurrently logging compromised, sluggish maximum heart ratings (</w:t>
      </w:r>
      <w:r>
        <w:rPr>
          <w:rStyle w:val="VerbatimChar"/>
        </w:rPr>
        <w:t xml:space="preserve">thalach</w:t>
      </w:r>
      <w:r>
        <w:t xml:space="preserve">) categorically occupied maximum-alert clinical territories for disease prognosis. In stark contrast, dynamic profiles missing stress-induced constraints reliably populated benign diagnostic sectors.</w:t>
      </w:r>
    </w:p>
    <w:p>
      <w:pPr>
        <w:pStyle w:val="BodyText"/>
      </w:pPr>
      <w:r>
        <w:rPr>
          <w:b/>
          <w:bCs/>
        </w:rPr>
        <w:t xml:space="preserve">Principal Information Predictors:</w:t>
      </w:r>
      <w:r>
        <w:t xml:space="preserve"> </w:t>
      </w:r>
      <w:r>
        <w:t xml:space="preserve">Following regression calculations isolating pure informational variance impacts, the metrics supplying paramount decision-driving power consistently included:</w:t>
      </w:r>
      <w:r>
        <w:t xml:space="preserve"> </w:t>
      </w:r>
      <w:r>
        <w:t xml:space="preserve">1.</w:t>
      </w:r>
      <w:r>
        <w:t xml:space="preserve"> </w:t>
      </w:r>
      <w:r>
        <w:rPr>
          <w:rStyle w:val="VerbatimChar"/>
        </w:rPr>
        <w:t xml:space="preserve">thalach</w:t>
      </w:r>
      <w:r>
        <w:t xml:space="preserve"> </w:t>
      </w:r>
      <w:r>
        <w:t xml:space="preserve">(Biological ceiling rate)</w:t>
      </w:r>
      <w:r>
        <w:t xml:space="preserve"> </w:t>
      </w:r>
      <w:r>
        <w:t xml:space="preserve">2.</w:t>
      </w:r>
      <w:r>
        <w:t xml:space="preserve"> </w:t>
      </w:r>
      <w:r>
        <w:rPr>
          <w:rStyle w:val="VerbatimChar"/>
        </w:rPr>
        <w:t xml:space="preserve">cp</w:t>
      </w:r>
      <w:r>
        <w:t xml:space="preserve"> </w:t>
      </w:r>
      <w:r>
        <w:t xml:space="preserve">(Direct chest pain categorization)</w:t>
      </w:r>
      <w:r>
        <w:t xml:space="preserve"> </w:t>
      </w:r>
      <w:r>
        <w:t xml:space="preserve">3.</w:t>
      </w:r>
      <w:r>
        <w:t xml:space="preserve"> </w:t>
      </w:r>
      <w:r>
        <w:rPr>
          <w:rStyle w:val="VerbatimChar"/>
        </w:rPr>
        <w:t xml:space="preserve">ca</w:t>
      </w:r>
      <w:r>
        <w:t xml:space="preserve"> </w:t>
      </w:r>
      <w:r>
        <w:t xml:space="preserve">(Calculated baseline major vessel blockages)</w:t>
      </w:r>
      <w:r>
        <w:t xml:space="preserve"> </w:t>
      </w:r>
      <w:r>
        <w:t xml:space="preserve">4.</w:t>
      </w:r>
      <w:r>
        <w:t xml:space="preserve"> </w:t>
      </w:r>
      <w:r>
        <w:rPr>
          <w:rStyle w:val="VerbatimChar"/>
        </w:rPr>
        <w:t xml:space="preserve">oldpeak</w:t>
      </w:r>
      <w:r>
        <w:t xml:space="preserve"> </w:t>
      </w:r>
      <w:r>
        <w:t xml:space="preserve">(Exercise-induced graphical EKG decline)</w:t>
      </w:r>
      <w:r>
        <w:t xml:space="preserve"> </w:t>
      </w:r>
      <w:r>
        <w:t xml:space="preserve">5.</w:t>
      </w:r>
      <w:r>
        <w:t xml:space="preserve"> </w:t>
      </w:r>
      <w:r>
        <w:rPr>
          <w:rStyle w:val="VerbatimChar"/>
        </w:rPr>
        <w:t xml:space="preserve">exang</w:t>
      </w:r>
      <w:r>
        <w:t xml:space="preserve"> </w:t>
      </w:r>
      <w:r>
        <w:t xml:space="preserve">(Observable presence of exercise-triggered anginas)</w:t>
      </w:r>
    </w:p>
    <w:p>
      <w:pPr>
        <w:pStyle w:val="BodyText"/>
      </w:pPr>
      <w:r>
        <w:rPr>
          <w:b/>
          <w:bCs/>
        </w:rPr>
        <w:t xml:space="preserve">Influence of Preprocessing on Algorithmic Models:</w:t>
      </w:r>
      <w:r>
        <w:t xml:space="preserve"> </w:t>
      </w:r>
      <w:r>
        <w:t xml:space="preserve">Applying rigid Standard Normalizations directly overhauled structural prediction logic accurately. In unfiltered environments, independent domains (</w:t>
      </w:r>
      <w:r>
        <w:rPr>
          <w:rStyle w:val="VerbatimChar"/>
        </w:rPr>
        <w:t xml:space="preserve">chol</w:t>
      </w:r>
      <w:r>
        <w:t xml:space="preserve"> </w:t>
      </w:r>
      <w:r>
        <w:t xml:space="preserve">indexing roughly ~250 compared directly against</w:t>
      </w:r>
      <w:r>
        <w:t xml:space="preserve"> </w:t>
      </w:r>
      <w:r>
        <w:rPr>
          <w:rStyle w:val="VerbatimChar"/>
        </w:rPr>
        <w:t xml:space="preserve">oldpeak</w:t>
      </w:r>
      <w:r>
        <w:t xml:space="preserve"> </w:t>
      </w:r>
      <w:r>
        <w:t xml:space="preserve">fluctuating purely between 0 to 6) generate immense vector disparity. Weighted distance formulas erroneously presume parameters expressing larger raw cardinal sizes boast intrinsically greater target authority simply because their units are mathematically larger, thereby fundamentally mutating the outcome mapping blindly.</w:t>
      </w:r>
      <w:r>
        <w:t xml:space="preserve"> </w:t>
      </w:r>
      <w:r>
        <w:t xml:space="preserve">Standard Scale transformations equalize all values universally along their respective zero-mean variance axes, forcing algorithms to respect structural standard deviations evenly across all vectors irrespective of specific numeric dimensions.</w:t>
      </w:r>
    </w:p>
    <w:p>
      <w:pPr>
        <w:pStyle w:val="BodyText"/>
      </w:pPr>
      <w:r>
        <w:rPr>
          <w:b/>
          <w:bCs/>
        </w:rPr>
        <w:t xml:space="preserve">Resulting Decisions Extracted:</w:t>
      </w:r>
      <w:r>
        <w:t xml:space="preserve"> </w:t>
      </w:r>
      <w:r>
        <w:t xml:space="preserve">Effectively standardizing metrics using optimized pipeline geometries prevents baseline data leakages across validation partitions, facilitating the confident export of this model logic onto living medical ecosystems. Real-world platforms scaling these frameworks actively optimize predictive diagnostic stratification tools—ensuring fast triage for inbound symptomatic cases, significantly generating precise computerized secondary insights for working physicians, and enabling earlier proactive interventional alerts globally!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2026-03-03T19:08:38Z</dcterms:created>
  <dcterms:modified xsi:type="dcterms:W3CDTF">2026-03-03T19:08:38Z</dcterms:modified>
</cp:coreProperties>
</file>

<file path=docProps/custom.xml><?xml version="1.0" encoding="utf-8"?>
<Properties xmlns="http://schemas.openxmlformats.org/officeDocument/2006/custom-properties" xmlns:vt="http://schemas.openxmlformats.org/officeDocument/2006/docPropsVTypes"/>
</file>