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F4E79"/>
          <w:sz w:val="30"/>
          <w:szCs w:val="30"/>
        </w:rPr>
        <w:t xml:space="preserve">SIMATS ENGINEERING</w:t>
      </w:r>
    </w:p>
    <w:p>
      <w:pPr>
        <w:spacing w:after="40"/>
        <w:jc w:val="center"/>
      </w:pPr>
      <w:r>
        <w:rPr>
          <w:rFonts w:ascii="Times New Roman" w:cs="Times New Roman" w:eastAsia="Times New Roman" w:hAnsi="Times New Roman"/>
          <w:b/>
          <w:bCs/>
          <w:i w:val="false"/>
          <w:iCs w:val="false"/>
          <w:color w:val="1F4E79"/>
          <w:sz w:val="24"/>
          <w:szCs w:val="24"/>
        </w:rPr>
        <w:t xml:space="preserve">(SAVEETHA SCHOOL OF ENGINEERING)</w:t>
      </w:r>
    </w:p>
    <w:p>
      <w:pPr>
        <w:spacing w:after="40"/>
        <w:jc w:val="center"/>
      </w:pPr>
      <w:r>
        <w:rPr>
          <w:rFonts w:ascii="Times New Roman" w:cs="Times New Roman" w:eastAsia="Times New Roman" w:hAnsi="Times New Roman"/>
          <w:b w:val="false"/>
          <w:bCs w:val="false"/>
          <w:i w:val="false"/>
          <w:iCs w:val="false"/>
          <w:color w:val="1A1A1A"/>
          <w:sz w:val="24"/>
          <w:szCs w:val="24"/>
        </w:rPr>
        <w:t xml:space="preserve">Department of Computer Science and Engineering</w:t>
      </w:r>
    </w:p>
    <w:p>
      <w:pPr>
        <w:spacing w:after="500"/>
      </w:pPr>
    </w:p>
    <w:p>
      <w:pPr>
        <w:spacing w:after="300"/>
      </w:pPr>
    </w:p>
    <w:p>
      <w:pPr>
        <w:spacing w:after="40"/>
        <w:jc w:val="center"/>
      </w:pPr>
      <w:r>
        <w:rPr>
          <w:rFonts w:ascii="Times New Roman" w:cs="Times New Roman" w:eastAsia="Times New Roman" w:hAnsi="Times New Roman"/>
          <w:b/>
          <w:bCs/>
          <w:i w:val="false"/>
          <w:iCs w:val="false"/>
          <w:color w:val="1A1A1A"/>
          <w:sz w:val="30"/>
          <w:szCs w:val="30"/>
        </w:rPr>
        <w:t xml:space="preserve">RESEARCH PAPER REVIEW / LITERATURE SURVEY REPORT</w:t>
      </w:r>
    </w:p>
    <w:p>
      <w:pPr>
        <w:spacing w:after="40"/>
        <w:jc w:val="center"/>
      </w:pPr>
      <w:r>
        <w:rPr>
          <w:rFonts w:ascii="Times New Roman" w:cs="Times New Roman" w:eastAsia="Times New Roman" w:hAnsi="Times New Roman"/>
          <w:b/>
          <w:bCs/>
          <w:i w:val="false"/>
          <w:iCs w:val="false"/>
          <w:color w:val="1F4E79"/>
          <w:sz w:val="26"/>
          <w:szCs w:val="26"/>
        </w:rPr>
        <w:t xml:space="preserve">CO5 – Assessment Tool - 1</w:t>
      </w:r>
    </w:p>
    <w:p>
      <w:pPr>
        <w:spacing w:after="120"/>
      </w:pPr>
    </w:p>
    <w:p>
      <w:pPr>
        <w:spacing w:after="40"/>
        <w:jc w:val="center"/>
      </w:pPr>
      <w:r>
        <w:rPr>
          <w:rFonts w:ascii="Times New Roman" w:cs="Times New Roman" w:eastAsia="Times New Roman" w:hAnsi="Times New Roman"/>
          <w:b/>
          <w:bCs/>
          <w:i w:val="false"/>
          <w:iCs w:val="false"/>
          <w:color w:val="1A1A1A"/>
          <w:sz w:val="34"/>
          <w:szCs w:val="34"/>
        </w:rPr>
        <w:t xml:space="preserve">“Smart Offshore Wind Farm Management Platform”</w:t>
      </w:r>
    </w:p>
    <w:p>
      <w:pPr>
        <w:spacing w:after="500"/>
      </w:pPr>
    </w:p>
    <w:p>
      <w:pPr>
        <w:spacing w:after="40"/>
        <w:jc w:val="center"/>
      </w:pPr>
      <w:r>
        <w:rPr>
          <w:rFonts w:ascii="Times New Roman" w:cs="Times New Roman" w:eastAsia="Times New Roman" w:hAnsi="Times New Roman"/>
          <w:b w:val="false"/>
          <w:bCs w:val="false"/>
          <w:i w:val="false"/>
          <w:iCs w:val="false"/>
          <w:color w:val="1A1A1A"/>
          <w:sz w:val="24"/>
          <w:szCs w:val="24"/>
        </w:rPr>
        <w:t xml:space="preserve">Submitted by</w:t>
      </w:r>
    </w:p>
    <w:p>
      <w:pPr>
        <w:spacing w:after="40"/>
        <w:jc w:val="center"/>
      </w:pPr>
      <w:r>
        <w:rPr>
          <w:rFonts w:ascii="Times New Roman" w:cs="Times New Roman" w:eastAsia="Times New Roman" w:hAnsi="Times New Roman"/>
          <w:b/>
          <w:bCs/>
          <w:i w:val="false"/>
          <w:iCs w:val="false"/>
          <w:color w:val="1A1A1A"/>
          <w:sz w:val="26"/>
          <w:szCs w:val="26"/>
        </w:rPr>
        <w:t xml:space="preserve">Manne Praneeth Kumar</w:t>
      </w:r>
    </w:p>
    <w:p>
      <w:pPr>
        <w:spacing w:after="40"/>
        <w:jc w:val="center"/>
      </w:pPr>
      <w:r>
        <w:rPr>
          <w:rFonts w:ascii="Times New Roman" w:cs="Times New Roman" w:eastAsia="Times New Roman" w:hAnsi="Times New Roman"/>
          <w:b w:val="false"/>
          <w:bCs w:val="false"/>
          <w:i w:val="false"/>
          <w:iCs w:val="false"/>
          <w:color w:val="1A1A1A"/>
          <w:sz w:val="24"/>
          <w:szCs w:val="24"/>
        </w:rPr>
        <w:t xml:space="preserve">Register Number: 192372310</w:t>
      </w:r>
    </w:p>
    <w:p>
      <w:pPr>
        <w:spacing w:after="40"/>
        <w:jc w:val="center"/>
      </w:pPr>
      <w:r>
        <w:rPr>
          <w:rFonts w:ascii="Times New Roman" w:cs="Times New Roman" w:eastAsia="Times New Roman" w:hAnsi="Times New Roman"/>
          <w:b w:val="false"/>
          <w:bCs w:val="false"/>
          <w:i w:val="false"/>
          <w:iCs w:val="false"/>
          <w:color w:val="1A1A1A"/>
          <w:sz w:val="24"/>
          <w:szCs w:val="24"/>
        </w:rPr>
        <w:t xml:space="preserve">Course Code: CSA1007</w:t>
      </w:r>
    </w:p>
    <w:p>
      <w:pPr>
        <w:spacing w:after="40"/>
        <w:jc w:val="center"/>
      </w:pPr>
      <w:r>
        <w:rPr>
          <w:rFonts w:ascii="Times New Roman" w:cs="Times New Roman" w:eastAsia="Times New Roman" w:hAnsi="Times New Roman"/>
          <w:b w:val="false"/>
          <w:bCs w:val="false"/>
          <w:i w:val="false"/>
          <w:iCs w:val="false"/>
          <w:color w:val="1A1A1A"/>
          <w:sz w:val="24"/>
          <w:szCs w:val="24"/>
        </w:rPr>
        <w:t xml:space="preserve">Course Name: SOFTWARE ENGINEERING</w:t>
      </w:r>
    </w:p>
    <w:p>
      <w:pPr>
        <w:spacing w:after="40"/>
        <w:jc w:val="center"/>
      </w:pPr>
      <w:r>
        <w:rPr>
          <w:rFonts w:ascii="Times New Roman" w:cs="Times New Roman" w:eastAsia="Times New Roman" w:hAnsi="Times New Roman"/>
          <w:b w:val="false"/>
          <w:bCs w:val="false"/>
          <w:i w:val="false"/>
          <w:iCs w:val="false"/>
          <w:color w:val="1A1A1A"/>
          <w:sz w:val="24"/>
          <w:szCs w:val="24"/>
        </w:rPr>
        <w:t xml:space="preserve">Faculty In-Charge: Dr. P. Subramanian</w:t>
      </w:r>
    </w:p>
    <w:p>
      <w:pPr>
        <w:spacing w:after="600"/>
      </w:pPr>
    </w:p>
    <w:p>
      <w:pPr>
        <w:spacing w:after="40"/>
        <w:jc w:val="center"/>
      </w:pPr>
      <w:r>
        <w:rPr>
          <w:rFonts w:ascii="Times New Roman" w:cs="Times New Roman" w:eastAsia="Times New Roman" w:hAnsi="Times New Roman"/>
          <w:b w:val="false"/>
          <w:bCs w:val="false"/>
          <w:i w:val="false"/>
          <w:iCs w:val="false"/>
          <w:color w:val="595959"/>
          <w:sz w:val="22"/>
          <w:szCs w:val="22"/>
        </w:rPr>
        <w:t xml:space="preserve">Department of Computer Science and Engineering</w:t>
      </w:r>
    </w:p>
    <w:p>
      <w:pPr>
        <w:spacing w:after="40"/>
        <w:jc w:val="center"/>
      </w:pPr>
      <w:r>
        <w:rPr>
          <w:rFonts w:ascii="Times New Roman" w:cs="Times New Roman" w:eastAsia="Times New Roman" w:hAnsi="Times New Roman"/>
          <w:b w:val="false"/>
          <w:bCs w:val="false"/>
          <w:i w:val="false"/>
          <w:iCs w:val="false"/>
          <w:color w:val="595959"/>
          <w:sz w:val="22"/>
          <w:szCs w:val="22"/>
        </w:rPr>
        <w:t xml:space="preserve">SIMATS Engineering (Saveetha School of Engineering)</w:t>
      </w:r>
    </w:p>
    <w:p>
      <w:pPr>
        <w:spacing w:after="40"/>
        <w:jc w:val="center"/>
      </w:pPr>
      <w:r>
        <w:rPr>
          <w:rFonts w:ascii="Times New Roman" w:cs="Times New Roman" w:eastAsia="Times New Roman" w:hAnsi="Times New Roman"/>
          <w:b w:val="false"/>
          <w:bCs w:val="false"/>
          <w:i w:val="false"/>
          <w:iCs w:val="false"/>
          <w:color w:val="595959"/>
          <w:sz w:val="22"/>
          <w:szCs w:val="22"/>
        </w:rPr>
        <w:t xml:space="preserve">Chennai – 602105, Tamil Nadu</w:t>
      </w:r>
    </w:p>
    <w:p>
      <w:pPr>
        <w:spacing w:after="40"/>
        <w:jc w:val="center"/>
      </w:pPr>
      <w:r>
        <w:rPr>
          <w:rFonts w:ascii="Times New Roman" w:cs="Times New Roman" w:eastAsia="Times New Roman" w:hAnsi="Times New Roman"/>
          <w:b w:val="false"/>
          <w:bCs w:val="false"/>
          <w:i w:val="false"/>
          <w:iCs w:val="false"/>
          <w:color w:val="595959"/>
          <w:sz w:val="22"/>
          <w:szCs w:val="22"/>
        </w:rPr>
        <w:t xml:space="preserve">2026</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40"/>
        <w:jc w:val="center"/>
      </w:pPr>
      <w:r>
        <w:rPr>
          <w:rFonts w:ascii="Times New Roman" w:cs="Times New Roman" w:eastAsia="Times New Roman" w:hAnsi="Times New Roman"/>
          <w:b/>
          <w:bCs/>
          <w:i w:val="false"/>
          <w:iCs w:val="false"/>
          <w:color w:val="1A1A1A"/>
          <w:sz w:val="24"/>
          <w:szCs w:val="24"/>
        </w:rPr>
        <w:t xml:space="preserve">SIMATS ENGINEERING (SAVEETHA SCHOOL OF ENGINEERING)</w:t>
      </w:r>
    </w:p>
    <w:p>
      <w:pPr>
        <w:spacing w:after="40"/>
        <w:jc w:val="center"/>
      </w:pPr>
      <w:r>
        <w:rPr>
          <w:rFonts w:ascii="Times New Roman" w:cs="Times New Roman" w:eastAsia="Times New Roman" w:hAnsi="Times New Roman"/>
          <w:b w:val="false"/>
          <w:bCs w:val="false"/>
          <w:i w:val="false"/>
          <w:iCs w:val="false"/>
          <w:color w:val="1A1A1A"/>
          <w:sz w:val="22"/>
          <w:szCs w:val="22"/>
        </w:rPr>
        <w:t xml:space="preserve">Department of Computer Science and Engineering</w:t>
      </w:r>
    </w:p>
    <w:p>
      <w:pPr>
        <w:spacing w:after="40"/>
        <w:jc w:val="center"/>
      </w:pPr>
      <w:r>
        <w:rPr>
          <w:rFonts w:ascii="Times New Roman" w:cs="Times New Roman" w:eastAsia="Times New Roman" w:hAnsi="Times New Roman"/>
          <w:b/>
          <w:bCs/>
          <w:i w:val="false"/>
          <w:iCs w:val="false"/>
          <w:color w:val="1F4E79"/>
          <w:sz w:val="24"/>
          <w:szCs w:val="24"/>
        </w:rPr>
        <w:t xml:space="preserve">CO5 ASSESSMENT TOOL 1 – Research Paper Review / Literature Survey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13"/>
        <w:gridCol w:w="1900"/>
        <w:gridCol w:w="2613"/>
      </w:tblGrid>
      <w:tr>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Course Code:</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CSA1007</w:t>
            </w:r>
          </w:p>
        </w:tc>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Course Title:</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Software Engineering</w:t>
            </w:r>
          </w:p>
        </w:tc>
      </w:tr>
      <w:tr>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CO Assessed:</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CO5</w:t>
            </w:r>
          </w:p>
        </w:tc>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Assessment:</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CO5 - Assessment Tool - 1</w:t>
            </w:r>
          </w:p>
        </w:tc>
      </w:tr>
      <w:tr>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Weightage:</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20%</w:t>
            </w:r>
          </w:p>
        </w:tc>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Total Marks:</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25</w:t>
            </w:r>
          </w:p>
        </w:tc>
      </w:tr>
      <w:tr>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CO5 Statement:</w:t>
            </w:r>
          </w:p>
        </w:tc>
        <w:tc>
          <w:tcPr>
            <w:tcW w:type="dxa" w:w="7126"/>
            <w:gridSpan w:val="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i w:val="false"/>
                <w:iCs w:val="false"/>
                <w:color w:val="1A1A1A"/>
                <w:sz w:val="22"/>
                <w:szCs w:val="22"/>
              </w:rPr>
              <w:t xml:space="preserve">Evaluate emerging technologies and societal impacts, maintaining and evolving software systems responsibly.</w:t>
            </w:r>
          </w:p>
        </w:tc>
      </w:tr>
      <w:tr>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Student Name:</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Manne Praneeth Kumar</w:t>
            </w:r>
          </w:p>
        </w:tc>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Reg. No.:</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192372310</w:t>
            </w:r>
          </w:p>
        </w:tc>
      </w:tr>
      <w:tr>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Date:</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
            </w:r>
          </w:p>
        </w:tc>
        <w:tc>
          <w:tcPr>
            <w:tcW w:type="dxa" w:w="1900"/>
            <w:gridSpan w:val="1"/>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A1A1A"/>
                <w:sz w:val="22"/>
                <w:szCs w:val="22"/>
              </w:rPr>
              <w:t xml:space="preserve">Duration:</w:t>
            </w:r>
          </w:p>
        </w:tc>
        <w:tc>
          <w:tcPr>
            <w:tcW w:type="dxa" w:w="2613"/>
            <w:gridSpan w:val="1"/>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22"/>
                <w:szCs w:val="22"/>
              </w:rPr>
              <w:t xml:space="preserve">60 minutes</w:t>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40"/>
              <w:left w:type="dxa" w:w="160"/>
              <w:bottom w:type="dxa" w:w="140"/>
              <w:right w:type="dxa" w:w="160"/>
            </w:tcMar>
          </w:tcPr>
          <w:p>
            <w:pPr>
              <w:spacing w:after="100"/>
            </w:pPr>
            <w:r>
              <w:rPr>
                <w:rFonts w:ascii="Times New Roman" w:cs="Times New Roman" w:eastAsia="Times New Roman" w:hAnsi="Times New Roman"/>
                <w:b/>
                <w:bCs/>
                <w:i w:val="false"/>
                <w:iCs w:val="false"/>
                <w:color w:val="1F4E79"/>
                <w:sz w:val="22"/>
                <w:szCs w:val="22"/>
              </w:rPr>
              <w:t xml:space="preserve">Code of Conduct</w:t>
            </w:r>
          </w:p>
          <w:p>
            <w:pPr>
              <w:spacing w:after="160" w:line="300" w:lineRule="auto"/>
              <w:jc w:val="both"/>
            </w:pPr>
            <w:r>
              <w:rPr>
                <w:rFonts w:ascii="Times New Roman" w:cs="Times New Roman" w:eastAsia="Times New Roman" w:hAnsi="Times New Roman"/>
                <w:b w:val="false"/>
                <w:bCs w:val="false"/>
                <w:i/>
                <w:iCs/>
                <w:color w:val="1A1A1A"/>
                <w:sz w:val="22"/>
                <w:szCs w:val="22"/>
              </w:rPr>
              <w:t xml:space="preserve">I, Manne Praneeth Kumar (Reg. No. 192372310), certify that this submission is my original work and that I have adhered to the guidelines specified for this assessment. I understand that any violation of academic integrity rules will result in disciplinary action.</w:t>
            </w:r>
          </w:p>
          <w:p>
            <w:r>
              <w:rPr>
                <w:rFonts w:ascii="Times New Roman" w:cs="Times New Roman" w:eastAsia="Times New Roman" w:hAnsi="Times New Roman"/>
                <w:b w:val="false"/>
                <w:bCs w:val="false"/>
                <w:i w:val="false"/>
                <w:iCs w:val="false"/>
                <w:color w:val="1A1A1A"/>
                <w:sz w:val="22"/>
                <w:szCs w:val="22"/>
              </w:rPr>
              <w:t xml:space="preserve">Signature of the Student: ____________________________</w:t>
            </w:r>
          </w:p>
        </w:tc>
      </w:tr>
    </w:tbl>
    <w:p>
      <w:r>
        <w:br w:type="page"/>
      </w:r>
    </w:p>
    <w:p>
      <w:pPr>
        <w:pStyle w:val="Heading1"/>
        <w:spacing w:after="160" w:before="280"/>
      </w:pPr>
      <w:r>
        <w:rPr>
          <w:rFonts w:ascii="Times New Roman" w:cs="Times New Roman" w:eastAsia="Times New Roman" w:hAnsi="Times New Roman"/>
          <w:b/>
          <w:bCs/>
          <w:i w:val="false"/>
          <w:iCs w:val="false"/>
          <w:color w:val="1F4E79"/>
          <w:sz w:val="32"/>
          <w:szCs w:val="32"/>
        </w:rPr>
        <w:t xml:space="preserve">1. Introduction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This report presents a literature survey conducted in support of Problem Statement 11 — Smart Offshore Wind Farm Management Platform — addressing CO5 of CSA1007 Software Engineering: evaluating emerging technologies and their societal impact while maintaining and evolving software systems responsibly. The assigned platform is expected to unify six operational capabilities — real-time turbine performance monitoring, predictive failure detection, energy-generation optimisation, weather-condition tracking, maintenance scheduling, and operational analytics — into a single management system for an offshore wind installation.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Before such a system can be responsibly designed, it is necessary to understand how each capability has already been addressed in the research literature: which techniques are mature, what datasets and tools researchers rely on, how approaches compare on accuracy, performance, scalability and efficiency, and — critically for CO5 — where existing work falls short of a genuinely integrated, secure platform. Seven peer-reviewed papers and systematic reviews, spanning 2019 to 2026 and drawn from IEEE Access, IET Renewable Power Generation, Energies, Energy Informatics, and the Journal of Intelligent &amp; Fuzzy Systems, were selected to cover all six objectives plus the cybersecurity dimension implied by CO5's emphasis on responsible system evolution. Sections 2 to 6 review, compare and critically analyse this literature; Section 7 sets out future research directions; Section 8 concludes.</w:t>
      </w:r>
    </w:p>
    <w:p>
      <w:pPr>
        <w:pStyle w:val="Heading1"/>
        <w:spacing w:after="160" w:before="280"/>
      </w:pPr>
      <w:r>
        <w:rPr>
          <w:rFonts w:ascii="Times New Roman" w:cs="Times New Roman" w:eastAsia="Times New Roman" w:hAnsi="Times New Roman"/>
          <w:b/>
          <w:bCs/>
          <w:i w:val="false"/>
          <w:iCs w:val="false"/>
          <w:color w:val="1F4E79"/>
          <w:sz w:val="32"/>
          <w:szCs w:val="32"/>
        </w:rPr>
        <w:t xml:space="preserve">2. Literature Survey</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This section reviews each selected paper individually, summarising its objectives, methodology, dataset or tools, and key findings.</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2.1 SCADA-Based Condition Monitoring — Maldonado-Correa et al. (2020)</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Maldonado-Correa et al. (2020) carried out a systematic literature review into using Supervisory Control and Data Acquisition (SCADA) data — already collected by essentially every commercial turbine at 10-minute resolution — for condition monitoring, avoiding the expense of dedicated vibration-sensor networks. Rather than a single dataset, the review synthesises published data-mining and statistical approaches into five families: trending, clustering, normal-behaviour modelling, damage modelling, and alarm/expert-system assessment. Its central finding is that normal-behaviour models, which learn the expected relationship between variables such as wind speed, power output and generator temperature and then flag deviations, most reliably detect gearbox, generator and bearing faults ahead of a hard alarm threshold, while remaining inexpensive to deploy fleet-wide because no new hardware is required. This directly supports the turbine performance-monitoring objective of the assigned platform.</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2.2 Predictive Maintenance via Statistical Process Control and Machine Learning — Hsu et al. (2020)</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Hsu et al. (2020) applied statistical process control together with machine learning to 2.8 million sensor readings collected from 31 onshore wind turbines in Taiwan between 2015 and 2017. Uniquely, the study folded technicians' own maintenance-checklist observations into the data-mining pipeline rather than relying on historical sensor data alone. Pareto analysis, scatter plots and cause-and-effect diagrams were used to cluster and classify turbine failure types, and control charts flagged deviations from standard operating ranges. Decision-tree and random-forest classifiers then predicted maintenance needs with 92.68% and 91.98% accuracy respectively, giving technicians early warning of developing faults. The paper demonstrates that combining domain expertise with statistical and machine-learning methods can meaningfully outperform either approach alone for predictive-maintenance objectives.</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2.3 Wind Farm Control Architectures — Andersson et al. (2021)</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Andersson et al. (2021) reviewed control-system concepts for coordinating power output across an entire wind farm rather than optimising each turbine independently. The review shows that individual turbine control cannot exploit the aerodynamic coupling (wake interaction) between turbines, motivating hierarchical wind-farm-level controllers that take grid demand, energy prices and turbine status as inputs and issue coordinated set-points. Reported gains across the surveyed studies range from a 2–4% increase in two-turbine test cases up to 30% in wind-tunnel experiments using Bayesian-ascent yaw and pitch optimisation compared with a greedy individual-turbine strategy — substantial headroom for the assigned platform's energy-optimisation objective if turbine coordination, not just single-turbine control, is implemented.</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2.4 Machine Learning for Wind Power Forecasting — Liu et al. (2025)</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Liu et al. (2025) reviewed machine-learning approaches to wind power prediction, comparing physical models (based on numerical weather prediction), classical statistical models, and modern deep-learning architectures such as CNNs, LSTMs and XGBoost-based ensembles. The review finds that deep-learning and ensemble methods consistently outperform physical and purely statistical baselines on accuracy, particularly for short-term forecasting, but at the cost of higher computational requirements, a dependence on large volumes of quality-controlled weather and turbine data, and reduced interpretability. The authors identify smart-sensor and IoT integration as key to feeding these models the real-time weather data the assigned platform's weather-tracking objective would need.</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2.5 Offshore Maintenance Scheduling Optimisation — Feng et al. (2019)</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Feng et al. (2019) tackled maintenance scheduling and routing (MS&amp;R) for offshore wind farms, noting that most prior scheduling models minimised maintenance cost alone and ignored the production loss a turbine incurs while offline for service. Their model estimates that loss using each turbine's current power curve together with forecast wind resources for the maintenance window, then applies a genetic-algorithm solver to jointly minimise production loss, technician wages and vessel transportation costs. The output is a complete maintenance plan — schedules, vessel routes and technician assignments — validated computationally at wind-farm scale, directly informing the assigned platform's maintenance-scheduling objective.</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2.6 Predictive Digital Twin for Offshore Wind Farms — Haghshenas et al. (2023)</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Haghshenas et al. (2023) built a predictive digital-twin platform combining Unity3D for 3-D visualisation with the OPC Unified Architecture (OPC-UA) protocol for secure, standardised data exchange between physical turbines and their digital counterparts, augmented with the Prophet time-series algorithm to forecast component failures. The platform was demonstrated on Equinor's Hywind Tampen floating wind farm (94.6 MW) and is reported elsewhere in the literature to have improved maintenance efficiency by 15–20% through earlier, data-driven intervention. Because it brings visualisation, prediction and secure communication together in one architecture, this is the closest single example in the reviewed literature to an integrated operational-analytics platform, though its scope remains centred on failure prediction rather than the fuller set of objectives — scheduling, energy optimisation, weather tracking — the assigned platform must cover.</w:t>
      </w:r>
    </w:p>
    <w:p>
      <w:pPr>
        <w:pStyle w:val="Heading2"/>
        <w:spacing w:after="140" w:before="200"/>
      </w:pPr>
      <w:r>
        <w:rPr>
          <w:rFonts w:ascii="Times New Roman" w:cs="Times New Roman" w:eastAsia="Times New Roman" w:hAnsi="Times New Roman"/>
          <w:b/>
          <w:bCs/>
          <w:i w:val="false"/>
          <w:iCs w:val="false"/>
          <w:color w:val="1F4E79"/>
          <w:sz w:val="26"/>
          <w:szCs w:val="26"/>
        </w:rPr>
        <w:t xml:space="preserve">2.7 Cyber Risk in Wind Power Plant SCADA Systems — Arsal et al. (2026)</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Arsal et al. (2026) conducted a PRISMA-guided systematic review of cyber-risk analysis methods for wind power plants, screening peer-reviewed studies published between January 2010 and January 2025 across four major journals down to 62 studies for full analysis. The review confirms that SCADA and the wider operational-technology layer remain the primary attack surface for wind assets — citing real incidents such as the ransomware attacks that forced Nordex Group and Deutsche Windtechnik to disable remote turbine communications — and that most existing risk-analysis frameworks address individual attack vectors rather than providing a holistic, cyber-physical risk model for an integrated management platform. This is the paper most directly relevant to CO5's requirement to evolve software systems responsibly: any platform that centralises monitoring, control and maintenance actions for physical turbines, as the assigned platform does, inherits exactly the attack surface this review describes.</w:t>
      </w:r>
    </w:p>
    <w:p>
      <w:pPr>
        <w:pStyle w:val="Heading1"/>
        <w:spacing w:after="160" w:before="280"/>
      </w:pPr>
      <w:r>
        <w:rPr>
          <w:rFonts w:ascii="Times New Roman" w:cs="Times New Roman" w:eastAsia="Times New Roman" w:hAnsi="Times New Roman"/>
          <w:b/>
          <w:bCs/>
          <w:i w:val="false"/>
          <w:iCs w:val="false"/>
          <w:color w:val="1F4E79"/>
          <w:sz w:val="32"/>
          <w:szCs w:val="32"/>
        </w:rPr>
        <w:t xml:space="preserve">3. Comparative Analysis</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The seven reviewed works differ sharply in methodology, and this drives how each should be read on accuracy, performance, scalability and efficiency.</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On accuracy, only Hsu et al. (2020) reports a directly measured, dataset-specific figure — 92.68% (decision tree) and 91.98% (random forest) — because it is the only primarily empirical, single-dataset study among the seven; the review-type papers (Maldonado-Correa et al., 2020; Andersson et al., 2021; Liu et al., 2025; Arsal et al., 2026) report accuracy ranges drawn from the literature they survey rather than a figure of their own, which suits their purpose but means their conclusions are only as strong as the studies they cite.</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On performance and efficiency, the picture is mixed: Andersson et al. (2021) shows farm-level coordinated control can lift power output by as much as 30% over independent single-turbine control, and Feng et al. (2019) demonstrates a scheduling method that jointly reduces production loss and O&amp;M cost rather than optimising either alone — both indicate that treating the wind farm as one coordinated system, rather than a set of independent turbines, is where the largest efficiency gains lie. Liu et al. (2025), by contrast, shows the highest-accuracy forecasting methods are also the most computationally expensive, a real efficiency trade-off the assigned platform would need to manage for real-time use.</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On scalability, Maldonado-Correa et al. (2020) and Feng et al. (2019) report solutions that scale economically because they reuse SCADA infrastructure or validate at full wind-farm scale respectively, while Haghshenas et al. (2023) is demonstrated on a single named wind farm and Hsu et al.'s (2020) accuracy figures are specific to 31 Taiwanese turbines — neither has yet been shown to generalise across sites, a limitation discussed further in Section 4.</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Methodologically, the seven papers span the full spectrum this assignment asks for: systematic literature review (Maldonado-Correa et al., 2020; Arsal et al., 2026), empirical statistical/ML modelling (Hsu et al., 2020), control-theoretic review (Andersson et al., 2021), ML-forecasting review (Liu et al., 2025), operations-research optimisation (Feng et al., 2019), and applied systems engineering (Haghshenas et al., 2023). Table 3.1 consolidates this comparison alongside each paper's dataset/tools, key findings, limitations and research gap.</w:t>
      </w:r>
    </w:p>
    <w:p>
      <w:pPr>
        <w:spacing w:after="100" w:before="60"/>
      </w:pPr>
      <w:r>
        <w:rPr>
          <w:rFonts w:ascii="Times New Roman" w:cs="Times New Roman" w:eastAsia="Times New Roman" w:hAnsi="Times New Roman"/>
          <w:b/>
          <w:bCs/>
          <w:i/>
          <w:iCs/>
          <w:color w:val="1F4E79"/>
          <w:sz w:val="22"/>
          <w:szCs w:val="22"/>
        </w:rPr>
        <w:t xml:space="preserve">Table 3.1: Comparative Literature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500"/>
        <w:gridCol w:w="1350"/>
        <w:gridCol w:w="1176"/>
      </w:tblGrid>
      <w:tr>
        <w:trPr>
          <w:cantSplit/>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Author/Year</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Research Problem</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Methodology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Dataset/Tools</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Key Findings</w:t>
            </w:r>
          </w:p>
        </w:tc>
        <w:tc>
          <w:tcPr>
            <w:tcW w:type="dxa" w:w="135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Limitations</w:t>
            </w:r>
          </w:p>
        </w:tc>
        <w:tc>
          <w:tcPr>
            <w:tcW w:type="dxa" w:w="117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18"/>
                <w:szCs w:val="18"/>
              </w:rPr>
              <w:t xml:space="preserve">Research Gap</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Maldonado-Correa et al. (2020)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Turbine condition monitoring without added hardware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Systematic literature review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SCADA data (10-min resolution); no single dataset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Normal-behaviour models detect faults earliest at near-zero extra cost</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Findings only as strong as the studies reviewed; no new empirical validation</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No standard method for combining SCADA-CM with fleet-wide predictive scheduling</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Hsu et al. (2020)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Turbine fault diagnosis &amp; maintenance prediction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Statistical process control + ML (decision tree, random forest)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2.8M sensor readings, 31 turbines, Taiwan, 2015–2017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92.68% (DT) / 91.98% (RF) accuracy; early fault warning</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Single-country, onshore dataset; generalisability untested</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Accuracy validated on one fleet only — cross-site/offshore transfer unverified</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Andersson et al. (2021)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Farm-level power output coordination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Review of control architectures (MPC, RL, BA, hierarchical)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Simulation and wind-tunnel studies from surveyed literature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Coordinated control raises output 2–30% over independent turbine control</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Largest gains shown in simulation/wind-tunnel, not full-scale offshore use</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Limited field validation of farm-level control at commercial offshore scale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Liu et al.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Short/medium-term wind power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Review of physical, statistical, ML and DL forecasting models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Literature-wide (2006–2025); no single dataset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DL/ensemble models most accurate; IoT integration flagged as next step</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Highest-accuracy models are computationally costly and less interpretable</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No unified framework balancing forecast accuracy against real-time compute cost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Feng et al. (2019)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Offshore maintenance scheduling &amp; routing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Genetic-algorithm optimisation (MS&amp;R model)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Turbine power curves + forecast wind resource; simulated wind farm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Joint minimisation of production loss, labour and vessel cost</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Wind/weather forecast accuracy assumed, not tested against forecast error</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Scheduling optimality untested against real forecasting-model error propagation</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Haghshenas et al. (2023)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Integrated visualisation + failure prediction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Digital twin: Unity3D + OPC-UA + Prophet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Hywind Tampen floating wind farm (94.6 MW), Equinor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15–20% maintenance-efficiency improvement (per citing literature)</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Demonstrated on one named farm; scope limited to failure prediction</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No integration shown with scheduling, energy optimisation or RBAC/security layers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Arsal et al.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Cyber risk to wind-farm SCADA/OT systems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PRISMA systematic review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62 peer-reviewed studies, Jan 2010–Jan 2025, 4 journals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SCADA/OT is the primary attack surface; most frameworks address single vectors</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Reviews existing frameworks; does not propose a validated unified model</w:t>
            </w:r>
          </w:p>
        </w:tc>
        <w:tc>
          <w:tcPr>
            <w:tcW w:type="dxa" w:w="11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1A1A1A"/>
                <w:sz w:val="18"/>
                <w:szCs w:val="18"/>
              </w:rPr>
              <w:t xml:space="preserve">No holistic cyber-physical risk model for a fully integrated management platform</w:t>
            </w:r>
          </w:p>
        </w:tc>
      </w:tr>
    </w:tbl>
    <w:p>
      <w:pPr>
        <w:pStyle w:val="Heading1"/>
        <w:spacing w:after="160" w:before="280"/>
      </w:pPr>
      <w:r>
        <w:rPr>
          <w:rFonts w:ascii="Times New Roman" w:cs="Times New Roman" w:eastAsia="Times New Roman" w:hAnsi="Times New Roman"/>
          <w:b/>
          <w:bCs/>
          <w:i w:val="false"/>
          <w:iCs w:val="false"/>
          <w:color w:val="1F4E79"/>
          <w:sz w:val="32"/>
          <w:szCs w:val="32"/>
        </w:rPr>
        <w:t xml:space="preserve">4. Limitations and Challenges of Existing Approaches</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Reading the seven papers together, rather than in isolation, surfaces challenges that no single paper states explicitly but that follow directly from comparing their scope and validation.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First, each paper addresses one capability well but none integrates more than two: Haghshenas et al. (2023) is the broadest, combining visualisation and failure prediction, yet still excludes scheduling, energy optimisation and access control from its scope. Second, the strongest results in this survey are each specific to a single fleet or site — Hsu et al.'s (2020) 92.68%/91.98% accuracy to 31 Taiwanese onshore turbines, Haghshenas et al.'s (2023) reported efficiency gains to the Hywind Tampen floating farm — and neither has been shown to transfer to a different turbine model, manufacturer, or offshore site without retraining or re-engineering.</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Third, several of the largest reported gains remain unproven outside controlled settings: Andersson et al. (2021) attributes its highest power-output improvements (up to 30%) to wind-tunnel and simulation studies rather than commercial offshore deployment, and Feng et al.'s (2019) scheduling optimum assumes accurate wind and weather forecasts without testing sensitivity to the forecast error that Liu et al. (2025) shows is still an open, active research problem. Fourth, Liu et al. (2025) identify a genuine compute/accuracy trade-off: the deep-learning and ensemble models with the best forecasting accuracy are also the most computationally demanding and least interpretable, which is a real constraint for a platform expected to respond in near real time on modest infrastructure.</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Finally, and most significantly for CO5, security is treated as an afterthought across the set. Arsal et al.'s (2026) systematic review is telling in itself — that a dedicated, comprehensive review of wind-farm SCADA cyber risk was published only in 2026 illustrates how far behind security analysis lags the functional capabilities that dominate the rest of the literature. None of the other six papers discuss access control, authentication, or data protection for the systems they propose; Haghshenas et al.'s (2023) use of the OPC-UA protocol is the closest exception, and even there security is a property of the communication standard chosen rather than a designed, role-aware access-control layer.</w:t>
      </w:r>
    </w:p>
    <w:p>
      <w:pPr>
        <w:pStyle w:val="Heading1"/>
        <w:spacing w:after="160" w:before="280"/>
      </w:pPr>
      <w:r>
        <w:rPr>
          <w:rFonts w:ascii="Times New Roman" w:cs="Times New Roman" w:eastAsia="Times New Roman" w:hAnsi="Times New Roman"/>
          <w:b/>
          <w:bCs/>
          <w:i w:val="false"/>
          <w:iCs w:val="false"/>
          <w:color w:val="1F4E79"/>
          <w:sz w:val="32"/>
          <w:szCs w:val="32"/>
        </w:rPr>
        <w:t xml:space="preserve">5. Research Gap Analysis</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Across the seven papers, a consistent pattern emerges: the wind-energy research community has produced mature, often high-performing solutions to each of the assigned platform's six objectives taken individually, but no paper in this survey — nor, based on how each positions its own contribution, in the wider literature it draws on — proposes or evaluates a single system that performs all six functions together under one consistent data model, user-role structure and security posture.</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This matters for three concrete reasons that follow directly from the reviewed evidence. First, data siloing undermines the very capabilities each paper demonstrates: Feng et al.'s (2019) maintenance-scheduling model needs accurate forecast wind resource as an input, while Liu et al. (2025) show that producing that forecast well requires a dedicated ML pipeline most operators would run as a separate system. Without integration, the scheduling model's real-world accuracy inherits every error the separate forecasting system introduces, with no mechanism in either paper to detect or correct for that at the point of use.</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Second, security has not been designed in from the start. Arsal et al.'s (2026) review finds that most cyber-risk analysis addresses individual attack vectors after the fact, and none of the other six papers discuss authentication, role-based access, or secure data exchange for the monitoring, control or scheduling actions they propose. A platform that centralises monitoring, prediction, scheduling and control access — as the assigned platform does — concentrates exactly the risk Arsal et al. describe, unless role-based access control and secure design are treated as first-class requirements rather than an add-on.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Third, validation remains fragmented and largely offline. The strongest quantitative results in this survey — Hsu et al.'s (2020) 92.68% accuracy; Andersson et al.'s (2021) reported 30% power gain — each come from a single fleet, simulation, or wind-tunnel setting; none has been demonstrated end-to-end, across all six capabilities, on a live offshore asset.</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The research gap this survey identifies, therefore, is not a missing technique — every individual capability already has credible, published solutions — but a missing integration layer: a unified, role-secured platform architecture that lets monitoring, prediction, optimisation, weather data, scheduling and analytics operate on a shared, consistent data model, so that the accuracy and efficiency gains each paper demonstrates in isolation are not lost at the boundaries between systems. This is precisely the gap the assigned Smart Offshore Wind Farm Management Platform is positioned to address.</w:t>
      </w:r>
    </w:p>
    <w:p>
      <w:pPr>
        <w:pStyle w:val="Heading1"/>
        <w:spacing w:after="160" w:before="280"/>
      </w:pPr>
      <w:r>
        <w:rPr>
          <w:rFonts w:ascii="Times New Roman" w:cs="Times New Roman" w:eastAsia="Times New Roman" w:hAnsi="Times New Roman"/>
          <w:b/>
          <w:bCs/>
          <w:i w:val="false"/>
          <w:iCs w:val="false"/>
          <w:color w:val="1F4E79"/>
          <w:sz w:val="32"/>
          <w:szCs w:val="32"/>
        </w:rPr>
        <w:t xml:space="preserve">6. Future Research Directions</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Building on the research gap identified in Section 5, six concrete and practically actionable directions follow directly from the limitations found in the reviewed literature:</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1. </w:t>
      </w:r>
      <w:r>
        <w:rPr>
          <w:rFonts w:ascii="Times New Roman" w:cs="Times New Roman" w:eastAsia="Times New Roman" w:hAnsi="Times New Roman"/>
          <w:b/>
          <w:bCs/>
          <w:i w:val="false"/>
          <w:iCs w:val="false"/>
          <w:color w:val="1A1A1A"/>
          <w:sz w:val="24"/>
          <w:szCs w:val="24"/>
        </w:rPr>
        <w:t xml:space="preserve">Unified data architecture: </w:t>
      </w:r>
      <w:r>
        <w:rPr>
          <w:rFonts w:ascii="Times New Roman" w:cs="Times New Roman" w:eastAsia="Times New Roman" w:hAnsi="Times New Roman"/>
          <w:b w:val="false"/>
          <w:bCs w:val="false"/>
          <w:i w:val="false"/>
          <w:iCs w:val="false"/>
          <w:color w:val="1A1A1A"/>
          <w:sz w:val="24"/>
          <w:szCs w:val="24"/>
        </w:rPr>
        <w:t xml:space="preserve">extend Haghshenas et al.'s (2023) OPC-UA-based communication layer to carry weather feeds, maintenance-task state and forecasting outputs on one schema, so scheduling and forecasting systems (Feng et al., 2019; Liu et al., 2025) can consume each other's outputs directly rather than through manual hand-off.</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2. </w:t>
      </w:r>
      <w:r>
        <w:rPr>
          <w:rFonts w:ascii="Times New Roman" w:cs="Times New Roman" w:eastAsia="Times New Roman" w:hAnsi="Times New Roman"/>
          <w:b/>
          <w:bCs/>
          <w:i w:val="false"/>
          <w:iCs w:val="false"/>
          <w:color w:val="1A1A1A"/>
          <w:sz w:val="24"/>
          <w:szCs w:val="24"/>
        </w:rPr>
        <w:t xml:space="preserve">Security-by-design access control: </w:t>
      </w:r>
      <w:r>
        <w:rPr>
          <w:rFonts w:ascii="Times New Roman" w:cs="Times New Roman" w:eastAsia="Times New Roman" w:hAnsi="Times New Roman"/>
          <w:b w:val="false"/>
          <w:bCs w:val="false"/>
          <w:i w:val="false"/>
          <w:iCs w:val="false"/>
          <w:color w:val="1A1A1A"/>
          <w:sz w:val="24"/>
          <w:szCs w:val="24"/>
        </w:rPr>
        <w:t xml:space="preserve">operationalise Arsal et al.'s (2026) finding that most cyber-risk work is reactive by building role-based access control and audit logging into the platform's initial architecture, rather than layering it onto a working system later.</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3. </w:t>
      </w:r>
      <w:r>
        <w:rPr>
          <w:rFonts w:ascii="Times New Roman" w:cs="Times New Roman" w:eastAsia="Times New Roman" w:hAnsi="Times New Roman"/>
          <w:b/>
          <w:bCs/>
          <w:i w:val="false"/>
          <w:iCs w:val="false"/>
          <w:color w:val="1A1A1A"/>
          <w:sz w:val="24"/>
          <w:szCs w:val="24"/>
        </w:rPr>
        <w:t xml:space="preserve">Forecast-aware scheduling: </w:t>
      </w:r>
      <w:r>
        <w:rPr>
          <w:rFonts w:ascii="Times New Roman" w:cs="Times New Roman" w:eastAsia="Times New Roman" w:hAnsi="Times New Roman"/>
          <w:b w:val="false"/>
          <w:bCs w:val="false"/>
          <w:i w:val="false"/>
          <w:iCs w:val="false"/>
          <w:color w:val="1A1A1A"/>
          <w:sz w:val="24"/>
          <w:szCs w:val="24"/>
        </w:rPr>
        <w:t xml:space="preserve">extend Feng et al.'s (2019) genetic-algorithm scheduler to explicitly model the forecast error characterised by Liu et al. (2025), producing maintenance schedules robust to a stated confidence interval rather than a single point forecast.</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4. </w:t>
      </w:r>
      <w:r>
        <w:rPr>
          <w:rFonts w:ascii="Times New Roman" w:cs="Times New Roman" w:eastAsia="Times New Roman" w:hAnsi="Times New Roman"/>
          <w:b/>
          <w:bCs/>
          <w:i w:val="false"/>
          <w:iCs w:val="false"/>
          <w:color w:val="1A1A1A"/>
          <w:sz w:val="24"/>
          <w:szCs w:val="24"/>
        </w:rPr>
        <w:t xml:space="preserve">Cross-site generalisation studies: </w:t>
      </w:r>
      <w:r>
        <w:rPr>
          <w:rFonts w:ascii="Times New Roman" w:cs="Times New Roman" w:eastAsia="Times New Roman" w:hAnsi="Times New Roman"/>
          <w:b w:val="false"/>
          <w:bCs w:val="false"/>
          <w:i w:val="false"/>
          <w:iCs w:val="false"/>
          <w:color w:val="1A1A1A"/>
          <w:sz w:val="24"/>
          <w:szCs w:val="24"/>
        </w:rPr>
        <w:t xml:space="preserve">since Hsu et al.'s (2020) accuracy figures and Haghshenas et al.'s (2023) efficiency gains are each single-fleet results, future work should test whether fault-diagnosis and digital-twin models trained on one wind farm transfer to another without full retraining.</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5. </w:t>
      </w:r>
      <w:r>
        <w:rPr>
          <w:rFonts w:ascii="Times New Roman" w:cs="Times New Roman" w:eastAsia="Times New Roman" w:hAnsi="Times New Roman"/>
          <w:b/>
          <w:bCs/>
          <w:i w:val="false"/>
          <w:iCs w:val="false"/>
          <w:color w:val="1A1A1A"/>
          <w:sz w:val="24"/>
          <w:szCs w:val="24"/>
        </w:rPr>
        <w:t xml:space="preserve">Field validation beyond simulation: </w:t>
      </w:r>
      <w:r>
        <w:rPr>
          <w:rFonts w:ascii="Times New Roman" w:cs="Times New Roman" w:eastAsia="Times New Roman" w:hAnsi="Times New Roman"/>
          <w:b w:val="false"/>
          <w:bCs w:val="false"/>
          <w:i w:val="false"/>
          <w:iCs w:val="false"/>
          <w:color w:val="1A1A1A"/>
          <w:sz w:val="24"/>
          <w:szCs w:val="24"/>
        </w:rPr>
        <w:t xml:space="preserve">Andersson et al.'s (2021) largest reported gains come from simulation and wind-tunnel testing; a practical next step is a live pilot on a small operational offshore array to confirm coordinated farm-level control delivers comparable gains outside controlled conditions.</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6. </w:t>
      </w:r>
      <w:r>
        <w:rPr>
          <w:rFonts w:ascii="Times New Roman" w:cs="Times New Roman" w:eastAsia="Times New Roman" w:hAnsi="Times New Roman"/>
          <w:b/>
          <w:bCs/>
          <w:i w:val="false"/>
          <w:iCs w:val="false"/>
          <w:color w:val="1A1A1A"/>
          <w:sz w:val="24"/>
          <w:szCs w:val="24"/>
        </w:rPr>
        <w:t xml:space="preserve">Explainability for operator trust: </w:t>
      </w:r>
      <w:r>
        <w:rPr>
          <w:rFonts w:ascii="Times New Roman" w:cs="Times New Roman" w:eastAsia="Times New Roman" w:hAnsi="Times New Roman"/>
          <w:b w:val="false"/>
          <w:bCs w:val="false"/>
          <w:i w:val="false"/>
          <w:iCs w:val="false"/>
          <w:color w:val="1A1A1A"/>
          <w:sz w:val="24"/>
          <w:szCs w:val="24"/>
        </w:rPr>
        <w:t xml:space="preserve">as Liu et al. (2025) note, the most accurate forecasting models are also the least interpretable; future platform iterations should surface a confidence/explanation layer alongside predictions so operators can calibrate trust in automated alerts rather than treating them as opaque outputs.</w:t>
      </w:r>
    </w:p>
    <w:p>
      <w:pPr>
        <w:pStyle w:val="Heading1"/>
        <w:spacing w:after="160" w:before="280"/>
      </w:pPr>
      <w:r>
        <w:rPr>
          <w:rFonts w:ascii="Times New Roman" w:cs="Times New Roman" w:eastAsia="Times New Roman" w:hAnsi="Times New Roman"/>
          <w:b/>
          <w:bCs/>
          <w:i w:val="false"/>
          <w:iCs w:val="false"/>
          <w:color w:val="1F4E79"/>
          <w:sz w:val="32"/>
          <w:szCs w:val="32"/>
        </w:rPr>
        <w:t xml:space="preserve">7. Conclusion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This literature survey reviewed seven peer-reviewed papers spanning turbine condition monitoring, predictive maintenance, farm-level control, wind-power forecasting, maintenance-scheduling optimisation, digital-twin visualisation, and SCADA cyber risk — collectively covering every objective of Problem Statement 11 and the responsible-evolution emphasis of CO5. Each objective, taken alone, already has credible, published, sometimes high-accuracy solutions. The comparative analysis and critical review in Sections 3 to 5, however, show that these solutions have not yet been demonstrated as a single, integrated, security-conscious platform: data remains siloed between monitoring, forecasting and scheduling systems, security analysis lags functional development, and the strongest quantitative results are each validated on a single fleet or simulation rather than across sites. The future directions proposed in Section 6 — unified data architecture, security-by-design access control, forecast-aware scheduling, cross-site generalisation, field validation, and explainability — describe exactly the integration gap that the assigned Smart Offshore Wind Farm Management Platform is designed to close.</w:t>
      </w:r>
    </w:p>
    <w:p>
      <w:pPr>
        <w:pStyle w:val="Heading1"/>
        <w:spacing w:after="160" w:before="280"/>
      </w:pPr>
      <w:r>
        <w:rPr>
          <w:rFonts w:ascii="Times New Roman" w:cs="Times New Roman" w:eastAsia="Times New Roman" w:hAnsi="Times New Roman"/>
          <w:b/>
          <w:bCs/>
          <w:i w:val="false"/>
          <w:iCs w:val="false"/>
          <w:color w:val="1F4E79"/>
          <w:sz w:val="32"/>
          <w:szCs w:val="32"/>
        </w:rPr>
        <w:t xml:space="preserve">8. References</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The following references are listed in APA 7th edition style, alphabetically by first author.</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Andersson, L. E., Anaya-Lara, O., Tande, J. O., Merz, K. O., &amp; Imsland, L. (2021). Wind farm control—Part I: A review on control system concepts and structures. IET Renewable Power Generation, 15(9), 2085–2108. https://doi.org/10.1049/rpg2.12160</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Arsal, M., Kamel, T., Asad, H., &amp; Khan, A. (2026). A systematic review of cyber risk analysis approaches for wind power plants. Energies, 19(3), Article 677. https://doi.org/10.3390/en19030677</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Feng, J., Jia, X., Zhu, F., Yang, Q., Pan, Y., &amp; Lee, J. (2019). An intelligent system for offshore wind farm maintenance scheduling optimization considering turbine production loss. Journal of Intelligent &amp; Fuzzy Systems. Advance online publication. https://doi.org/10.3233/JIFS-190851</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Haghshenas, A., Hasan, A., Osen, O., &amp; Mikalsen, E. T. (2023). Predictive digital twin for offshore wind farms. Energy Informatics, 6(1), Article 1. https://doi.org/10.1186/s42162-023-00257-4</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Hsu, J.-Y., Wang, Y.-F., Lin, K.-C., Chen, M.-Y., &amp; Hsu, J. H.-Y. (2020). Wind turbine fault diagnosis and predictive maintenance through statistical process control and machine learning. IEEE Access, 8, 23427–23439. https://doi.org/10.1109/ACCESS.2020.2968615</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Liu, Z., Guo, H., Zhang, Y., &amp; Zuo, Z. (2025). A comprehensive review of wind power prediction based on machine learning: Models, applications, and challenges. Energies, 18(2), Article 350. https://doi.org/10.3390/en18020350</w:t>
      </w:r>
    </w:p>
    <w:p>
      <w:pPr>
        <w:spacing w:after="140" w:line="300" w:lineRule="auto"/>
        <w:ind w:left="360" w:hanging="360"/>
      </w:pPr>
      <w:r>
        <w:rPr>
          <w:rFonts w:ascii="Times New Roman" w:cs="Times New Roman" w:eastAsia="Times New Roman" w:hAnsi="Times New Roman"/>
          <w:b w:val="false"/>
          <w:bCs w:val="false"/>
          <w:i w:val="false"/>
          <w:iCs w:val="false"/>
          <w:color w:val="1A1A1A"/>
          <w:sz w:val="24"/>
          <w:szCs w:val="24"/>
        </w:rPr>
        <w:t xml:space="preserve">Maldonado-Correa, J., Martín-Martínez, S., Artigao, E., &amp; Gómez-Lázaro, E. (2020). Using SCADA data for wind turbine condition monitoring: A systematic literature review. Energies, 13(12), Article 3132.</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spacing w:after="0"/>
    </w:pPr>
    <w:r>
      <w:rPr>
        <w:rFonts w:ascii="Times New Roman" w:cs="Times New Roman" w:eastAsia="Times New Roman" w:hAnsi="Times New Roman"/>
        <w:b w:val="false"/>
        <w:bCs w:val="false"/>
        <w:i w:val="false"/>
        <w:iCs w:val="false"/>
        <w:color w:val="595959"/>
        <w:sz w:val="18"/>
        <w:szCs w:val="18"/>
      </w:rPr>
      <w:t xml:space="preserve">CSA1007 – Software Engineering</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color w:val="595959"/>
        <w:sz w:val="18"/>
        <w:szCs w:val="18"/>
      </w:rPr>
      <w:t xml:space="preserve">CO5 – Assessment Tool - 1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2026-08-26T18:30:30.896Z</dcterms:created>
  <dcterms:modified xsi:type="dcterms:W3CDTF">2026-08-26T18:30:30.910Z</dcterms:modified>
</cp:coreProperties>
</file>

<file path=docProps/custom.xml><?xml version="1.0" encoding="utf-8"?>
<Properties xmlns="http://schemas.openxmlformats.org/officeDocument/2006/custom-properties" xmlns:vt="http://schemas.openxmlformats.org/officeDocument/2006/docPropsVTypes"/>
</file>