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300" w:after="120" w:line="300" w:lineRule="auto"/>
        <w:jc w:val="center"/>
      </w:pPr>
      <w:r>
        <w:rPr>
          <w:rFonts w:ascii="Calibri" w:hAnsi="Calibri"/>
          <w:b/>
          <w:color w:val="1F4D78"/>
          <w:sz w:val="26"/>
        </w:rPr>
        <w:t>SIH26162</w:t>
      </w:r>
    </w:p>
    <w:p>
      <w:pPr>
        <w:keepNext w:val="0"/>
        <w:spacing w:before="0" w:after="200" w:line="300" w:lineRule="auto"/>
        <w:jc w:val="center"/>
      </w:pPr>
      <w:r>
        <w:rPr>
          <w:rFonts w:ascii="Calibri" w:hAnsi="Calibri"/>
          <w:b/>
          <w:color w:val="0B2545"/>
          <w:sz w:val="54"/>
        </w:rPr>
        <w:t>Thermal Event Intelligence Platform</w:t>
      </w:r>
    </w:p>
    <w:p>
      <w:pPr>
        <w:keepNext w:val="0"/>
        <w:spacing w:before="0" w:after="360" w:line="300" w:lineRule="auto"/>
        <w:jc w:val="center"/>
      </w:pPr>
      <w:r>
        <w:rPr>
          <w:rFonts w:ascii="Calibri" w:hAnsi="Calibri"/>
          <w:color w:val="2E74B5"/>
          <w:sz w:val="36"/>
        </w:rPr>
        <w:t>Implementation Recipe Book</w:t>
      </w:r>
    </w:p>
    <w:p>
      <w:pPr>
        <w:keepNext w:val="0"/>
        <w:spacing w:before="0" w:after="480" w:line="300" w:lineRule="auto"/>
        <w:jc w:val="center"/>
      </w:pPr>
      <w:r>
        <w:rPr>
          <w:rFonts w:ascii="Calibri" w:hAnsi="Calibri"/>
          <w:color w:val="5B6573"/>
          <w:sz w:val="23"/>
        </w:rPr>
        <w:t>A practical build guide for near-real-time thermal anomaly collection, geospatial fusion, AI classification, and a GIS intelligence dashboard.</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E8EEF5"/>
            <w:vAlign w:val="center"/>
          </w:tcPr>
          <w:p>
            <w:pPr>
              <w:spacing w:after="40"/>
            </w:pPr>
            <w:r>
              <w:rPr>
                <w:rFonts w:ascii="Calibri" w:hAnsi="Calibri"/>
                <w:b/>
                <w:color w:val="0B2545"/>
                <w:sz w:val="20"/>
              </w:rPr>
              <w:t xml:space="preserve">Purpose  </w:t>
            </w:r>
            <w:r>
              <w:rPr>
                <w:rFonts w:ascii="Calibri" w:hAnsi="Calibri"/>
                <w:color w:val="0B2545"/>
                <w:sz w:val="21"/>
              </w:rPr>
              <w:t>Build a demonstrable, explainable system that turns thermal detections into analyst-ready intelligence. Use automation for repeatable collection and processing; keep a controlled manual path for data gaps, review, and corrections.</w:t>
            </w:r>
          </w:p>
        </w:tc>
      </w:tr>
    </w:tbl>
    <w:p>
      <w:pPr>
        <w:spacing w:after="40"/>
      </w:pPr>
    </w:p>
    <w:tbl>
      <w:tblPr>
        <w:tblStyle w:val="TableGrid"/>
        <w:tblW w:type="dxa" w:w="9360"/>
        <w:jc w:val="left"/>
        <w:tblLayout w:type="fixed"/>
        <w:tblLook w:firstColumn="1" w:firstRow="1" w:lastColumn="0" w:lastRow="0" w:noHBand="0" w:noVBand="1" w:val="04A0"/>
        <w:tblLayout w:type="fixed"/>
        <w:tblInd w:w="120" w:type="dxa"/>
      </w:tblPr>
      <w:tblGrid>
        <w:gridCol w:w="2100"/>
        <w:gridCol w:w="7260"/>
      </w:tblGrid>
      <w:tr>
        <w:trPr>
          <w:tblHeader w:val="true"/>
        </w:trPr>
        <w:tc>
          <w:tcPr>
            <w:tcW w:type="dxa" w:w="2100"/>
            <w:tcMar>
              <w:top w:w="80" w:type="dxa"/>
              <w:start w:w="120" w:type="dxa"/>
              <w:bottom w:w="80" w:type="dxa"/>
              <w:end w:w="120" w:type="dxa"/>
            </w:tcMar>
            <w:shd w:fill="E8EEF5"/>
          </w:tcPr>
          <w:p>
            <w:pPr>
              <w:spacing w:after="0"/>
            </w:pPr>
            <w:r>
              <w:rPr>
                <w:rFonts w:ascii="Calibri" w:hAnsi="Calibri"/>
                <w:b/>
                <w:color w:val="0B2545"/>
                <w:sz w:val="18"/>
              </w:rPr>
              <w:t>Document role</w:t>
            </w:r>
          </w:p>
        </w:tc>
        <w:tc>
          <w:tcPr>
            <w:tcW w:type="dxa" w:w="7260"/>
            <w:tcMar>
              <w:top w:w="80" w:type="dxa"/>
              <w:start w:w="120" w:type="dxa"/>
              <w:bottom w:w="80" w:type="dxa"/>
              <w:end w:w="120" w:type="dxa"/>
            </w:tcMar>
            <w:shd w:fill="E8EEF5"/>
          </w:tcPr>
          <w:p>
            <w:pPr>
              <w:spacing w:after="0"/>
            </w:pPr>
            <w:r>
              <w:rPr>
                <w:rFonts w:ascii="Calibri" w:hAnsi="Calibri"/>
                <w:b/>
                <w:color w:val="0B2545"/>
                <w:sz w:val="18"/>
              </w:rPr>
              <w:t>Use it for</w:t>
            </w:r>
          </w:p>
        </w:tc>
      </w:tr>
      <w:tr>
        <w:tc>
          <w:tcPr>
            <w:tcW w:type="dxa" w:w="2100"/>
          </w:tcPr>
          <w:p>
            <w:pPr>
              <w:spacing w:after="0" w:line="269" w:lineRule="auto"/>
            </w:pPr>
            <w:r>
              <w:rPr>
                <w:rFonts w:ascii="Calibri" w:hAnsi="Calibri"/>
                <w:color w:val="202A35"/>
                <w:sz w:val="18"/>
              </w:rPr>
              <w:t>Build lead</w:t>
            </w:r>
          </w:p>
        </w:tc>
        <w:tc>
          <w:tcPr>
            <w:tcW w:type="dxa" w:w="7260"/>
          </w:tcPr>
          <w:p>
            <w:pPr>
              <w:spacing w:after="0" w:line="269" w:lineRule="auto"/>
            </w:pPr>
            <w:r>
              <w:rPr>
                <w:rFonts w:ascii="Calibri" w:hAnsi="Calibri"/>
                <w:color w:val="202A35"/>
                <w:sz w:val="18"/>
              </w:rPr>
              <w:t>Follow the implementation order and acceptance checks.</w:t>
            </w:r>
          </w:p>
        </w:tc>
      </w:tr>
      <w:tr>
        <w:tc>
          <w:tcPr>
            <w:tcW w:type="dxa" w:w="2100"/>
          </w:tcPr>
          <w:p>
            <w:pPr>
              <w:spacing w:after="0" w:line="269" w:lineRule="auto"/>
            </w:pPr>
            <w:r>
              <w:rPr>
                <w:rFonts w:ascii="Calibri" w:hAnsi="Calibri"/>
                <w:color w:val="202A35"/>
                <w:sz w:val="18"/>
              </w:rPr>
              <w:t>Data/GIS team</w:t>
            </w:r>
          </w:p>
        </w:tc>
        <w:tc>
          <w:tcPr>
            <w:tcW w:type="dxa" w:w="7260"/>
          </w:tcPr>
          <w:p>
            <w:pPr>
              <w:spacing w:after="0" w:line="269" w:lineRule="auto"/>
            </w:pPr>
            <w:r>
              <w:rPr>
                <w:rFonts w:ascii="Calibri" w:hAnsi="Calibri"/>
                <w:color w:val="202A35"/>
                <w:sz w:val="18"/>
              </w:rPr>
              <w:t>Configure sources, data contracts, spatial layers, and provenance.</w:t>
            </w:r>
          </w:p>
        </w:tc>
      </w:tr>
      <w:tr>
        <w:tc>
          <w:tcPr>
            <w:tcW w:type="dxa" w:w="2100"/>
          </w:tcPr>
          <w:p>
            <w:pPr>
              <w:spacing w:after="0" w:line="269" w:lineRule="auto"/>
            </w:pPr>
            <w:r>
              <w:rPr>
                <w:rFonts w:ascii="Calibri" w:hAnsi="Calibri"/>
                <w:color w:val="202A35"/>
                <w:sz w:val="18"/>
              </w:rPr>
              <w:t>ML team</w:t>
            </w:r>
          </w:p>
        </w:tc>
        <w:tc>
          <w:tcPr>
            <w:tcW w:type="dxa" w:w="7260"/>
          </w:tcPr>
          <w:p>
            <w:pPr>
              <w:spacing w:after="0" w:line="269" w:lineRule="auto"/>
            </w:pPr>
            <w:r>
              <w:rPr>
                <w:rFonts w:ascii="Calibri" w:hAnsi="Calibri"/>
                <w:color w:val="202A35"/>
                <w:sz w:val="18"/>
              </w:rPr>
              <w:t>Prepare labels, train models, evaluate results, and register releases.</w:t>
            </w:r>
          </w:p>
        </w:tc>
      </w:tr>
      <w:tr>
        <w:tc>
          <w:tcPr>
            <w:tcW w:type="dxa" w:w="2100"/>
          </w:tcPr>
          <w:p>
            <w:pPr>
              <w:spacing w:after="0" w:line="269" w:lineRule="auto"/>
            </w:pPr>
            <w:r>
              <w:rPr>
                <w:rFonts w:ascii="Calibri" w:hAnsi="Calibri"/>
                <w:color w:val="202A35"/>
                <w:sz w:val="18"/>
              </w:rPr>
              <w:t>UI/API team</w:t>
            </w:r>
          </w:p>
        </w:tc>
        <w:tc>
          <w:tcPr>
            <w:tcW w:type="dxa" w:w="7260"/>
          </w:tcPr>
          <w:p>
            <w:pPr>
              <w:spacing w:after="0" w:line="269" w:lineRule="auto"/>
            </w:pPr>
            <w:r>
              <w:rPr>
                <w:rFonts w:ascii="Calibri" w:hAnsi="Calibri"/>
                <w:color w:val="202A35"/>
                <w:sz w:val="18"/>
              </w:rPr>
              <w:t>Expose the results as maps, filters, event details, analytics, and alerts.</w:t>
            </w:r>
          </w:p>
        </w:tc>
      </w:tr>
      <w:tr>
        <w:tc>
          <w:tcPr>
            <w:tcW w:type="dxa" w:w="2100"/>
          </w:tcPr>
          <w:p>
            <w:pPr>
              <w:spacing w:after="0" w:line="269" w:lineRule="auto"/>
            </w:pPr>
            <w:r>
              <w:rPr>
                <w:rFonts w:ascii="Calibri" w:hAnsi="Calibri"/>
                <w:color w:val="202A35"/>
                <w:sz w:val="18"/>
              </w:rPr>
              <w:t>Analyst/reviewer</w:t>
            </w:r>
          </w:p>
        </w:tc>
        <w:tc>
          <w:tcPr>
            <w:tcW w:type="dxa" w:w="7260"/>
          </w:tcPr>
          <w:p>
            <w:pPr>
              <w:spacing w:after="0" w:line="269" w:lineRule="auto"/>
            </w:pPr>
            <w:r>
              <w:rPr>
                <w:rFonts w:ascii="Calibri" w:hAnsi="Calibri"/>
                <w:color w:val="202A35"/>
                <w:sz w:val="18"/>
              </w:rPr>
              <w:t>Validate uncertain events and record manual overrides.</w:t>
            </w:r>
          </w:p>
        </w:tc>
      </w:tr>
    </w:tbl>
    <w:p>
      <w:pPr>
        <w:spacing w:after="40"/>
      </w:pPr>
    </w:p>
    <w:p>
      <w:r>
        <w:br w:type="page"/>
      </w:r>
    </w:p>
    <w:p>
      <w:pPr>
        <w:pStyle w:val="Heading1"/>
        <w:keepNext/>
        <w:spacing w:before="360" w:after="200" w:line="300" w:lineRule="auto"/>
      </w:pPr>
      <w:r>
        <w:rPr>
          <w:rFonts w:ascii="Calibri" w:hAnsi="Calibri"/>
          <w:sz w:val="22"/>
        </w:rPr>
        <w:t>How to Use This Guide</w:t>
      </w:r>
    </w:p>
    <w:p>
      <w:pPr>
        <w:keepNext w:val="0"/>
        <w:spacing w:before="0" w:after="120" w:line="300" w:lineRule="auto"/>
      </w:pPr>
      <w:r>
        <w:rPr>
          <w:rFonts w:ascii="Calibri" w:hAnsi="Calibri"/>
          <w:sz w:val="22"/>
        </w:rPr>
        <w:t>This guide is deliberately procedural. Each recipe says what to build, who owns it, why it exists, how it works, what to store, and what to do if the automated path is unavailable.</w:t>
      </w:r>
    </w:p>
    <w:tbl>
      <w:tblPr>
        <w:tblStyle w:val="TableGrid"/>
        <w:tblW w:type="dxa" w:w="9360"/>
        <w:jc w:val="left"/>
        <w:tblLayout w:type="fixed"/>
        <w:tblLook w:firstColumn="1" w:firstRow="1" w:lastColumn="0" w:lastRow="0" w:noHBand="0" w:noVBand="1" w:val="04A0"/>
        <w:tblLayout w:type="fixed"/>
        <w:tblInd w:w="120" w:type="dxa"/>
      </w:tblPr>
      <w:tblGrid>
        <w:gridCol w:w="1450"/>
        <w:gridCol w:w="2050"/>
        <w:gridCol w:w="5860"/>
      </w:tblGrid>
      <w:tr>
        <w:trPr>
          <w:tblHeader w:val="true"/>
        </w:trPr>
        <w:tc>
          <w:tcPr>
            <w:tcW w:type="dxa" w:w="1450"/>
            <w:tcMar>
              <w:top w:w="80" w:type="dxa"/>
              <w:start w:w="120" w:type="dxa"/>
              <w:bottom w:w="80" w:type="dxa"/>
              <w:end w:w="120" w:type="dxa"/>
            </w:tcMar>
            <w:shd w:fill="E8EEF5"/>
          </w:tcPr>
          <w:p>
            <w:pPr>
              <w:spacing w:after="0"/>
            </w:pPr>
            <w:r>
              <w:rPr>
                <w:rFonts w:ascii="Calibri" w:hAnsi="Calibri"/>
                <w:b/>
                <w:color w:val="0B2545"/>
                <w:sz w:val="18"/>
              </w:rPr>
              <w:t>Marker</w:t>
            </w:r>
          </w:p>
        </w:tc>
        <w:tc>
          <w:tcPr>
            <w:tcW w:type="dxa" w:w="2050"/>
            <w:tcMar>
              <w:top w:w="80" w:type="dxa"/>
              <w:start w:w="120" w:type="dxa"/>
              <w:bottom w:w="80" w:type="dxa"/>
              <w:end w:w="120" w:type="dxa"/>
            </w:tcMar>
            <w:shd w:fill="E8EEF5"/>
          </w:tcPr>
          <w:p>
            <w:pPr>
              <w:spacing w:after="0"/>
            </w:pPr>
            <w:r>
              <w:rPr>
                <w:rFonts w:ascii="Calibri" w:hAnsi="Calibri"/>
                <w:b/>
                <w:color w:val="0B2545"/>
                <w:sz w:val="18"/>
              </w:rPr>
              <w:t>Meaning</w:t>
            </w:r>
          </w:p>
        </w:tc>
        <w:tc>
          <w:tcPr>
            <w:tcW w:type="dxa" w:w="5860"/>
            <w:tcMar>
              <w:top w:w="80" w:type="dxa"/>
              <w:start w:w="120" w:type="dxa"/>
              <w:bottom w:w="80" w:type="dxa"/>
              <w:end w:w="120" w:type="dxa"/>
            </w:tcMar>
            <w:shd w:fill="E8EEF5"/>
          </w:tcPr>
          <w:p>
            <w:pPr>
              <w:spacing w:after="0"/>
            </w:pPr>
            <w:r>
              <w:rPr>
                <w:rFonts w:ascii="Calibri" w:hAnsi="Calibri"/>
                <w:b/>
                <w:color w:val="0B2545"/>
                <w:sz w:val="18"/>
              </w:rPr>
              <w:t>Required behavior</w:t>
            </w:r>
          </w:p>
        </w:tc>
      </w:tr>
      <w:tr>
        <w:tc>
          <w:tcPr>
            <w:tcW w:type="dxa" w:w="1450"/>
          </w:tcPr>
          <w:p>
            <w:pPr>
              <w:spacing w:after="0" w:line="269" w:lineRule="auto"/>
            </w:pPr>
            <w:r>
              <w:rPr>
                <w:rFonts w:ascii="Calibri" w:hAnsi="Calibri"/>
                <w:color w:val="202A35"/>
                <w:sz w:val="18"/>
              </w:rPr>
              <w:t>AUTOMATED</w:t>
            </w:r>
          </w:p>
        </w:tc>
        <w:tc>
          <w:tcPr>
            <w:tcW w:type="dxa" w:w="2050"/>
          </w:tcPr>
          <w:p>
            <w:pPr>
              <w:spacing w:after="0" w:line="269" w:lineRule="auto"/>
            </w:pPr>
            <w:r>
              <w:rPr>
                <w:rFonts w:ascii="Calibri" w:hAnsi="Calibri"/>
                <w:color w:val="202A35"/>
                <w:sz w:val="18"/>
              </w:rPr>
              <w:t>A scheduler, worker, API, or model performs the task.</w:t>
            </w:r>
          </w:p>
        </w:tc>
        <w:tc>
          <w:tcPr>
            <w:tcW w:type="dxa" w:w="5860"/>
          </w:tcPr>
          <w:p>
            <w:pPr>
              <w:spacing w:after="0" w:line="269" w:lineRule="auto"/>
            </w:pPr>
            <w:r>
              <w:rPr>
                <w:rFonts w:ascii="Calibri" w:hAnsi="Calibri"/>
                <w:color w:val="202A35"/>
                <w:sz w:val="18"/>
              </w:rPr>
              <w:t>Log every run and make it retry-safe.</w:t>
            </w:r>
          </w:p>
        </w:tc>
      </w:tr>
      <w:tr>
        <w:tc>
          <w:tcPr>
            <w:tcW w:type="dxa" w:w="1450"/>
          </w:tcPr>
          <w:p>
            <w:pPr>
              <w:spacing w:after="0" w:line="269" w:lineRule="auto"/>
            </w:pPr>
            <w:r>
              <w:rPr>
                <w:rFonts w:ascii="Calibri" w:hAnsi="Calibri"/>
                <w:color w:val="202A35"/>
                <w:sz w:val="18"/>
              </w:rPr>
              <w:t>MANUAL</w:t>
            </w:r>
          </w:p>
        </w:tc>
        <w:tc>
          <w:tcPr>
            <w:tcW w:type="dxa" w:w="2050"/>
          </w:tcPr>
          <w:p>
            <w:pPr>
              <w:spacing w:after="0" w:line="269" w:lineRule="auto"/>
            </w:pPr>
            <w:r>
              <w:rPr>
                <w:rFonts w:ascii="Calibri" w:hAnsi="Calibri"/>
                <w:color w:val="202A35"/>
                <w:sz w:val="18"/>
              </w:rPr>
              <w:t>A human collects, verifies, approves, or changes data.</w:t>
            </w:r>
          </w:p>
        </w:tc>
        <w:tc>
          <w:tcPr>
            <w:tcW w:type="dxa" w:w="5860"/>
          </w:tcPr>
          <w:p>
            <w:pPr>
              <w:spacing w:after="0" w:line="269" w:lineRule="auto"/>
            </w:pPr>
            <w:r>
              <w:rPr>
                <w:rFonts w:ascii="Calibri" w:hAnsi="Calibri"/>
                <w:color w:val="202A35"/>
                <w:sz w:val="18"/>
              </w:rPr>
              <w:t>Use a form/checklist and preserve the reason.</w:t>
            </w:r>
          </w:p>
        </w:tc>
      </w:tr>
      <w:tr>
        <w:tc>
          <w:tcPr>
            <w:tcW w:type="dxa" w:w="1450"/>
          </w:tcPr>
          <w:p>
            <w:pPr>
              <w:spacing w:after="0" w:line="269" w:lineRule="auto"/>
            </w:pPr>
            <w:r>
              <w:rPr>
                <w:rFonts w:ascii="Calibri" w:hAnsi="Calibri"/>
                <w:color w:val="202A35"/>
                <w:sz w:val="18"/>
              </w:rPr>
              <w:t>OVERRIDE</w:t>
            </w:r>
          </w:p>
        </w:tc>
        <w:tc>
          <w:tcPr>
            <w:tcW w:type="dxa" w:w="2050"/>
          </w:tcPr>
          <w:p>
            <w:pPr>
              <w:spacing w:after="0" w:line="269" w:lineRule="auto"/>
            </w:pPr>
            <w:r>
              <w:rPr>
                <w:rFonts w:ascii="Calibri" w:hAnsi="Calibri"/>
                <w:color w:val="202A35"/>
                <w:sz w:val="18"/>
              </w:rPr>
              <w:t>A human correction takes precedence over an automated output.</w:t>
            </w:r>
          </w:p>
        </w:tc>
        <w:tc>
          <w:tcPr>
            <w:tcW w:type="dxa" w:w="5860"/>
          </w:tcPr>
          <w:p>
            <w:pPr>
              <w:spacing w:after="0" w:line="269" w:lineRule="auto"/>
            </w:pPr>
            <w:r>
              <w:rPr>
                <w:rFonts w:ascii="Calibri" w:hAnsi="Calibri"/>
                <w:color w:val="202A35"/>
                <w:sz w:val="18"/>
              </w:rPr>
              <w:t>Never erase the original output; version the decision.</w:t>
            </w:r>
          </w:p>
        </w:tc>
      </w:tr>
      <w:tr>
        <w:tc>
          <w:tcPr>
            <w:tcW w:type="dxa" w:w="1450"/>
          </w:tcPr>
          <w:p>
            <w:pPr>
              <w:spacing w:after="0" w:line="269" w:lineRule="auto"/>
            </w:pPr>
            <w:r>
              <w:rPr>
                <w:rFonts w:ascii="Calibri" w:hAnsi="Calibri"/>
                <w:color w:val="202A35"/>
                <w:sz w:val="18"/>
              </w:rPr>
              <w:t>CHECK</w:t>
            </w:r>
          </w:p>
        </w:tc>
        <w:tc>
          <w:tcPr>
            <w:tcW w:type="dxa" w:w="2050"/>
          </w:tcPr>
          <w:p>
            <w:pPr>
              <w:spacing w:after="0" w:line="269" w:lineRule="auto"/>
            </w:pPr>
            <w:r>
              <w:rPr>
                <w:rFonts w:ascii="Calibri" w:hAnsi="Calibri"/>
                <w:color w:val="202A35"/>
                <w:sz w:val="18"/>
              </w:rPr>
              <w:t>An acceptance or quality gate.</w:t>
            </w:r>
          </w:p>
        </w:tc>
        <w:tc>
          <w:tcPr>
            <w:tcW w:type="dxa" w:w="5860"/>
          </w:tcPr>
          <w:p>
            <w:pPr>
              <w:spacing w:after="0" w:line="269" w:lineRule="auto"/>
            </w:pPr>
            <w:r>
              <w:rPr>
                <w:rFonts w:ascii="Calibri" w:hAnsi="Calibri"/>
                <w:color w:val="202A35"/>
                <w:sz w:val="18"/>
              </w:rPr>
              <w:t>Do not promote data/model/deployment until it passes.</w:t>
            </w:r>
          </w:p>
        </w:tc>
      </w:tr>
    </w:tbl>
    <w:p>
      <w:pPr>
        <w:spacing w:after="40"/>
      </w:pPr>
    </w:p>
    <w:p>
      <w:pPr>
        <w:pStyle w:val="Heading1"/>
        <w:keepNext/>
        <w:spacing w:before="360" w:after="200" w:line="300" w:lineRule="auto"/>
      </w:pPr>
      <w:r>
        <w:rPr>
          <w:rFonts w:ascii="Calibri" w:hAnsi="Calibri"/>
          <w:sz w:val="22"/>
        </w:rPr>
        <w:t>Final Recommended Architecture</w:t>
      </w:r>
    </w:p>
    <w:p>
      <w:pPr>
        <w:keepNext w:val="0"/>
        <w:spacing w:before="0" w:after="120" w:line="300" w:lineRule="auto"/>
      </w:pPr>
      <w:r>
        <w:rPr>
          <w:rFonts w:ascii="Calibri" w:hAnsi="Calibri"/>
          <w:sz w:val="22"/>
        </w:rPr>
        <w:t>Use a modular, event-driven pipeline. NASA FIRMS is the trigger. OSM, Bhuvan/ISRO, government GIS, and imagery are evidence sources. PostgreSQL + PostGIS is the operational source of truth. Object storage holds raw files and imagery. A backend serves a web GIS dashboard.</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 xml:space="preserve">                         STAGE 1: ACQUIRE + FUSE</w:t>
              <w:br/>
              <w:t xml:space="preserve">  FIRMS poller ----&gt; event queue ----&gt; enrichment workers ----&gt; PostGIS</w:t>
              <w:br/>
              <w:t xml:space="preserve">       |                   |                 |                   |</w:t>
              <w:br/>
              <w:t xml:space="preserve">       |                   |       +---------+---------+         |</w:t>
              <w:br/>
              <w:t xml:space="preserve">       |                   |       | OSM | Bhuvan | Govt GIS |    |</w:t>
              <w:br/>
              <w:t xml:space="preserve">       |                   |       +---------+---------+         |</w:t>
              <w:br/>
              <w:t xml:space="preserve">       |                   |                 |                   |</w:t>
              <w:br/>
              <w:t xml:space="preserve">       +------ raw archive +-----------------+------ provenance -+</w:t>
              <w:br/>
              <w:br/>
              <w:t xml:space="preserve">                         STAGE 2: ANALYZE</w:t>
              <w:br/>
              <w:t xml:space="preserve">  historical snapshots --&gt; feature pipeline --&gt; model registry --&gt; inference</w:t>
              <w:br/>
              <w:t xml:space="preserve">                                                     |               |</w:t>
              <w:br/>
              <w:t xml:space="preserve">                                                     +--&gt; explanation + persistence</w:t>
              <w:br/>
              <w:br/>
              <w:t xml:space="preserve">                         STAGE 3: DELIVER</w:t>
              <w:br/>
              <w:t xml:space="preserve">  PostGIS + predictions --&gt; API --&gt; GIS dashboard / filters / alerts / analyst review</w:t>
            </w:r>
          </w:p>
        </w:tc>
      </w:tr>
    </w:tbl>
    <w:p>
      <w:pPr>
        <w:spacing w:after="40"/>
      </w:pP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FF8E8"/>
            <w:vAlign w:val="center"/>
          </w:tcPr>
          <w:p>
            <w:pPr>
              <w:spacing w:after="40"/>
            </w:pPr>
            <w:r>
              <w:rPr>
                <w:rFonts w:ascii="Calibri" w:hAnsi="Calibri"/>
                <w:b/>
                <w:color w:val="7A5A00"/>
                <w:sz w:val="20"/>
              </w:rPr>
              <w:t xml:space="preserve">Architecture decision  </w:t>
            </w:r>
            <w:r>
              <w:rPr>
                <w:rFonts w:ascii="Calibri" w:hAnsi="Calibri"/>
                <w:color w:val="0B2545"/>
                <w:sz w:val="21"/>
              </w:rPr>
              <w:t>IILB/NCoG is a national reference and validation layer, not a hard real-time API dependency. Prefer official downloadable data and state GIS services where programmatic access exists; maintain a dated local snapshot and a manual import route.</w:t>
            </w:r>
          </w:p>
        </w:tc>
      </w:tr>
    </w:tbl>
    <w:p>
      <w:pPr>
        <w:spacing w:after="40"/>
      </w:pPr>
    </w:p>
    <w:p>
      <w:pPr>
        <w:pStyle w:val="Heading2"/>
        <w:keepNext/>
        <w:spacing w:before="280" w:after="140" w:line="300" w:lineRule="auto"/>
      </w:pPr>
      <w:r>
        <w:rPr>
          <w:rFonts w:ascii="Calibri" w:hAnsi="Calibri"/>
          <w:sz w:val="22"/>
        </w:rPr>
        <w:t>Responsibilities and Build Boundaries</w:t>
      </w:r>
    </w:p>
    <w:tbl>
      <w:tblPr>
        <w:tblStyle w:val="TableGrid"/>
        <w:tblW w:type="dxa" w:w="9360"/>
        <w:jc w:val="left"/>
        <w:tblLayout w:type="fixed"/>
        <w:tblLook w:firstColumn="1" w:firstRow="1" w:lastColumn="0" w:lastRow="0" w:noHBand="0" w:noVBand="1" w:val="04A0"/>
        <w:tblLayout w:type="fixed"/>
        <w:tblInd w:w="120" w:type="dxa"/>
      </w:tblPr>
      <w:tblGrid>
        <w:gridCol w:w="2100"/>
        <w:gridCol w:w="2450"/>
        <w:gridCol w:w="4810"/>
      </w:tblGrid>
      <w:tr>
        <w:trPr>
          <w:tblHeader w:val="true"/>
        </w:trPr>
        <w:tc>
          <w:tcPr>
            <w:tcW w:type="dxa" w:w="2100"/>
            <w:tcMar>
              <w:top w:w="80" w:type="dxa"/>
              <w:start w:w="120" w:type="dxa"/>
              <w:bottom w:w="80" w:type="dxa"/>
              <w:end w:w="120" w:type="dxa"/>
            </w:tcMar>
            <w:shd w:fill="E8EEF5"/>
          </w:tcPr>
          <w:p>
            <w:pPr>
              <w:spacing w:after="0"/>
            </w:pPr>
            <w:r>
              <w:rPr>
                <w:rFonts w:ascii="Calibri" w:hAnsi="Calibri"/>
                <w:b/>
                <w:color w:val="0B2545"/>
                <w:sz w:val="18"/>
              </w:rPr>
              <w:t>Component</w:t>
            </w:r>
          </w:p>
        </w:tc>
        <w:tc>
          <w:tcPr>
            <w:tcW w:type="dxa" w:w="2450"/>
            <w:tcMar>
              <w:top w:w="80" w:type="dxa"/>
              <w:start w:w="120" w:type="dxa"/>
              <w:bottom w:w="80" w:type="dxa"/>
              <w:end w:w="120" w:type="dxa"/>
            </w:tcMar>
            <w:shd w:fill="E8EEF5"/>
          </w:tcPr>
          <w:p>
            <w:pPr>
              <w:spacing w:after="0"/>
            </w:pPr>
            <w:r>
              <w:rPr>
                <w:rFonts w:ascii="Calibri" w:hAnsi="Calibri"/>
                <w:b/>
                <w:color w:val="0B2545"/>
                <w:sz w:val="18"/>
              </w:rPr>
              <w:t>Primary owner</w:t>
            </w:r>
          </w:p>
        </w:tc>
        <w:tc>
          <w:tcPr>
            <w:tcW w:type="dxa" w:w="4810"/>
            <w:tcMar>
              <w:top w:w="80" w:type="dxa"/>
              <w:start w:w="120" w:type="dxa"/>
              <w:bottom w:w="80" w:type="dxa"/>
              <w:end w:w="120" w:type="dxa"/>
            </w:tcMar>
            <w:shd w:fill="E8EEF5"/>
          </w:tcPr>
          <w:p>
            <w:pPr>
              <w:spacing w:after="0"/>
            </w:pPr>
            <w:r>
              <w:rPr>
                <w:rFonts w:ascii="Calibri" w:hAnsi="Calibri"/>
                <w:b/>
                <w:color w:val="0B2545"/>
                <w:sz w:val="18"/>
              </w:rPr>
              <w:t>What they deliver</w:t>
            </w:r>
          </w:p>
        </w:tc>
      </w:tr>
      <w:tr>
        <w:tc>
          <w:tcPr>
            <w:tcW w:type="dxa" w:w="2100"/>
          </w:tcPr>
          <w:p>
            <w:pPr>
              <w:spacing w:after="0" w:line="269" w:lineRule="auto"/>
            </w:pPr>
            <w:r>
              <w:rPr>
                <w:rFonts w:ascii="Calibri" w:hAnsi="Calibri"/>
                <w:color w:val="202A35"/>
                <w:sz w:val="18"/>
              </w:rPr>
              <w:t>Platform/DevOps</w:t>
            </w:r>
          </w:p>
        </w:tc>
        <w:tc>
          <w:tcPr>
            <w:tcW w:type="dxa" w:w="2450"/>
          </w:tcPr>
          <w:p>
            <w:pPr>
              <w:spacing w:after="0" w:line="269" w:lineRule="auto"/>
            </w:pPr>
            <w:r>
              <w:rPr>
                <w:rFonts w:ascii="Calibri" w:hAnsi="Calibri"/>
                <w:color w:val="202A35"/>
                <w:sz w:val="18"/>
              </w:rPr>
              <w:t>Platform engineer</w:t>
            </w:r>
          </w:p>
        </w:tc>
        <w:tc>
          <w:tcPr>
            <w:tcW w:type="dxa" w:w="4810"/>
          </w:tcPr>
          <w:p>
            <w:pPr>
              <w:spacing w:after="0" w:line="269" w:lineRule="auto"/>
            </w:pPr>
            <w:r>
              <w:rPr>
                <w:rFonts w:ascii="Calibri" w:hAnsi="Calibri"/>
                <w:color w:val="202A35"/>
                <w:sz w:val="18"/>
              </w:rPr>
              <w:t>Secrets, databases, queues, storage, deployment, monitoring.</w:t>
            </w:r>
          </w:p>
        </w:tc>
      </w:tr>
      <w:tr>
        <w:tc>
          <w:tcPr>
            <w:tcW w:type="dxa" w:w="2100"/>
          </w:tcPr>
          <w:p>
            <w:pPr>
              <w:spacing w:after="0" w:line="269" w:lineRule="auto"/>
            </w:pPr>
            <w:r>
              <w:rPr>
                <w:rFonts w:ascii="Calibri" w:hAnsi="Calibri"/>
                <w:color w:val="202A35"/>
                <w:sz w:val="18"/>
              </w:rPr>
              <w:t>Stage 1</w:t>
            </w:r>
          </w:p>
        </w:tc>
        <w:tc>
          <w:tcPr>
            <w:tcW w:type="dxa" w:w="2450"/>
          </w:tcPr>
          <w:p>
            <w:pPr>
              <w:spacing w:after="0" w:line="269" w:lineRule="auto"/>
            </w:pPr>
            <w:r>
              <w:rPr>
                <w:rFonts w:ascii="Calibri" w:hAnsi="Calibri"/>
                <w:color w:val="202A35"/>
                <w:sz w:val="18"/>
              </w:rPr>
              <w:t>Data/GIS engineer</w:t>
            </w:r>
          </w:p>
        </w:tc>
        <w:tc>
          <w:tcPr>
            <w:tcW w:type="dxa" w:w="4810"/>
          </w:tcPr>
          <w:p>
            <w:pPr>
              <w:spacing w:after="0" w:line="269" w:lineRule="auto"/>
            </w:pPr>
            <w:r>
              <w:rPr>
                <w:rFonts w:ascii="Calibri" w:hAnsi="Calibri"/>
                <w:color w:val="202A35"/>
                <w:sz w:val="18"/>
              </w:rPr>
              <w:t>Collectors, adapters, normalization, raw archive, spatial enrichment.</w:t>
            </w:r>
          </w:p>
        </w:tc>
      </w:tr>
      <w:tr>
        <w:tc>
          <w:tcPr>
            <w:tcW w:type="dxa" w:w="2100"/>
          </w:tcPr>
          <w:p>
            <w:pPr>
              <w:spacing w:after="0" w:line="269" w:lineRule="auto"/>
            </w:pPr>
            <w:r>
              <w:rPr>
                <w:rFonts w:ascii="Calibri" w:hAnsi="Calibri"/>
                <w:color w:val="202A35"/>
                <w:sz w:val="18"/>
              </w:rPr>
              <w:t>Stage 2</w:t>
            </w:r>
          </w:p>
        </w:tc>
        <w:tc>
          <w:tcPr>
            <w:tcW w:type="dxa" w:w="2450"/>
          </w:tcPr>
          <w:p>
            <w:pPr>
              <w:spacing w:after="0" w:line="269" w:lineRule="auto"/>
            </w:pPr>
            <w:r>
              <w:rPr>
                <w:rFonts w:ascii="Calibri" w:hAnsi="Calibri"/>
                <w:color w:val="202A35"/>
                <w:sz w:val="18"/>
              </w:rPr>
              <w:t>Data scientist + GIS engineer</w:t>
            </w:r>
          </w:p>
        </w:tc>
        <w:tc>
          <w:tcPr>
            <w:tcW w:type="dxa" w:w="4810"/>
          </w:tcPr>
          <w:p>
            <w:pPr>
              <w:spacing w:after="0" w:line="269" w:lineRule="auto"/>
            </w:pPr>
            <w:r>
              <w:rPr>
                <w:rFonts w:ascii="Calibri" w:hAnsi="Calibri"/>
                <w:color w:val="202A35"/>
                <w:sz w:val="18"/>
              </w:rPr>
              <w:t>Labels, reproducible features, trained model, evaluation and explanation.</w:t>
            </w:r>
          </w:p>
        </w:tc>
      </w:tr>
      <w:tr>
        <w:tc>
          <w:tcPr>
            <w:tcW w:type="dxa" w:w="2100"/>
          </w:tcPr>
          <w:p>
            <w:pPr>
              <w:spacing w:after="0" w:line="269" w:lineRule="auto"/>
            </w:pPr>
            <w:r>
              <w:rPr>
                <w:rFonts w:ascii="Calibri" w:hAnsi="Calibri"/>
                <w:color w:val="202A35"/>
                <w:sz w:val="18"/>
              </w:rPr>
              <w:t>Stage 3</w:t>
            </w:r>
          </w:p>
        </w:tc>
        <w:tc>
          <w:tcPr>
            <w:tcW w:type="dxa" w:w="2450"/>
          </w:tcPr>
          <w:p>
            <w:pPr>
              <w:spacing w:after="0" w:line="269" w:lineRule="auto"/>
            </w:pPr>
            <w:r>
              <w:rPr>
                <w:rFonts w:ascii="Calibri" w:hAnsi="Calibri"/>
                <w:color w:val="202A35"/>
                <w:sz w:val="18"/>
              </w:rPr>
              <w:t>Backend + frontend engineer</w:t>
            </w:r>
          </w:p>
        </w:tc>
        <w:tc>
          <w:tcPr>
            <w:tcW w:type="dxa" w:w="4810"/>
          </w:tcPr>
          <w:p>
            <w:pPr>
              <w:spacing w:after="0" w:line="269" w:lineRule="auto"/>
            </w:pPr>
            <w:r>
              <w:rPr>
                <w:rFonts w:ascii="Calibri" w:hAnsi="Calibri"/>
                <w:color w:val="202A35"/>
                <w:sz w:val="18"/>
              </w:rPr>
              <w:t>Secure APIs, map/dashboard, alerting and reviewer workflow.</w:t>
            </w:r>
          </w:p>
        </w:tc>
      </w:tr>
      <w:tr>
        <w:tc>
          <w:tcPr>
            <w:tcW w:type="dxa" w:w="2100"/>
          </w:tcPr>
          <w:p>
            <w:pPr>
              <w:spacing w:after="0" w:line="269" w:lineRule="auto"/>
            </w:pPr>
            <w:r>
              <w:rPr>
                <w:rFonts w:ascii="Calibri" w:hAnsi="Calibri"/>
                <w:color w:val="202A35"/>
                <w:sz w:val="18"/>
              </w:rPr>
              <w:t>Operations</w:t>
            </w:r>
          </w:p>
        </w:tc>
        <w:tc>
          <w:tcPr>
            <w:tcW w:type="dxa" w:w="2450"/>
          </w:tcPr>
          <w:p>
            <w:pPr>
              <w:spacing w:after="0" w:line="269" w:lineRule="auto"/>
            </w:pPr>
            <w:r>
              <w:rPr>
                <w:rFonts w:ascii="Calibri" w:hAnsi="Calibri"/>
                <w:color w:val="202A35"/>
                <w:sz w:val="18"/>
              </w:rPr>
              <w:t>Analyst/data steward</w:t>
            </w:r>
          </w:p>
        </w:tc>
        <w:tc>
          <w:tcPr>
            <w:tcW w:type="dxa" w:w="4810"/>
          </w:tcPr>
          <w:p>
            <w:pPr>
              <w:spacing w:after="0" w:line="269" w:lineRule="auto"/>
            </w:pPr>
            <w:r>
              <w:rPr>
                <w:rFonts w:ascii="Calibri" w:hAnsi="Calibri"/>
                <w:color w:val="202A35"/>
                <w:sz w:val="18"/>
              </w:rPr>
              <w:t>Layer imports, review queues, override decisions, source health sign-off.</w:t>
            </w:r>
          </w:p>
        </w:tc>
      </w:tr>
    </w:tbl>
    <w:p>
      <w:pPr>
        <w:spacing w:after="40"/>
      </w:pPr>
    </w:p>
    <w:p>
      <w:pPr>
        <w:pStyle w:val="Heading1"/>
        <w:keepNext/>
        <w:spacing w:before="360" w:after="200" w:line="300" w:lineRule="auto"/>
      </w:pPr>
      <w:r>
        <w:rPr>
          <w:rFonts w:ascii="Calibri" w:hAnsi="Calibri"/>
          <w:sz w:val="22"/>
        </w:rPr>
        <w:t>Implementation Order: The Build Sequence</w:t>
      </w:r>
    </w:p>
    <w:p>
      <w:pPr>
        <w:pStyle w:val="ListNumber"/>
        <w:spacing w:after="80" w:line="300" w:lineRule="auto"/>
      </w:pPr>
      <w:r>
        <w:rPr>
          <w:rFonts w:ascii="Calibri" w:hAnsi="Calibri"/>
          <w:sz w:val="22"/>
        </w:rPr>
        <w:t>Create the shared foundation: repository, configuration, PostgreSQL + PostGIS, object storage, task queue, and environment separation.</w:t>
      </w:r>
    </w:p>
    <w:p>
      <w:pPr>
        <w:pStyle w:val="ListNumber"/>
        <w:spacing w:after="80" w:line="300" w:lineRule="auto"/>
      </w:pPr>
      <w:r>
        <w:rPr>
          <w:rFonts w:ascii="Calibri" w:hAnsi="Calibri"/>
          <w:sz w:val="22"/>
        </w:rPr>
        <w:t>Implement FIRMS ingestion first; store raw payloads and deduplicate events before adding any enrichment.</w:t>
      </w:r>
    </w:p>
    <w:p>
      <w:pPr>
        <w:pStyle w:val="ListNumber"/>
        <w:spacing w:after="80" w:line="300" w:lineRule="auto"/>
      </w:pPr>
      <w:r>
        <w:rPr>
          <w:rFonts w:ascii="Calibri" w:hAnsi="Calibri"/>
          <w:sz w:val="22"/>
        </w:rPr>
        <w:t>Load baseline contextual layers (OSM, Bhuvan/ISRO, government GIS snapshots) and prove spatial queries in PostGIS.</w:t>
      </w:r>
    </w:p>
    <w:p>
      <w:pPr>
        <w:pStyle w:val="ListNumber"/>
        <w:spacing w:after="80" w:line="300" w:lineRule="auto"/>
      </w:pPr>
      <w:r>
        <w:rPr>
          <w:rFonts w:ascii="Calibri" w:hAnsi="Calibri"/>
          <w:sz w:val="22"/>
        </w:rPr>
        <w:t>Add source adapters, scheduler, retry policy, caching, provenance, and manual-import/override tools.</w:t>
      </w:r>
    </w:p>
    <w:p>
      <w:pPr>
        <w:pStyle w:val="ListNumber"/>
        <w:spacing w:after="80" w:line="300" w:lineRule="auto"/>
      </w:pPr>
      <w:r>
        <w:rPr>
          <w:rFonts w:ascii="Calibri" w:hAnsi="Calibri"/>
          <w:sz w:val="22"/>
        </w:rPr>
        <w:t>Build historical feature snapshots, labeling workflow, persistence analytics, then baseline ML model and evaluation.</w:t>
      </w:r>
    </w:p>
    <w:p>
      <w:pPr>
        <w:pStyle w:val="ListNumber"/>
        <w:spacing w:after="80" w:line="300" w:lineRule="auto"/>
      </w:pPr>
      <w:r>
        <w:rPr>
          <w:rFonts w:ascii="Calibri" w:hAnsi="Calibri"/>
          <w:sz w:val="22"/>
        </w:rPr>
        <w:t>Expose stable backend APIs and build the map, event detail, filters, analytics, review, and alerting screens.</w:t>
      </w:r>
    </w:p>
    <w:p>
      <w:pPr>
        <w:pStyle w:val="ListNumber"/>
        <w:spacing w:after="80" w:line="300" w:lineRule="auto"/>
      </w:pPr>
      <w:r>
        <w:rPr>
          <w:rFonts w:ascii="Calibri" w:hAnsi="Calibri"/>
          <w:sz w:val="22"/>
        </w:rPr>
        <w:t>Harden with automated tests, runbooks, monitoring, backups, and a demo dataset.</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E8EEF5"/>
            <w:vAlign w:val="center"/>
          </w:tcPr>
          <w:p>
            <w:pPr>
              <w:spacing w:after="40"/>
            </w:pPr>
            <w:r>
              <w:rPr>
                <w:rFonts w:ascii="Calibri" w:hAnsi="Calibri"/>
                <w:b/>
                <w:color w:val="0B2545"/>
                <w:sz w:val="20"/>
              </w:rPr>
              <w:t xml:space="preserve">Pilot recommendation  </w:t>
            </w:r>
            <w:r>
              <w:rPr>
                <w:rFonts w:ascii="Calibri" w:hAnsi="Calibri"/>
                <w:color w:val="0B2545"/>
                <w:sz w:val="21"/>
              </w:rPr>
              <w:t>For a hackathon-quality first release, choose 1-3 target states and one urban/industrial corridor per state. Add more state adapters only after the common schema, import procedure, and source-health checks are stable.</w:t>
            </w:r>
          </w:p>
        </w:tc>
      </w:tr>
    </w:tbl>
    <w:p>
      <w:pPr>
        <w:spacing w:after="40"/>
      </w:pPr>
    </w:p>
    <w:p>
      <w:r>
        <w:br w:type="page"/>
      </w:r>
    </w:p>
    <w:p>
      <w:pPr>
        <w:pStyle w:val="Heading1"/>
        <w:keepNext/>
        <w:spacing w:before="360" w:after="200" w:line="300" w:lineRule="auto"/>
      </w:pPr>
      <w:r>
        <w:rPr>
          <w:rFonts w:ascii="Calibri" w:hAnsi="Calibri"/>
          <w:sz w:val="22"/>
        </w:rPr>
        <w:t>Stage 1 - Near-Real-Time Acquisition and Fusion</w:t>
      </w:r>
    </w:p>
    <w:p>
      <w:pPr>
        <w:keepNext w:val="0"/>
        <w:spacing w:before="0" w:after="120" w:line="300" w:lineRule="auto"/>
      </w:pPr>
      <w:r>
        <w:rPr>
          <w:rFonts w:ascii="Calibri" w:hAnsi="Calibri"/>
          <w:sz w:val="22"/>
        </w:rPr>
        <w:t>Goal: convert every new thermal detection into a normalized, enriched event with traceable evidence. Keep raw data unchanged so future logic can be re-run without re-downloading.</w:t>
      </w:r>
    </w:p>
    <w:p>
      <w:pPr>
        <w:pStyle w:val="Heading2"/>
        <w:keepNext/>
        <w:spacing w:before="280" w:after="140" w:line="300" w:lineRule="auto"/>
      </w:pPr>
      <w:r>
        <w:rPr>
          <w:rFonts w:ascii="Calibri" w:hAnsi="Calibri"/>
          <w:sz w:val="22"/>
        </w:rPr>
        <w:t>Recipe 1.1 - Prepare Secrets, Configuration, and Renewal</w:t>
      </w:r>
    </w:p>
    <w:tbl>
      <w:tblPr>
        <w:tblStyle w:val="TableGrid"/>
        <w:tblW w:type="dxa" w:w="9360"/>
        <w:jc w:val="left"/>
        <w:tblLayout w:type="fixed"/>
        <w:tblLook w:firstColumn="1" w:firstRow="1" w:lastColumn="0" w:lastRow="0" w:noHBand="0" w:noVBand="1" w:val="04A0"/>
        <w:tblLayout w:type="fixed"/>
        <w:tblInd w:w="120" w:type="dxa"/>
      </w:tblPr>
      <w:tblGrid>
        <w:gridCol w:w="1850"/>
        <w:gridCol w:w="5050"/>
        <w:gridCol w:w="2460"/>
      </w:tblGrid>
      <w:tr>
        <w:trPr>
          <w:tblHeader w:val="true"/>
        </w:trPr>
        <w:tc>
          <w:tcPr>
            <w:tcW w:type="dxa" w:w="1850"/>
            <w:tcMar>
              <w:top w:w="80" w:type="dxa"/>
              <w:start w:w="120" w:type="dxa"/>
              <w:bottom w:w="80" w:type="dxa"/>
              <w:end w:w="120" w:type="dxa"/>
            </w:tcMar>
            <w:shd w:fill="E8EEF5"/>
          </w:tcPr>
          <w:p>
            <w:pPr>
              <w:spacing w:after="0"/>
            </w:pPr>
            <w:r>
              <w:rPr>
                <w:rFonts w:ascii="Calibri" w:hAnsi="Calibri"/>
                <w:b/>
                <w:color w:val="0B2545"/>
                <w:sz w:val="18"/>
              </w:rPr>
              <w:t>Action</w:t>
            </w:r>
          </w:p>
        </w:tc>
        <w:tc>
          <w:tcPr>
            <w:tcW w:type="dxa" w:w="5050"/>
            <w:tcMar>
              <w:top w:w="80" w:type="dxa"/>
              <w:start w:w="120" w:type="dxa"/>
              <w:bottom w:w="80" w:type="dxa"/>
              <w:end w:w="120" w:type="dxa"/>
            </w:tcMar>
            <w:shd w:fill="E8EEF5"/>
          </w:tcPr>
          <w:p>
            <w:pPr>
              <w:spacing w:after="0"/>
            </w:pPr>
            <w:r>
              <w:rPr>
                <w:rFonts w:ascii="Calibri" w:hAnsi="Calibri"/>
                <w:b/>
                <w:color w:val="0B2545"/>
                <w:sz w:val="18"/>
              </w:rPr>
              <w:t>Why / how</w:t>
            </w:r>
          </w:p>
        </w:tc>
        <w:tc>
          <w:tcPr>
            <w:tcW w:type="dxa" w:w="2460"/>
            <w:tcMar>
              <w:top w:w="80" w:type="dxa"/>
              <w:start w:w="120" w:type="dxa"/>
              <w:bottom w:w="80" w:type="dxa"/>
              <w:end w:w="120" w:type="dxa"/>
            </w:tcMar>
            <w:shd w:fill="E8EEF5"/>
          </w:tcPr>
          <w:p>
            <w:pPr>
              <w:spacing w:after="0"/>
            </w:pPr>
            <w:r>
              <w:rPr>
                <w:rFonts w:ascii="Calibri" w:hAnsi="Calibri"/>
                <w:b/>
                <w:color w:val="0B2545"/>
                <w:sz w:val="18"/>
              </w:rPr>
              <w:t>Automation or manual</w:t>
            </w:r>
          </w:p>
        </w:tc>
      </w:tr>
      <w:tr>
        <w:tc>
          <w:tcPr>
            <w:tcW w:type="dxa" w:w="1850"/>
          </w:tcPr>
          <w:p>
            <w:pPr>
              <w:spacing w:after="0" w:line="269" w:lineRule="auto"/>
            </w:pPr>
            <w:r>
              <w:rPr>
                <w:rFonts w:ascii="Calibri" w:hAnsi="Calibri"/>
                <w:color w:val="202A35"/>
                <w:sz w:val="18"/>
              </w:rPr>
              <w:t>Create one secret per provider: FIRMS MAP_KEY, imagery provider credentials, SMTP/webhook credentials, and any licensed GIS tokens.</w:t>
            </w:r>
          </w:p>
        </w:tc>
        <w:tc>
          <w:tcPr>
            <w:tcW w:type="dxa" w:w="5050"/>
          </w:tcPr>
          <w:p>
            <w:pPr>
              <w:spacing w:after="0" w:line="269" w:lineRule="auto"/>
            </w:pPr>
            <w:r>
              <w:rPr>
                <w:rFonts w:ascii="Calibri" w:hAnsi="Calibri"/>
                <w:color w:val="202A35"/>
                <w:sz w:val="18"/>
              </w:rPr>
              <w:t>Secrets are injected at runtime from a secret manager or protected environment variables. Never return them through the API or commit them.</w:t>
            </w:r>
          </w:p>
        </w:tc>
        <w:tc>
          <w:tcPr>
            <w:tcW w:type="dxa" w:w="2460"/>
          </w:tcPr>
          <w:p>
            <w:pPr>
              <w:spacing w:after="0" w:line="269" w:lineRule="auto"/>
            </w:pPr>
            <w:r>
              <w:rPr>
                <w:rFonts w:ascii="Calibri" w:hAnsi="Calibri"/>
                <w:color w:val="202A35"/>
                <w:sz w:val="18"/>
              </w:rPr>
              <w:t>AUTOMATED runtime injection; MANUAL initial entry.</w:t>
            </w:r>
          </w:p>
        </w:tc>
      </w:tr>
      <w:tr>
        <w:tc>
          <w:tcPr>
            <w:tcW w:type="dxa" w:w="1850"/>
          </w:tcPr>
          <w:p>
            <w:pPr>
              <w:spacing w:after="0" w:line="269" w:lineRule="auto"/>
            </w:pPr>
            <w:r>
              <w:rPr>
                <w:rFonts w:ascii="Calibri" w:hAnsi="Calibri"/>
                <w:color w:val="202A35"/>
                <w:sz w:val="18"/>
              </w:rPr>
              <w:t>Create a source registry.</w:t>
            </w:r>
          </w:p>
        </w:tc>
        <w:tc>
          <w:tcPr>
            <w:tcW w:type="dxa" w:w="5050"/>
          </w:tcPr>
          <w:p>
            <w:pPr>
              <w:spacing w:after="0" w:line="269" w:lineRule="auto"/>
            </w:pPr>
            <w:r>
              <w:rPr>
                <w:rFonts w:ascii="Calibri" w:hAnsi="Calibri"/>
                <w:color w:val="202A35"/>
                <w:sz w:val="18"/>
              </w:rPr>
              <w:t>A `data_sources` record stores endpoint, auth type, owner, cadence, cache TTL, license, permitted usage, and last verified date.</w:t>
            </w:r>
          </w:p>
        </w:tc>
        <w:tc>
          <w:tcPr>
            <w:tcW w:type="dxa" w:w="2460"/>
          </w:tcPr>
          <w:p>
            <w:pPr>
              <w:spacing w:after="0" w:line="269" w:lineRule="auto"/>
            </w:pPr>
            <w:r>
              <w:rPr>
                <w:rFonts w:ascii="Calibri" w:hAnsi="Calibri"/>
                <w:color w:val="202A35"/>
                <w:sz w:val="18"/>
              </w:rPr>
              <w:t>MANUAL approval; AUTOMATED health update.</w:t>
            </w:r>
          </w:p>
        </w:tc>
      </w:tr>
      <w:tr>
        <w:tc>
          <w:tcPr>
            <w:tcW w:type="dxa" w:w="1850"/>
          </w:tcPr>
          <w:p>
            <w:pPr>
              <w:spacing w:after="0" w:line="269" w:lineRule="auto"/>
            </w:pPr>
            <w:r>
              <w:rPr>
                <w:rFonts w:ascii="Calibri" w:hAnsi="Calibri"/>
                <w:color w:val="202A35"/>
                <w:sz w:val="18"/>
              </w:rPr>
              <w:t>Set expiry reminders.</w:t>
            </w:r>
          </w:p>
        </w:tc>
        <w:tc>
          <w:tcPr>
            <w:tcW w:type="dxa" w:w="5050"/>
          </w:tcPr>
          <w:p>
            <w:pPr>
              <w:spacing w:after="0" w:line="269" w:lineRule="auto"/>
            </w:pPr>
            <w:r>
              <w:rPr>
                <w:rFonts w:ascii="Calibri" w:hAnsi="Calibri"/>
                <w:color w:val="202A35"/>
                <w:sz w:val="18"/>
              </w:rPr>
              <w:t>Store `expires_at`, renewal owner, and 30/14/7-day notification thresholds. A daily job creates an internal alert before a key fails.</w:t>
            </w:r>
          </w:p>
        </w:tc>
        <w:tc>
          <w:tcPr>
            <w:tcW w:type="dxa" w:w="2460"/>
          </w:tcPr>
          <w:p>
            <w:pPr>
              <w:spacing w:after="0" w:line="269" w:lineRule="auto"/>
            </w:pPr>
            <w:r>
              <w:rPr>
                <w:rFonts w:ascii="Calibri" w:hAnsi="Calibri"/>
                <w:color w:val="202A35"/>
                <w:sz w:val="18"/>
              </w:rPr>
              <w:t>AUTOMATED reminder; MANUAL renewal.</w:t>
            </w:r>
          </w:p>
        </w:tc>
      </w:tr>
      <w:tr>
        <w:tc>
          <w:tcPr>
            <w:tcW w:type="dxa" w:w="1850"/>
          </w:tcPr>
          <w:p>
            <w:pPr>
              <w:spacing w:after="0" w:line="269" w:lineRule="auto"/>
            </w:pPr>
            <w:r>
              <w:rPr>
                <w:rFonts w:ascii="Calibri" w:hAnsi="Calibri"/>
                <w:color w:val="202A35"/>
                <w:sz w:val="18"/>
              </w:rPr>
              <w:t>Test each credential independently.</w:t>
            </w:r>
          </w:p>
        </w:tc>
        <w:tc>
          <w:tcPr>
            <w:tcW w:type="dxa" w:w="5050"/>
          </w:tcPr>
          <w:p>
            <w:pPr>
              <w:spacing w:after="0" w:line="269" w:lineRule="auto"/>
            </w:pPr>
            <w:r>
              <w:rPr>
                <w:rFonts w:ascii="Calibri" w:hAnsi="Calibri"/>
                <w:color w:val="202A35"/>
                <w:sz w:val="18"/>
              </w:rPr>
              <w:t>Run a minimal authenticated request and save status only, never secret values.</w:t>
            </w:r>
          </w:p>
        </w:tc>
        <w:tc>
          <w:tcPr>
            <w:tcW w:type="dxa" w:w="2460"/>
          </w:tcPr>
          <w:p>
            <w:pPr>
              <w:spacing w:after="0" w:line="269" w:lineRule="auto"/>
            </w:pPr>
            <w:r>
              <w:rPr>
                <w:rFonts w:ascii="Calibri" w:hAnsi="Calibri"/>
                <w:color w:val="202A35"/>
                <w:sz w:val="18"/>
              </w:rPr>
              <w:t>AUTOMATED CI/smoke check.</w:t>
            </w:r>
          </w:p>
        </w:tc>
      </w:tr>
    </w:tbl>
    <w:p>
      <w:pPr>
        <w:spacing w:after="40"/>
      </w:pPr>
    </w:p>
    <w:p>
      <w:pPr>
        <w:pStyle w:val="Heading3"/>
        <w:keepNext/>
        <w:spacing w:before="200" w:after="100" w:line="300" w:lineRule="auto"/>
      </w:pPr>
      <w:r>
        <w:rPr>
          <w:rFonts w:ascii="Calibri" w:hAnsi="Calibri"/>
          <w:sz w:val="22"/>
        </w:rPr>
        <w:t>Required configuration keys</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APP_ENV=dev|staging|prod                 DATABASE_URL=postgresql://...</w:t>
              <w:br/>
              <w:t>FIRMS_MAP_KEY=***                      OBJECT_STORE_BUCKET=sih26162-raw</w:t>
              <w:br/>
              <w:t>OVERPASS_URL=https://overpass-api...   QUEUE_URL=redis://... or broker URL</w:t>
              <w:br/>
              <w:t>IMAGERY_PROVIDER=&lt;chosen provider&gt;     ALERT_WEBHOOK_URL=***</w:t>
              <w:br/>
              <w:t>MODEL_REGISTRY_URI=&lt;storage URI&gt;       DEFAULT_TIMEZONE=Asia/Kolkata</w:t>
              <w:br/>
              <w:t>SOURCE_HEALTH_TIMEOUT_SECONDS=20       RETRY_MAX_ATTEMPTS=5</w:t>
            </w:r>
          </w:p>
        </w:tc>
      </w:tr>
    </w:tbl>
    <w:p>
      <w:pPr>
        <w:spacing w:after="40"/>
      </w:pP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DECEC"/>
            <w:vAlign w:val="center"/>
          </w:tcPr>
          <w:p>
            <w:pPr>
              <w:spacing w:after="40"/>
            </w:pPr>
            <w:r>
              <w:rPr>
                <w:rFonts w:ascii="Calibri" w:hAnsi="Calibri"/>
                <w:b/>
                <w:color w:val="9B1C1C"/>
                <w:sz w:val="20"/>
              </w:rPr>
              <w:t xml:space="preserve">CHECK  </w:t>
            </w:r>
            <w:r>
              <w:rPr>
                <w:rFonts w:ascii="Calibri" w:hAnsi="Calibri"/>
                <w:color w:val="0B2545"/>
                <w:sz w:val="21"/>
              </w:rPr>
              <w:t>A deployment must fail safely if required secrets are absent. The error message names the missing key but never includes its value.</w:t>
            </w:r>
          </w:p>
        </w:tc>
      </w:tr>
    </w:tbl>
    <w:p>
      <w:pPr>
        <w:spacing w:after="40"/>
      </w:pPr>
    </w:p>
    <w:p>
      <w:pPr>
        <w:pStyle w:val="Heading2"/>
        <w:keepNext/>
        <w:spacing w:before="280" w:after="140" w:line="300" w:lineRule="auto"/>
      </w:pPr>
      <w:r>
        <w:rPr>
          <w:rFonts w:ascii="Calibri" w:hAnsi="Calibri"/>
          <w:sz w:val="22"/>
        </w:rPr>
        <w:t>Recipe 1.2 - Build the FIRMS Collector First</w:t>
      </w:r>
    </w:p>
    <w:p>
      <w:pPr>
        <w:keepNext w:val="0"/>
        <w:spacing w:before="0" w:after="120" w:line="300" w:lineRule="auto"/>
      </w:pPr>
      <w:r>
        <w:rPr>
          <w:rFonts w:ascii="Calibri" w:hAnsi="Calibri"/>
          <w:sz w:val="22"/>
        </w:rPr>
        <w:t>FIRMS is the event trigger. Poll the selected FIRMS area/product endpoint at a configured cadence (start with 15-30 minutes; tune after observing availability and quota). Limit the geographic request to India or your pilot region to reduce cost and duplicate work.</w:t>
      </w:r>
    </w:p>
    <w:tbl>
      <w:tblPr>
        <w:tblStyle w:val="TableGrid"/>
        <w:tblW w:type="dxa" w:w="9360"/>
        <w:jc w:val="left"/>
        <w:tblLayout w:type="fixed"/>
        <w:tblLook w:firstColumn="1" w:firstRow="1" w:lastColumn="0" w:lastRow="0" w:noHBand="0" w:noVBand="1" w:val="04A0"/>
        <w:tblLayout w:type="fixed"/>
        <w:tblInd w:w="120" w:type="dxa"/>
      </w:tblPr>
      <w:tblGrid>
        <w:gridCol w:w="700"/>
        <w:gridCol w:w="4050"/>
        <w:gridCol w:w="4610"/>
      </w:tblGrid>
      <w:tr>
        <w:trPr>
          <w:tblHeader w:val="true"/>
        </w:trPr>
        <w:tc>
          <w:tcPr>
            <w:tcW w:type="dxa" w:w="700"/>
            <w:tcMar>
              <w:top w:w="80" w:type="dxa"/>
              <w:start w:w="120" w:type="dxa"/>
              <w:bottom w:w="80" w:type="dxa"/>
              <w:end w:w="120" w:type="dxa"/>
            </w:tcMar>
            <w:shd w:fill="E8EEF5"/>
          </w:tcPr>
          <w:p>
            <w:pPr>
              <w:spacing w:after="0"/>
            </w:pPr>
            <w:r>
              <w:rPr>
                <w:rFonts w:ascii="Calibri" w:hAnsi="Calibri"/>
                <w:b/>
                <w:color w:val="0B2545"/>
                <w:sz w:val="18"/>
              </w:rPr>
              <w:t>Step</w:t>
            </w:r>
          </w:p>
        </w:tc>
        <w:tc>
          <w:tcPr>
            <w:tcW w:type="dxa" w:w="4050"/>
            <w:tcMar>
              <w:top w:w="80" w:type="dxa"/>
              <w:start w:w="120" w:type="dxa"/>
              <w:bottom w:w="80" w:type="dxa"/>
              <w:end w:w="120" w:type="dxa"/>
            </w:tcMar>
            <w:shd w:fill="E8EEF5"/>
          </w:tcPr>
          <w:p>
            <w:pPr>
              <w:spacing w:after="0"/>
            </w:pPr>
            <w:r>
              <w:rPr>
                <w:rFonts w:ascii="Calibri" w:hAnsi="Calibri"/>
                <w:b/>
                <w:color w:val="0B2545"/>
                <w:sz w:val="18"/>
              </w:rPr>
              <w:t>Implement</w:t>
            </w:r>
          </w:p>
        </w:tc>
        <w:tc>
          <w:tcPr>
            <w:tcW w:type="dxa" w:w="4610"/>
            <w:tcMar>
              <w:top w:w="80" w:type="dxa"/>
              <w:start w:w="120" w:type="dxa"/>
              <w:bottom w:w="80" w:type="dxa"/>
              <w:end w:w="120" w:type="dxa"/>
            </w:tcMar>
            <w:shd w:fill="E8EEF5"/>
          </w:tcPr>
          <w:p>
            <w:pPr>
              <w:spacing w:after="0"/>
            </w:pPr>
            <w:r>
              <w:rPr>
                <w:rFonts w:ascii="Calibri" w:hAnsi="Calibri"/>
                <w:b/>
                <w:color w:val="0B2545"/>
                <w:sz w:val="18"/>
              </w:rPr>
              <w:t>Why / expected output</w:t>
            </w:r>
          </w:p>
        </w:tc>
      </w:tr>
      <w:tr>
        <w:tc>
          <w:tcPr>
            <w:tcW w:type="dxa" w:w="700"/>
          </w:tcPr>
          <w:p>
            <w:pPr>
              <w:spacing w:after="0" w:line="269" w:lineRule="auto"/>
            </w:pPr>
            <w:r>
              <w:rPr>
                <w:rFonts w:ascii="Calibri" w:hAnsi="Calibri"/>
                <w:color w:val="202A35"/>
                <w:sz w:val="18"/>
              </w:rPr>
              <w:t>1</w:t>
            </w:r>
          </w:p>
        </w:tc>
        <w:tc>
          <w:tcPr>
            <w:tcW w:type="dxa" w:w="4050"/>
          </w:tcPr>
          <w:p>
            <w:pPr>
              <w:spacing w:after="0" w:line="269" w:lineRule="auto"/>
            </w:pPr>
            <w:r>
              <w:rPr>
                <w:rFonts w:ascii="Calibri" w:hAnsi="Calibri"/>
                <w:color w:val="202A35"/>
                <w:sz w:val="18"/>
              </w:rPr>
              <w:t>Create `FirmsCollector.fetch(window, region)` that builds a bounded request using the server-side MAP_KEY.</w:t>
            </w:r>
          </w:p>
        </w:tc>
        <w:tc>
          <w:tcPr>
            <w:tcW w:type="dxa" w:w="4610"/>
          </w:tcPr>
          <w:p>
            <w:pPr>
              <w:spacing w:after="0" w:line="269" w:lineRule="auto"/>
            </w:pPr>
            <w:r>
              <w:rPr>
                <w:rFonts w:ascii="Calibri" w:hAnsi="Calibri"/>
                <w:color w:val="202A35"/>
                <w:sz w:val="18"/>
              </w:rPr>
              <w:t>One isolated adapter makes endpoint/product changes local.</w:t>
            </w:r>
          </w:p>
        </w:tc>
      </w:tr>
      <w:tr>
        <w:tc>
          <w:tcPr>
            <w:tcW w:type="dxa" w:w="700"/>
          </w:tcPr>
          <w:p>
            <w:pPr>
              <w:spacing w:after="0" w:line="269" w:lineRule="auto"/>
            </w:pPr>
            <w:r>
              <w:rPr>
                <w:rFonts w:ascii="Calibri" w:hAnsi="Calibri"/>
                <w:color w:val="202A35"/>
                <w:sz w:val="18"/>
              </w:rPr>
              <w:t>2</w:t>
            </w:r>
          </w:p>
        </w:tc>
        <w:tc>
          <w:tcPr>
            <w:tcW w:type="dxa" w:w="4050"/>
          </w:tcPr>
          <w:p>
            <w:pPr>
              <w:spacing w:after="0" w:line="269" w:lineRule="auto"/>
            </w:pPr>
            <w:r>
              <w:rPr>
                <w:rFonts w:ascii="Calibri" w:hAnsi="Calibri"/>
                <w:color w:val="202A35"/>
                <w:sz w:val="18"/>
              </w:rPr>
              <w:t>Save response bytes plus request metadata to object storage before parsing.</w:t>
            </w:r>
          </w:p>
        </w:tc>
        <w:tc>
          <w:tcPr>
            <w:tcW w:type="dxa" w:w="4610"/>
          </w:tcPr>
          <w:p>
            <w:pPr>
              <w:spacing w:after="0" w:line="269" w:lineRule="auto"/>
            </w:pPr>
            <w:r>
              <w:rPr>
                <w:rFonts w:ascii="Calibri" w:hAnsi="Calibri"/>
                <w:color w:val="202A35"/>
                <w:sz w:val="18"/>
              </w:rPr>
              <w:t>Raw retention makes ingestion auditable and replayable.</w:t>
            </w:r>
          </w:p>
        </w:tc>
      </w:tr>
      <w:tr>
        <w:tc>
          <w:tcPr>
            <w:tcW w:type="dxa" w:w="700"/>
          </w:tcPr>
          <w:p>
            <w:pPr>
              <w:spacing w:after="0" w:line="269" w:lineRule="auto"/>
            </w:pPr>
            <w:r>
              <w:rPr>
                <w:rFonts w:ascii="Calibri" w:hAnsi="Calibri"/>
                <w:color w:val="202A35"/>
                <w:sz w:val="18"/>
              </w:rPr>
              <w:t>3</w:t>
            </w:r>
          </w:p>
        </w:tc>
        <w:tc>
          <w:tcPr>
            <w:tcW w:type="dxa" w:w="4050"/>
          </w:tcPr>
          <w:p>
            <w:pPr>
              <w:spacing w:after="0" w:line="269" w:lineRule="auto"/>
            </w:pPr>
            <w:r>
              <w:rPr>
                <w:rFonts w:ascii="Calibri" w:hAnsi="Calibri"/>
                <w:color w:val="202A35"/>
                <w:sz w:val="18"/>
              </w:rPr>
              <w:t>Parse source fields into `raw_firms_records`; preserve source row and source filename/hash.</w:t>
            </w:r>
          </w:p>
        </w:tc>
        <w:tc>
          <w:tcPr>
            <w:tcW w:type="dxa" w:w="4610"/>
          </w:tcPr>
          <w:p>
            <w:pPr>
              <w:spacing w:after="0" w:line="269" w:lineRule="auto"/>
            </w:pPr>
            <w:r>
              <w:rPr>
                <w:rFonts w:ascii="Calibri" w:hAnsi="Calibri"/>
                <w:color w:val="202A35"/>
                <w:sz w:val="18"/>
              </w:rPr>
              <w:t>Never lose unmodeled fields that may be needed later.</w:t>
            </w:r>
          </w:p>
        </w:tc>
      </w:tr>
      <w:tr>
        <w:tc>
          <w:tcPr>
            <w:tcW w:type="dxa" w:w="700"/>
          </w:tcPr>
          <w:p>
            <w:pPr>
              <w:spacing w:after="0" w:line="269" w:lineRule="auto"/>
            </w:pPr>
            <w:r>
              <w:rPr>
                <w:rFonts w:ascii="Calibri" w:hAnsi="Calibri"/>
                <w:color w:val="202A35"/>
                <w:sz w:val="18"/>
              </w:rPr>
              <w:t>4</w:t>
            </w:r>
          </w:p>
        </w:tc>
        <w:tc>
          <w:tcPr>
            <w:tcW w:type="dxa" w:w="4050"/>
          </w:tcPr>
          <w:p>
            <w:pPr>
              <w:spacing w:after="0" w:line="269" w:lineRule="auto"/>
            </w:pPr>
            <w:r>
              <w:rPr>
                <w:rFonts w:ascii="Calibri" w:hAnsi="Calibri"/>
                <w:color w:val="202A35"/>
                <w:sz w:val="18"/>
              </w:rPr>
              <w:t>Normalize to WGS84 point geometry and UTC acquisition time.</w:t>
            </w:r>
          </w:p>
        </w:tc>
        <w:tc>
          <w:tcPr>
            <w:tcW w:type="dxa" w:w="4610"/>
          </w:tcPr>
          <w:p>
            <w:pPr>
              <w:spacing w:after="0" w:line="269" w:lineRule="auto"/>
            </w:pPr>
            <w:r>
              <w:rPr>
                <w:rFonts w:ascii="Calibri" w:hAnsi="Calibri"/>
                <w:color w:val="202A35"/>
                <w:sz w:val="18"/>
              </w:rPr>
              <w:t>All spatial/time joins require a consistent CRS and clock.</w:t>
            </w:r>
          </w:p>
        </w:tc>
      </w:tr>
      <w:tr>
        <w:tc>
          <w:tcPr>
            <w:tcW w:type="dxa" w:w="700"/>
          </w:tcPr>
          <w:p>
            <w:pPr>
              <w:spacing w:after="0" w:line="269" w:lineRule="auto"/>
            </w:pPr>
            <w:r>
              <w:rPr>
                <w:rFonts w:ascii="Calibri" w:hAnsi="Calibri"/>
                <w:color w:val="202A35"/>
                <w:sz w:val="18"/>
              </w:rPr>
              <w:t>5</w:t>
            </w:r>
          </w:p>
        </w:tc>
        <w:tc>
          <w:tcPr>
            <w:tcW w:type="dxa" w:w="4050"/>
          </w:tcPr>
          <w:p>
            <w:pPr>
              <w:spacing w:after="0" w:line="269" w:lineRule="auto"/>
            </w:pPr>
            <w:r>
              <w:rPr>
                <w:rFonts w:ascii="Calibri" w:hAnsi="Calibri"/>
                <w:color w:val="202A35"/>
                <w:sz w:val="18"/>
              </w:rPr>
              <w:t>Compute deterministic `source_event_key` (satellite + acquisition datetime + rounded coordinates + source confidence/product).</w:t>
            </w:r>
          </w:p>
        </w:tc>
        <w:tc>
          <w:tcPr>
            <w:tcW w:type="dxa" w:w="4610"/>
          </w:tcPr>
          <w:p>
            <w:pPr>
              <w:spacing w:after="0" w:line="269" w:lineRule="auto"/>
            </w:pPr>
            <w:r>
              <w:rPr>
                <w:rFonts w:ascii="Calibri" w:hAnsi="Calibri"/>
                <w:color w:val="202A35"/>
                <w:sz w:val="18"/>
              </w:rPr>
              <w:t>Provides idempotency across overlapping polling windows.</w:t>
            </w:r>
          </w:p>
        </w:tc>
      </w:tr>
      <w:tr>
        <w:tc>
          <w:tcPr>
            <w:tcW w:type="dxa" w:w="700"/>
          </w:tcPr>
          <w:p>
            <w:pPr>
              <w:spacing w:after="0" w:line="269" w:lineRule="auto"/>
            </w:pPr>
            <w:r>
              <w:rPr>
                <w:rFonts w:ascii="Calibri" w:hAnsi="Calibri"/>
                <w:color w:val="202A35"/>
                <w:sz w:val="18"/>
              </w:rPr>
              <w:t>6</w:t>
            </w:r>
          </w:p>
        </w:tc>
        <w:tc>
          <w:tcPr>
            <w:tcW w:type="dxa" w:w="4050"/>
          </w:tcPr>
          <w:p>
            <w:pPr>
              <w:spacing w:after="0" w:line="269" w:lineRule="auto"/>
            </w:pPr>
            <w:r>
              <w:rPr>
                <w:rFonts w:ascii="Calibri" w:hAnsi="Calibri"/>
                <w:color w:val="202A35"/>
                <w:sz w:val="18"/>
              </w:rPr>
              <w:t>Upsert `thermal_events`; queue only new or materially changed records for enrichment.</w:t>
            </w:r>
          </w:p>
        </w:tc>
        <w:tc>
          <w:tcPr>
            <w:tcW w:type="dxa" w:w="4610"/>
          </w:tcPr>
          <w:p>
            <w:pPr>
              <w:spacing w:after="0" w:line="269" w:lineRule="auto"/>
            </w:pPr>
            <w:r>
              <w:rPr>
                <w:rFonts w:ascii="Calibri" w:hAnsi="Calibri"/>
                <w:color w:val="202A35"/>
                <w:sz w:val="18"/>
              </w:rPr>
              <w:t>Prevents duplicate enrichment and alert storms.</w:t>
            </w:r>
          </w:p>
        </w:tc>
      </w:tr>
    </w:tbl>
    <w:p>
      <w:pPr>
        <w:spacing w:after="40"/>
      </w:pPr>
    </w:p>
    <w:p>
      <w:pPr>
        <w:pStyle w:val="Heading3"/>
        <w:keepNext/>
        <w:spacing w:before="200" w:after="100" w:line="300" w:lineRule="auto"/>
      </w:pPr>
      <w:r>
        <w:rPr>
          <w:rFonts w:ascii="Calibri" w:hAnsi="Calibri"/>
          <w:sz w:val="22"/>
        </w:rPr>
        <w:t>FIRMS acceptance fields</w:t>
      </w:r>
    </w:p>
    <w:tbl>
      <w:tblPr>
        <w:tblStyle w:val="TableGrid"/>
        <w:tblW w:type="dxa" w:w="9360"/>
        <w:jc w:val="left"/>
        <w:tblLayout w:type="fixed"/>
        <w:tblLook w:firstColumn="1" w:firstRow="1" w:lastColumn="0" w:lastRow="0" w:noHBand="0" w:noVBand="1" w:val="04A0"/>
        <w:tblLayout w:type="fixed"/>
        <w:tblInd w:w="120" w:type="dxa"/>
      </w:tblPr>
      <w:tblGrid>
        <w:gridCol w:w="2100"/>
        <w:gridCol w:w="7260"/>
      </w:tblGrid>
      <w:tr>
        <w:trPr>
          <w:tblHeader w:val="true"/>
        </w:trPr>
        <w:tc>
          <w:tcPr>
            <w:tcW w:type="dxa" w:w="2100"/>
            <w:tcMar>
              <w:top w:w="80" w:type="dxa"/>
              <w:start w:w="120" w:type="dxa"/>
              <w:bottom w:w="80" w:type="dxa"/>
              <w:end w:w="120" w:type="dxa"/>
            </w:tcMar>
            <w:shd w:fill="E8EEF5"/>
          </w:tcPr>
          <w:p>
            <w:pPr>
              <w:spacing w:after="0"/>
            </w:pPr>
            <w:r>
              <w:rPr>
                <w:rFonts w:ascii="Calibri" w:hAnsi="Calibri"/>
                <w:b/>
                <w:color w:val="0B2545"/>
                <w:sz w:val="18"/>
              </w:rPr>
              <w:t>Group</w:t>
            </w:r>
          </w:p>
        </w:tc>
        <w:tc>
          <w:tcPr>
            <w:tcW w:type="dxa" w:w="7260"/>
            <w:tcMar>
              <w:top w:w="80" w:type="dxa"/>
              <w:start w:w="120" w:type="dxa"/>
              <w:bottom w:w="80" w:type="dxa"/>
              <w:end w:w="120" w:type="dxa"/>
            </w:tcMar>
            <w:shd w:fill="E8EEF5"/>
          </w:tcPr>
          <w:p>
            <w:pPr>
              <w:spacing w:after="0"/>
            </w:pPr>
            <w:r>
              <w:rPr>
                <w:rFonts w:ascii="Calibri" w:hAnsi="Calibri"/>
                <w:b/>
                <w:color w:val="0B2545"/>
                <w:sz w:val="18"/>
              </w:rPr>
              <w:t>Keep at minimum</w:t>
            </w:r>
          </w:p>
        </w:tc>
      </w:tr>
      <w:tr>
        <w:tc>
          <w:tcPr>
            <w:tcW w:type="dxa" w:w="2100"/>
          </w:tcPr>
          <w:p>
            <w:pPr>
              <w:spacing w:after="0" w:line="269" w:lineRule="auto"/>
            </w:pPr>
            <w:r>
              <w:rPr>
                <w:rFonts w:ascii="Calibri" w:hAnsi="Calibri"/>
                <w:color w:val="202A35"/>
                <w:sz w:val="18"/>
              </w:rPr>
              <w:t>Identity</w:t>
            </w:r>
          </w:p>
        </w:tc>
        <w:tc>
          <w:tcPr>
            <w:tcW w:type="dxa" w:w="7260"/>
          </w:tcPr>
          <w:p>
            <w:pPr>
              <w:spacing w:after="0" w:line="269" w:lineRule="auto"/>
            </w:pPr>
            <w:r>
              <w:rPr>
                <w:rFonts w:ascii="Calibri" w:hAnsi="Calibri"/>
                <w:color w:val="202A35"/>
                <w:sz w:val="18"/>
              </w:rPr>
              <w:t>source, product, satellite/instrument, source_event_key, raw_record_id</w:t>
            </w:r>
          </w:p>
        </w:tc>
      </w:tr>
      <w:tr>
        <w:tc>
          <w:tcPr>
            <w:tcW w:type="dxa" w:w="2100"/>
          </w:tcPr>
          <w:p>
            <w:pPr>
              <w:spacing w:after="0" w:line="269" w:lineRule="auto"/>
            </w:pPr>
            <w:r>
              <w:rPr>
                <w:rFonts w:ascii="Calibri" w:hAnsi="Calibri"/>
                <w:color w:val="202A35"/>
                <w:sz w:val="18"/>
              </w:rPr>
              <w:t>Time/position</w:t>
            </w:r>
          </w:p>
        </w:tc>
        <w:tc>
          <w:tcPr>
            <w:tcW w:type="dxa" w:w="7260"/>
          </w:tcPr>
          <w:p>
            <w:pPr>
              <w:spacing w:after="0" w:line="269" w:lineRule="auto"/>
            </w:pPr>
            <w:r>
              <w:rPr>
                <w:rFonts w:ascii="Calibri" w:hAnsi="Calibri"/>
                <w:color w:val="202A35"/>
                <w:sz w:val="18"/>
              </w:rPr>
              <w:t>acquired_at_utc, latitude, longitude, geom (POINT 4326), day/night</w:t>
            </w:r>
          </w:p>
        </w:tc>
      </w:tr>
      <w:tr>
        <w:tc>
          <w:tcPr>
            <w:tcW w:type="dxa" w:w="2100"/>
          </w:tcPr>
          <w:p>
            <w:pPr>
              <w:spacing w:after="0" w:line="269" w:lineRule="auto"/>
            </w:pPr>
            <w:r>
              <w:rPr>
                <w:rFonts w:ascii="Calibri" w:hAnsi="Calibri"/>
                <w:color w:val="202A35"/>
                <w:sz w:val="18"/>
              </w:rPr>
              <w:t>Signal</w:t>
            </w:r>
          </w:p>
        </w:tc>
        <w:tc>
          <w:tcPr>
            <w:tcW w:type="dxa" w:w="7260"/>
          </w:tcPr>
          <w:p>
            <w:pPr>
              <w:spacing w:after="0" w:line="269" w:lineRule="auto"/>
            </w:pPr>
            <w:r>
              <w:rPr>
                <w:rFonts w:ascii="Calibri" w:hAnsi="Calibri"/>
                <w:color w:val="202A35"/>
                <w:sz w:val="18"/>
              </w:rPr>
              <w:t>brightness/temperature, FRP, confidence, scan, track</w:t>
            </w:r>
          </w:p>
        </w:tc>
      </w:tr>
      <w:tr>
        <w:tc>
          <w:tcPr>
            <w:tcW w:type="dxa" w:w="2100"/>
          </w:tcPr>
          <w:p>
            <w:pPr>
              <w:spacing w:after="0" w:line="269" w:lineRule="auto"/>
            </w:pPr>
            <w:r>
              <w:rPr>
                <w:rFonts w:ascii="Calibri" w:hAnsi="Calibri"/>
                <w:color w:val="202A35"/>
                <w:sz w:val="18"/>
              </w:rPr>
              <w:t>Lineage</w:t>
            </w:r>
          </w:p>
        </w:tc>
        <w:tc>
          <w:tcPr>
            <w:tcW w:type="dxa" w:w="7260"/>
          </w:tcPr>
          <w:p>
            <w:pPr>
              <w:spacing w:after="0" w:line="269" w:lineRule="auto"/>
            </w:pPr>
            <w:r>
              <w:rPr>
                <w:rFonts w:ascii="Calibri" w:hAnsi="Calibri"/>
                <w:color w:val="202A35"/>
                <w:sz w:val="18"/>
              </w:rPr>
              <w:t>raw_object_uri, raw_sha256, retrieved_at, parser_version, request_id</w:t>
            </w:r>
          </w:p>
        </w:tc>
      </w:tr>
    </w:tbl>
    <w:p>
      <w:pPr>
        <w:spacing w:after="40"/>
      </w:pPr>
    </w:p>
    <w:p>
      <w:pPr>
        <w:pStyle w:val="Heading3"/>
        <w:keepNext/>
        <w:spacing w:before="200" w:after="100" w:line="300" w:lineRule="auto"/>
      </w:pPr>
      <w:r>
        <w:rPr>
          <w:rFonts w:ascii="Calibri" w:hAnsi="Calibri"/>
          <w:sz w:val="22"/>
        </w:rPr>
        <w:t>Polling and idempotency policy</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every 15-30 min</w:t>
              <w:br/>
              <w:t xml:space="preserve">   |</w:t>
              <w:br/>
              <w:t xml:space="preserve">   +--&gt; request [now - overlap, now]  (overlap e.g., 2 hours)</w:t>
              <w:br/>
              <w:t xml:space="preserve">   |          |</w:t>
              <w:br/>
              <w:t xml:space="preserve">   |          +--&gt; archive raw --&gt; parse --&gt; upsert on source_event_key</w:t>
              <w:br/>
              <w:t xml:space="preserve">   |                                             |</w:t>
              <w:br/>
              <w:t xml:space="preserve">   |                                  new/changed? -- no --&gt; record run only</w:t>
              <w:br/>
              <w:t xml:space="preserve">   |                                             |</w:t>
              <w:br/>
              <w:t xml:space="preserve">   |                                            yes</w:t>
              <w:br/>
              <w:t xml:space="preserve">   +----------------------------------------&gt; queue enrichment job</w:t>
            </w:r>
          </w:p>
        </w:tc>
      </w:tr>
    </w:tbl>
    <w:p>
      <w:pPr>
        <w:spacing w:after="40"/>
      </w:pPr>
    </w:p>
    <w:p>
      <w:pPr>
        <w:pStyle w:val="Heading2"/>
        <w:keepNext/>
        <w:spacing w:before="280" w:after="140" w:line="300" w:lineRule="auto"/>
      </w:pPr>
      <w:r>
        <w:rPr>
          <w:rFonts w:ascii="Calibri" w:hAnsi="Calibri"/>
          <w:sz w:val="22"/>
        </w:rPr>
        <w:t>Recipe 1.3 - Add Context Sources as Independent Adapters</w:t>
      </w:r>
    </w:p>
    <w:tbl>
      <w:tblPr>
        <w:tblStyle w:val="TableGrid"/>
        <w:tblW w:type="dxa" w:w="9360"/>
        <w:jc w:val="left"/>
        <w:tblLayout w:type="fixed"/>
        <w:tblLook w:firstColumn="1" w:firstRow="1" w:lastColumn="0" w:lastRow="0" w:noHBand="0" w:noVBand="1" w:val="04A0"/>
        <w:tblLayout w:type="fixed"/>
        <w:tblInd w:w="120" w:type="dxa"/>
      </w:tblPr>
      <w:tblGrid>
        <w:gridCol w:w="1450"/>
        <w:gridCol w:w="1750"/>
        <w:gridCol w:w="3900"/>
        <w:gridCol w:w="2260"/>
      </w:tblGrid>
      <w:tr>
        <w:trPr>
          <w:tblHeader w:val="true"/>
        </w:trPr>
        <w:tc>
          <w:tcPr>
            <w:tcW w:type="dxa" w:w="1450"/>
            <w:tcMar>
              <w:top w:w="80" w:type="dxa"/>
              <w:start w:w="120" w:type="dxa"/>
              <w:bottom w:w="80" w:type="dxa"/>
              <w:end w:w="120" w:type="dxa"/>
            </w:tcMar>
            <w:shd w:fill="E8EEF5"/>
          </w:tcPr>
          <w:p>
            <w:pPr>
              <w:spacing w:after="0"/>
            </w:pPr>
            <w:r>
              <w:rPr>
                <w:rFonts w:ascii="Calibri" w:hAnsi="Calibri"/>
                <w:b/>
                <w:color w:val="0B2545"/>
                <w:sz w:val="18"/>
              </w:rPr>
              <w:t>Source</w:t>
            </w:r>
          </w:p>
        </w:tc>
        <w:tc>
          <w:tcPr>
            <w:tcW w:type="dxa" w:w="1750"/>
            <w:tcMar>
              <w:top w:w="80" w:type="dxa"/>
              <w:start w:w="120" w:type="dxa"/>
              <w:bottom w:w="80" w:type="dxa"/>
              <w:end w:w="120" w:type="dxa"/>
            </w:tcMar>
            <w:shd w:fill="E8EEF5"/>
          </w:tcPr>
          <w:p>
            <w:pPr>
              <w:spacing w:after="0"/>
            </w:pPr>
            <w:r>
              <w:rPr>
                <w:rFonts w:ascii="Calibri" w:hAnsi="Calibri"/>
                <w:b/>
                <w:color w:val="0B2545"/>
                <w:sz w:val="18"/>
              </w:rPr>
              <w:t>Use it for</w:t>
            </w:r>
          </w:p>
        </w:tc>
        <w:tc>
          <w:tcPr>
            <w:tcW w:type="dxa" w:w="3900"/>
            <w:tcMar>
              <w:top w:w="80" w:type="dxa"/>
              <w:start w:w="120" w:type="dxa"/>
              <w:bottom w:w="80" w:type="dxa"/>
              <w:end w:w="120" w:type="dxa"/>
            </w:tcMar>
            <w:shd w:fill="E8EEF5"/>
          </w:tcPr>
          <w:p>
            <w:pPr>
              <w:spacing w:after="0"/>
            </w:pPr>
            <w:r>
              <w:rPr>
                <w:rFonts w:ascii="Calibri" w:hAnsi="Calibri"/>
                <w:b/>
                <w:color w:val="0B2545"/>
                <w:sz w:val="18"/>
              </w:rPr>
              <w:t>Implementation recipe</w:t>
            </w:r>
          </w:p>
        </w:tc>
        <w:tc>
          <w:tcPr>
            <w:tcW w:type="dxa" w:w="2260"/>
            <w:tcMar>
              <w:top w:w="80" w:type="dxa"/>
              <w:start w:w="120" w:type="dxa"/>
              <w:bottom w:w="80" w:type="dxa"/>
              <w:end w:w="120" w:type="dxa"/>
            </w:tcMar>
            <w:shd w:fill="E8EEF5"/>
          </w:tcPr>
          <w:p>
            <w:pPr>
              <w:spacing w:after="0"/>
            </w:pPr>
            <w:r>
              <w:rPr>
                <w:rFonts w:ascii="Calibri" w:hAnsi="Calibri"/>
                <w:b/>
                <w:color w:val="0B2545"/>
                <w:sz w:val="18"/>
              </w:rPr>
              <w:t>Manual fallback</w:t>
            </w:r>
          </w:p>
        </w:tc>
      </w:tr>
      <w:tr>
        <w:tc>
          <w:tcPr>
            <w:tcW w:type="dxa" w:w="1450"/>
          </w:tcPr>
          <w:p>
            <w:pPr>
              <w:spacing w:after="0" w:line="269" w:lineRule="auto"/>
            </w:pPr>
            <w:r>
              <w:rPr>
                <w:rFonts w:ascii="Calibri" w:hAnsi="Calibri"/>
                <w:color w:val="202A35"/>
                <w:sz w:val="18"/>
              </w:rPr>
              <w:t>OSM / Overpass</w:t>
            </w:r>
          </w:p>
        </w:tc>
        <w:tc>
          <w:tcPr>
            <w:tcW w:type="dxa" w:w="1750"/>
          </w:tcPr>
          <w:p>
            <w:pPr>
              <w:spacing w:after="0" w:line="269" w:lineRule="auto"/>
            </w:pPr>
            <w:r>
              <w:rPr>
                <w:rFonts w:ascii="Calibri" w:hAnsi="Calibri"/>
                <w:color w:val="202A35"/>
                <w:sz w:val="18"/>
              </w:rPr>
              <w:t>Individual facilities, landuse, power/forest/water context.</w:t>
            </w:r>
          </w:p>
        </w:tc>
        <w:tc>
          <w:tcPr>
            <w:tcW w:type="dxa" w:w="3900"/>
          </w:tcPr>
          <w:p>
            <w:pPr>
              <w:spacing w:after="0" w:line="269" w:lineRule="auto"/>
            </w:pPr>
            <w:r>
              <w:rPr>
                <w:rFonts w:ascii="Calibri" w:hAnsi="Calibri"/>
                <w:color w:val="202A35"/>
                <w:sz w:val="18"/>
              </w:rPr>
              <w:t>Query only a buffered event area; cache results by geohash/bounding tile; normalize tags into `reference_features`.</w:t>
            </w:r>
          </w:p>
        </w:tc>
        <w:tc>
          <w:tcPr>
            <w:tcW w:type="dxa" w:w="2260"/>
          </w:tcPr>
          <w:p>
            <w:pPr>
              <w:spacing w:after="0" w:line="269" w:lineRule="auto"/>
            </w:pPr>
            <w:r>
              <w:rPr>
                <w:rFonts w:ascii="Calibri" w:hAnsi="Calibri"/>
                <w:color w:val="202A35"/>
                <w:sz w:val="18"/>
              </w:rPr>
              <w:t>Download a vetted regional OSM extract; run local import; record snapshot date.</w:t>
            </w:r>
          </w:p>
        </w:tc>
      </w:tr>
      <w:tr>
        <w:tc>
          <w:tcPr>
            <w:tcW w:type="dxa" w:w="1450"/>
          </w:tcPr>
          <w:p>
            <w:pPr>
              <w:spacing w:after="0" w:line="269" w:lineRule="auto"/>
            </w:pPr>
            <w:r>
              <w:rPr>
                <w:rFonts w:ascii="Calibri" w:hAnsi="Calibri"/>
                <w:color w:val="202A35"/>
                <w:sz w:val="18"/>
              </w:rPr>
              <w:t>Bhuvan / ISRO</w:t>
            </w:r>
          </w:p>
        </w:tc>
        <w:tc>
          <w:tcPr>
            <w:tcW w:type="dxa" w:w="1750"/>
          </w:tcPr>
          <w:p>
            <w:pPr>
              <w:spacing w:after="0" w:line="269" w:lineRule="auto"/>
            </w:pPr>
            <w:r>
              <w:rPr>
                <w:rFonts w:ascii="Calibri" w:hAnsi="Calibri"/>
                <w:color w:val="202A35"/>
                <w:sz w:val="18"/>
              </w:rPr>
              <w:t>Land-use/land-cover and official thematic layers where access permits.</w:t>
            </w:r>
          </w:p>
        </w:tc>
        <w:tc>
          <w:tcPr>
            <w:tcW w:type="dxa" w:w="3900"/>
          </w:tcPr>
          <w:p>
            <w:pPr>
              <w:spacing w:after="0" w:line="269" w:lineRule="auto"/>
            </w:pPr>
            <w:r>
              <w:rPr>
                <w:rFonts w:ascii="Calibri" w:hAnsi="Calibri"/>
                <w:color w:val="202A35"/>
                <w:sz w:val="18"/>
              </w:rPr>
              <w:t>Use official downloadable/OGC/API route; store source CRS and metadata; convert to 4326 and common classes.</w:t>
            </w:r>
          </w:p>
        </w:tc>
        <w:tc>
          <w:tcPr>
            <w:tcW w:type="dxa" w:w="2260"/>
          </w:tcPr>
          <w:p>
            <w:pPr>
              <w:spacing w:after="0" w:line="269" w:lineRule="auto"/>
            </w:pPr>
            <w:r>
              <w:rPr>
                <w:rFonts w:ascii="Calibri" w:hAnsi="Calibri"/>
                <w:color w:val="202A35"/>
                <w:sz w:val="18"/>
              </w:rPr>
              <w:t>Import a manually downloaded, license-reviewed raster/vector snapshot.</w:t>
            </w:r>
          </w:p>
        </w:tc>
      </w:tr>
      <w:tr>
        <w:tc>
          <w:tcPr>
            <w:tcW w:type="dxa" w:w="1450"/>
          </w:tcPr>
          <w:p>
            <w:pPr>
              <w:spacing w:after="0" w:line="269" w:lineRule="auto"/>
            </w:pPr>
            <w:r>
              <w:rPr>
                <w:rFonts w:ascii="Calibri" w:hAnsi="Calibri"/>
                <w:color w:val="202A35"/>
                <w:sz w:val="18"/>
              </w:rPr>
              <w:t>IILB / NCoG</w:t>
            </w:r>
          </w:p>
        </w:tc>
        <w:tc>
          <w:tcPr>
            <w:tcW w:type="dxa" w:w="1750"/>
          </w:tcPr>
          <w:p>
            <w:pPr>
              <w:spacing w:after="0" w:line="269" w:lineRule="auto"/>
            </w:pPr>
            <w:r>
              <w:rPr>
                <w:rFonts w:ascii="Calibri" w:hAnsi="Calibri"/>
                <w:color w:val="202A35"/>
                <w:sz w:val="18"/>
              </w:rPr>
              <w:t>National industrial park/zone reference and validation.</w:t>
            </w:r>
          </w:p>
        </w:tc>
        <w:tc>
          <w:tcPr>
            <w:tcW w:type="dxa" w:w="3900"/>
          </w:tcPr>
          <w:p>
            <w:pPr>
              <w:spacing w:after="0" w:line="269" w:lineRule="auto"/>
            </w:pPr>
            <w:r>
              <w:rPr>
                <w:rFonts w:ascii="Calibri" w:hAnsi="Calibri"/>
                <w:color w:val="202A35"/>
                <w:sz w:val="18"/>
              </w:rPr>
              <w:t>Treat as a scheduled reference snapshot, not a critical live dependency. Prefer official downloads/services.</w:t>
            </w:r>
          </w:p>
        </w:tc>
        <w:tc>
          <w:tcPr>
            <w:tcW w:type="dxa" w:w="2260"/>
          </w:tcPr>
          <w:p>
            <w:pPr>
              <w:spacing w:after="0" w:line="269" w:lineRule="auto"/>
            </w:pPr>
            <w:r>
              <w:rPr>
                <w:rFonts w:ascii="Calibri" w:hAnsi="Calibri"/>
                <w:color w:val="202A35"/>
                <w:sz w:val="18"/>
              </w:rPr>
              <w:t>Curate a review-approved CSV/GeoJSON import with evidence URL and snapshot date.</w:t>
            </w:r>
          </w:p>
        </w:tc>
      </w:tr>
      <w:tr>
        <w:tc>
          <w:tcPr>
            <w:tcW w:type="dxa" w:w="1450"/>
          </w:tcPr>
          <w:p>
            <w:pPr>
              <w:spacing w:after="0" w:line="269" w:lineRule="auto"/>
            </w:pPr>
            <w:r>
              <w:rPr>
                <w:rFonts w:ascii="Calibri" w:hAnsi="Calibri"/>
                <w:color w:val="202A35"/>
                <w:sz w:val="18"/>
              </w:rPr>
              <w:t>State GIS</w:t>
            </w:r>
          </w:p>
        </w:tc>
        <w:tc>
          <w:tcPr>
            <w:tcW w:type="dxa" w:w="1750"/>
          </w:tcPr>
          <w:p>
            <w:pPr>
              <w:spacing w:after="0" w:line="269" w:lineRule="auto"/>
            </w:pPr>
            <w:r>
              <w:rPr>
                <w:rFonts w:ascii="Calibri" w:hAnsi="Calibri"/>
                <w:color w:val="202A35"/>
                <w:sz w:val="18"/>
              </w:rPr>
              <w:t>Detailed industrial zones, parks, plots, facilities.</w:t>
            </w:r>
          </w:p>
        </w:tc>
        <w:tc>
          <w:tcPr>
            <w:tcW w:type="dxa" w:w="3900"/>
          </w:tcPr>
          <w:p>
            <w:pPr>
              <w:spacing w:after="0" w:line="269" w:lineRule="auto"/>
            </w:pPr>
            <w:r>
              <w:rPr>
                <w:rFonts w:ascii="Calibri" w:hAnsi="Calibri"/>
                <w:color w:val="202A35"/>
                <w:sz w:val="18"/>
              </w:rPr>
              <w:t>Implement one connector per state/service type (FeatureServer, WFS, GeoJSON, download); map to common schema.</w:t>
            </w:r>
          </w:p>
        </w:tc>
        <w:tc>
          <w:tcPr>
            <w:tcW w:type="dxa" w:w="2260"/>
          </w:tcPr>
          <w:p>
            <w:pPr>
              <w:spacing w:after="0" w:line="269" w:lineRule="auto"/>
            </w:pPr>
            <w:r>
              <w:rPr>
                <w:rFonts w:ascii="Calibri" w:hAnsi="Calibri"/>
                <w:color w:val="202A35"/>
                <w:sz w:val="18"/>
              </w:rPr>
              <w:t>Use official export or analyst-drawn feature only after supervisor approval.</w:t>
            </w:r>
          </w:p>
        </w:tc>
      </w:tr>
      <w:tr>
        <w:tc>
          <w:tcPr>
            <w:tcW w:type="dxa" w:w="1450"/>
          </w:tcPr>
          <w:p>
            <w:pPr>
              <w:spacing w:after="0" w:line="269" w:lineRule="auto"/>
            </w:pPr>
            <w:r>
              <w:rPr>
                <w:rFonts w:ascii="Calibri" w:hAnsi="Calibri"/>
                <w:color w:val="202A35"/>
                <w:sz w:val="18"/>
              </w:rPr>
              <w:t>Satellite imagery</w:t>
            </w:r>
          </w:p>
        </w:tc>
        <w:tc>
          <w:tcPr>
            <w:tcW w:type="dxa" w:w="1750"/>
          </w:tcPr>
          <w:p>
            <w:pPr>
              <w:spacing w:after="0" w:line="269" w:lineRule="auto"/>
            </w:pPr>
            <w:r>
              <w:rPr>
                <w:rFonts w:ascii="Calibri" w:hAnsi="Calibri"/>
                <w:color w:val="202A35"/>
                <w:sz w:val="18"/>
              </w:rPr>
              <w:t>Visual verification; optional ML features.</w:t>
            </w:r>
          </w:p>
        </w:tc>
        <w:tc>
          <w:tcPr>
            <w:tcW w:type="dxa" w:w="3900"/>
          </w:tcPr>
          <w:p>
            <w:pPr>
              <w:spacing w:after="0" w:line="269" w:lineRule="auto"/>
            </w:pPr>
            <w:r>
              <w:rPr>
                <w:rFonts w:ascii="Calibri" w:hAnsi="Calibri"/>
                <w:color w:val="202A35"/>
                <w:sz w:val="18"/>
              </w:rPr>
              <w:t>Request/crop imagery asynchronously; store thumbnail + full URI + acquisition metadata, not a base64 blob in DB.</w:t>
            </w:r>
          </w:p>
        </w:tc>
        <w:tc>
          <w:tcPr>
            <w:tcW w:type="dxa" w:w="2260"/>
          </w:tcPr>
          <w:p>
            <w:pPr>
              <w:spacing w:after="0" w:line="269" w:lineRule="auto"/>
            </w:pPr>
            <w:r>
              <w:rPr>
                <w:rFonts w:ascii="Calibri" w:hAnsi="Calibri"/>
                <w:color w:val="202A35"/>
                <w:sz w:val="18"/>
              </w:rPr>
              <w:t>Link a permissible manual screenshot/scene reference and reviewer note.</w:t>
            </w:r>
          </w:p>
        </w:tc>
      </w:tr>
    </w:tbl>
    <w:p>
      <w:pPr>
        <w:spacing w:after="40"/>
      </w:pP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E8EEF5"/>
            <w:vAlign w:val="center"/>
          </w:tcPr>
          <w:p>
            <w:pPr>
              <w:spacing w:after="40"/>
            </w:pPr>
            <w:r>
              <w:rPr>
                <w:rFonts w:ascii="Calibri" w:hAnsi="Calibri"/>
                <w:b/>
                <w:color w:val="0B2545"/>
                <w:sz w:val="20"/>
              </w:rPr>
              <w:t xml:space="preserve">Why adapters matter  </w:t>
            </w:r>
            <w:r>
              <w:rPr>
                <w:rFonts w:ascii="Calibri" w:hAnsi="Calibri"/>
                <w:color w:val="0B2545"/>
                <w:sz w:val="21"/>
              </w:rPr>
              <w:t>Each provider changes independently. An adapter owns authentication, request format, parsing, pagination, rate limits, and source-specific mapping. The rest of the pipeline receives the same `IndustrialFeature`/`ReferenceFeature` contract.</w:t>
            </w:r>
          </w:p>
        </w:tc>
      </w:tr>
    </w:tbl>
    <w:p>
      <w:pPr>
        <w:spacing w:after="40"/>
      </w:pPr>
    </w:p>
    <w:p>
      <w:pPr>
        <w:pStyle w:val="Heading2"/>
        <w:keepNext/>
        <w:spacing w:before="280" w:after="140" w:line="300" w:lineRule="auto"/>
      </w:pPr>
      <w:r>
        <w:rPr>
          <w:rFonts w:ascii="Calibri" w:hAnsi="Calibri"/>
          <w:sz w:val="22"/>
        </w:rPr>
        <w:t>Recipe 1.4 - Normalize to the Common Spatial Contract</w:t>
      </w:r>
    </w:p>
    <w:p>
      <w:pPr>
        <w:keepNext w:val="0"/>
        <w:spacing w:before="0" w:after="120" w:line="300" w:lineRule="auto"/>
      </w:pPr>
      <w:r>
        <w:rPr>
          <w:rFonts w:ascii="Calibri" w:hAnsi="Calibri"/>
          <w:sz w:val="22"/>
        </w:rPr>
        <w:t>Use WGS84 (`EPSG:4326`) for stored exchange geometry. For metre-based buffers/distances, transform within PostGIS to an appropriate projected CRS or use geography types. Keep the original CRS and source geometry in raw storage.</w:t>
      </w:r>
    </w:p>
    <w:tbl>
      <w:tblPr>
        <w:tblStyle w:val="TableGrid"/>
        <w:tblW w:type="dxa" w:w="9360"/>
        <w:jc w:val="left"/>
        <w:tblLayout w:type="fixed"/>
        <w:tblLook w:firstColumn="1" w:firstRow="1" w:lastColumn="0" w:lastRow="0" w:noHBand="0" w:noVBand="1" w:val="04A0"/>
        <w:tblLayout w:type="fixed"/>
        <w:tblInd w:w="120" w:type="dxa"/>
      </w:tblPr>
      <w:tblGrid>
        <w:gridCol w:w="2350"/>
        <w:gridCol w:w="7010"/>
      </w:tblGrid>
      <w:tr>
        <w:trPr>
          <w:tblHeader w:val="true"/>
        </w:trPr>
        <w:tc>
          <w:tcPr>
            <w:tcW w:type="dxa" w:w="2350"/>
            <w:tcMar>
              <w:top w:w="80" w:type="dxa"/>
              <w:start w:w="120" w:type="dxa"/>
              <w:bottom w:w="80" w:type="dxa"/>
              <w:end w:w="120" w:type="dxa"/>
            </w:tcMar>
            <w:shd w:fill="E8EEF5"/>
          </w:tcPr>
          <w:p>
            <w:pPr>
              <w:spacing w:after="0"/>
            </w:pPr>
            <w:r>
              <w:rPr>
                <w:rFonts w:ascii="Calibri" w:hAnsi="Calibri"/>
                <w:b/>
                <w:color w:val="0B2545"/>
                <w:sz w:val="18"/>
              </w:rPr>
              <w:t>Entity</w:t>
            </w:r>
          </w:p>
        </w:tc>
        <w:tc>
          <w:tcPr>
            <w:tcW w:type="dxa" w:w="7010"/>
            <w:tcMar>
              <w:top w:w="80" w:type="dxa"/>
              <w:start w:w="120" w:type="dxa"/>
              <w:bottom w:w="80" w:type="dxa"/>
              <w:end w:w="120" w:type="dxa"/>
            </w:tcMar>
            <w:shd w:fill="E8EEF5"/>
          </w:tcPr>
          <w:p>
            <w:pPr>
              <w:spacing w:after="0"/>
            </w:pPr>
            <w:r>
              <w:rPr>
                <w:rFonts w:ascii="Calibri" w:hAnsi="Calibri"/>
                <w:b/>
                <w:color w:val="0B2545"/>
                <w:sz w:val="18"/>
              </w:rPr>
              <w:t>Core fields</w:t>
            </w:r>
          </w:p>
        </w:tc>
      </w:tr>
      <w:tr>
        <w:tc>
          <w:tcPr>
            <w:tcW w:type="dxa" w:w="2350"/>
          </w:tcPr>
          <w:p>
            <w:pPr>
              <w:spacing w:after="0" w:line="269" w:lineRule="auto"/>
            </w:pPr>
            <w:r>
              <w:rPr>
                <w:rFonts w:ascii="Calibri" w:hAnsi="Calibri"/>
                <w:color w:val="202A35"/>
                <w:sz w:val="18"/>
              </w:rPr>
              <w:t>IndustrialFeature</w:t>
            </w:r>
          </w:p>
        </w:tc>
        <w:tc>
          <w:tcPr>
            <w:tcW w:type="dxa" w:w="7010"/>
          </w:tcPr>
          <w:p>
            <w:pPr>
              <w:spacing w:after="0" w:line="269" w:lineRule="auto"/>
            </w:pPr>
            <w:r>
              <w:rPr>
                <w:rFonts w:ascii="Calibri" w:hAnsi="Calibri"/>
                <w:color w:val="202A35"/>
                <w:sz w:val="18"/>
              </w:rPr>
              <w:t>source, source_id, feature_type, name, state, district, sector, status, geom, source_date, retrieved_at, license, raw_object_uri</w:t>
            </w:r>
          </w:p>
        </w:tc>
      </w:tr>
      <w:tr>
        <w:tc>
          <w:tcPr>
            <w:tcW w:type="dxa" w:w="2350"/>
          </w:tcPr>
          <w:p>
            <w:pPr>
              <w:spacing w:after="0" w:line="269" w:lineRule="auto"/>
            </w:pPr>
            <w:r>
              <w:rPr>
                <w:rFonts w:ascii="Calibri" w:hAnsi="Calibri"/>
                <w:color w:val="202A35"/>
                <w:sz w:val="18"/>
              </w:rPr>
              <w:t>ReferenceFeature</w:t>
            </w:r>
          </w:p>
        </w:tc>
        <w:tc>
          <w:tcPr>
            <w:tcW w:type="dxa" w:w="7010"/>
          </w:tcPr>
          <w:p>
            <w:pPr>
              <w:spacing w:after="0" w:line="269" w:lineRule="auto"/>
            </w:pPr>
            <w:r>
              <w:rPr>
                <w:rFonts w:ascii="Calibri" w:hAnsi="Calibri"/>
                <w:color w:val="202A35"/>
                <w:sz w:val="18"/>
              </w:rPr>
              <w:t>source, source_id, feature_class, tags_json, geom, source_date, retrieved_at, confidence_of_geometry</w:t>
            </w:r>
          </w:p>
        </w:tc>
      </w:tr>
      <w:tr>
        <w:tc>
          <w:tcPr>
            <w:tcW w:type="dxa" w:w="2350"/>
          </w:tcPr>
          <w:p>
            <w:pPr>
              <w:spacing w:after="0" w:line="269" w:lineRule="auto"/>
            </w:pPr>
            <w:r>
              <w:rPr>
                <w:rFonts w:ascii="Calibri" w:hAnsi="Calibri"/>
                <w:color w:val="202A35"/>
                <w:sz w:val="18"/>
              </w:rPr>
              <w:t>ThermalEvent</w:t>
            </w:r>
          </w:p>
        </w:tc>
        <w:tc>
          <w:tcPr>
            <w:tcW w:type="dxa" w:w="7010"/>
          </w:tcPr>
          <w:p>
            <w:pPr>
              <w:spacing w:after="0" w:line="269" w:lineRule="auto"/>
            </w:pPr>
            <w:r>
              <w:rPr>
                <w:rFonts w:ascii="Calibri" w:hAnsi="Calibri"/>
                <w:color w:val="202A35"/>
                <w:sz w:val="18"/>
              </w:rPr>
              <w:t>event_id, source_event_key, acquired_at_utc, geom, satellite, signal fields, ingest_status, raw_object_uri</w:t>
            </w:r>
          </w:p>
        </w:tc>
      </w:tr>
      <w:tr>
        <w:tc>
          <w:tcPr>
            <w:tcW w:type="dxa" w:w="2350"/>
          </w:tcPr>
          <w:p>
            <w:pPr>
              <w:spacing w:after="0" w:line="269" w:lineRule="auto"/>
            </w:pPr>
            <w:r>
              <w:rPr>
                <w:rFonts w:ascii="Calibri" w:hAnsi="Calibri"/>
                <w:color w:val="202A35"/>
                <w:sz w:val="18"/>
              </w:rPr>
              <w:t>EventEvidence</w:t>
            </w:r>
          </w:p>
        </w:tc>
        <w:tc>
          <w:tcPr>
            <w:tcW w:type="dxa" w:w="7010"/>
          </w:tcPr>
          <w:p>
            <w:pPr>
              <w:spacing w:after="0" w:line="269" w:lineRule="auto"/>
            </w:pPr>
            <w:r>
              <w:rPr>
                <w:rFonts w:ascii="Calibri" w:hAnsi="Calibri"/>
                <w:color w:val="202A35"/>
                <w:sz w:val="18"/>
              </w:rPr>
              <w:t>event_id, evidence_type, source, feature_id, distance_m, inside_flag, attributes_json, computed_at, algorithm_version</w:t>
            </w:r>
          </w:p>
        </w:tc>
      </w:tr>
      <w:tr>
        <w:tc>
          <w:tcPr>
            <w:tcW w:type="dxa" w:w="2350"/>
          </w:tcPr>
          <w:p>
            <w:pPr>
              <w:spacing w:after="0" w:line="269" w:lineRule="auto"/>
            </w:pPr>
            <w:r>
              <w:rPr>
                <w:rFonts w:ascii="Calibri" w:hAnsi="Calibri"/>
                <w:color w:val="202A35"/>
                <w:sz w:val="18"/>
              </w:rPr>
              <w:t>ManualOverride</w:t>
            </w:r>
          </w:p>
        </w:tc>
        <w:tc>
          <w:tcPr>
            <w:tcW w:type="dxa" w:w="7010"/>
          </w:tcPr>
          <w:p>
            <w:pPr>
              <w:spacing w:after="0" w:line="269" w:lineRule="auto"/>
            </w:pPr>
            <w:r>
              <w:rPr>
                <w:rFonts w:ascii="Calibri" w:hAnsi="Calibri"/>
                <w:color w:val="202A35"/>
                <w:sz w:val="18"/>
              </w:rPr>
              <w:t>target_type, target_id, field_name, old_value, new_value, reason, evidence_uri, actor, approved_by, created_at</w:t>
            </w:r>
          </w:p>
        </w:tc>
      </w:tr>
    </w:tbl>
    <w:p>
      <w:pPr>
        <w:spacing w:after="40"/>
      </w:pPr>
    </w:p>
    <w:p>
      <w:pPr>
        <w:pStyle w:val="Heading2"/>
        <w:keepNext/>
        <w:spacing w:before="280" w:after="140" w:line="300" w:lineRule="auto"/>
      </w:pPr>
      <w:r>
        <w:rPr>
          <w:rFonts w:ascii="Calibri" w:hAnsi="Calibri"/>
          <w:sz w:val="22"/>
        </w:rPr>
        <w:t>Recipe 1.5 - Spatial Matching and Fusion</w:t>
      </w:r>
    </w:p>
    <w:p>
      <w:pPr>
        <w:pStyle w:val="ListNumber"/>
        <w:spacing w:after="80" w:line="300" w:lineRule="auto"/>
      </w:pPr>
      <w:r>
        <w:rPr>
          <w:rFonts w:ascii="Calibri" w:hAnsi="Calibri"/>
          <w:sz w:val="22"/>
        </w:rPr>
        <w:t>For each new event, create a small work envelope: point, 1 km buffer, and configurable sector buffers (for example 250 m, 1 km, 5 km).</w:t>
      </w:r>
    </w:p>
    <w:p>
      <w:pPr>
        <w:pStyle w:val="ListNumber"/>
        <w:spacing w:after="80" w:line="300" w:lineRule="auto"/>
      </w:pPr>
      <w:r>
        <w:rPr>
          <w:rFonts w:ascii="Calibri" w:hAnsi="Calibri"/>
          <w:sz w:val="22"/>
        </w:rPr>
        <w:t>Query preloaded PostGIS layers first. Do not call remote GIS services in the event request path if a refreshed local copy exists.</w:t>
      </w:r>
    </w:p>
    <w:p>
      <w:pPr>
        <w:pStyle w:val="ListNumber"/>
        <w:spacing w:after="80" w:line="300" w:lineRule="auto"/>
      </w:pPr>
      <w:r>
        <w:rPr>
          <w:rFonts w:ascii="Calibri" w:hAnsi="Calibri"/>
          <w:sz w:val="22"/>
        </w:rPr>
        <w:t>Compute inside/overlap for polygons and nearest distance for point/line/polygon features; store the actual matched feature ID and the rule version.</w:t>
      </w:r>
    </w:p>
    <w:p>
      <w:pPr>
        <w:pStyle w:val="ListNumber"/>
        <w:spacing w:after="80" w:line="300" w:lineRule="auto"/>
      </w:pPr>
      <w:r>
        <w:rPr>
          <w:rFonts w:ascii="Calibri" w:hAnsi="Calibri"/>
          <w:sz w:val="22"/>
        </w:rPr>
        <w:t>Summarize counts and distances into stable event features: inside industrial zone, nearest industrial feature, factory count in 1 km, distance to forest, land-cover class, etc.</w:t>
      </w:r>
    </w:p>
    <w:p>
      <w:pPr>
        <w:pStyle w:val="ListNumber"/>
        <w:spacing w:after="80" w:line="300" w:lineRule="auto"/>
      </w:pPr>
      <w:r>
        <w:rPr>
          <w:rFonts w:ascii="Calibri" w:hAnsi="Calibri"/>
          <w:sz w:val="22"/>
        </w:rPr>
        <w:t>Record no-match explicitly. A missing feature is not proof that the feature does not exist; label the result `unknown` where source coverage is incomplete.</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FIRMS point</w:t>
              <w:br/>
              <w:t xml:space="preserve">   |</w:t>
              <w:br/>
              <w:t xml:space="preserve">   +--&gt; ST_Intersects(event, industrial polygons) --&gt; inside_industrial_zone</w:t>
              <w:br/>
              <w:t xml:space="preserve">   +--&gt; ST_DWithin(event, factories, 1000m)       --&gt; factory_count_1km</w:t>
              <w:br/>
              <w:t xml:space="preserve">   +--&gt; ST_Distance(event, nearest forest)        --&gt; distance_to_forest_m</w:t>
              <w:br/>
              <w:t xml:space="preserve">   +--&gt; land-cover raster sample                  --&gt; land_cover_class</w:t>
              <w:br/>
              <w:t xml:space="preserve">   |</w:t>
              <w:br/>
              <w:t xml:space="preserve">   +--&gt; EventEvidence rows + versioned feature snapshot</w:t>
            </w:r>
          </w:p>
        </w:tc>
      </w:tr>
    </w:tbl>
    <w:p>
      <w:pPr>
        <w:spacing w:after="40"/>
      </w:pPr>
    </w:p>
    <w:p>
      <w:pPr>
        <w:pStyle w:val="Heading2"/>
        <w:keepNext/>
        <w:spacing w:before="280" w:after="140" w:line="300" w:lineRule="auto"/>
      </w:pPr>
      <w:r>
        <w:rPr>
          <w:rFonts w:ascii="Calibri" w:hAnsi="Calibri"/>
          <w:sz w:val="22"/>
        </w:rPr>
        <w:t>Recipe 1.6 - Scheduling, Retries, Caching, and Failure Handling</w:t>
      </w:r>
    </w:p>
    <w:tbl>
      <w:tblPr>
        <w:tblStyle w:val="TableGrid"/>
        <w:tblW w:type="dxa" w:w="9860"/>
        <w:jc w:val="left"/>
        <w:tblLayout w:type="fixed"/>
        <w:tblLook w:firstColumn="1" w:firstRow="1" w:lastColumn="0" w:lastRow="0" w:noHBand="0" w:noVBand="1" w:val="04A0"/>
        <w:tblLayout w:type="fixed"/>
        <w:tblInd w:w="120" w:type="dxa"/>
      </w:tblPr>
      <w:tblGrid>
        <w:gridCol w:w="1750"/>
        <w:gridCol w:w="3550"/>
        <w:gridCol w:w="4560"/>
      </w:tblGrid>
      <w:tr>
        <w:trPr>
          <w:tblHeader w:val="true"/>
        </w:trPr>
        <w:tc>
          <w:tcPr>
            <w:tcW w:type="dxa" w:w="1750"/>
            <w:tcMar>
              <w:top w:w="80" w:type="dxa"/>
              <w:start w:w="120" w:type="dxa"/>
              <w:bottom w:w="80" w:type="dxa"/>
              <w:end w:w="120" w:type="dxa"/>
            </w:tcMar>
            <w:shd w:fill="E8EEF5"/>
          </w:tcPr>
          <w:p>
            <w:pPr>
              <w:spacing w:after="0"/>
            </w:pPr>
            <w:r>
              <w:rPr>
                <w:rFonts w:ascii="Calibri" w:hAnsi="Calibri"/>
                <w:b/>
                <w:color w:val="0B2545"/>
                <w:sz w:val="18"/>
              </w:rPr>
              <w:t>Control</w:t>
            </w:r>
          </w:p>
        </w:tc>
        <w:tc>
          <w:tcPr>
            <w:tcW w:type="dxa" w:w="3550"/>
            <w:tcMar>
              <w:top w:w="80" w:type="dxa"/>
              <w:start w:w="120" w:type="dxa"/>
              <w:bottom w:w="80" w:type="dxa"/>
              <w:end w:w="120" w:type="dxa"/>
            </w:tcMar>
            <w:shd w:fill="E8EEF5"/>
          </w:tcPr>
          <w:p>
            <w:pPr>
              <w:spacing w:after="0"/>
            </w:pPr>
            <w:r>
              <w:rPr>
                <w:rFonts w:ascii="Calibri" w:hAnsi="Calibri"/>
                <w:b/>
                <w:color w:val="0B2545"/>
                <w:sz w:val="18"/>
              </w:rPr>
              <w:t>Default policy</w:t>
            </w:r>
          </w:p>
        </w:tc>
        <w:tc>
          <w:tcPr>
            <w:tcW w:type="dxa" w:w="4560"/>
            <w:tcMar>
              <w:top w:w="80" w:type="dxa"/>
              <w:start w:w="120" w:type="dxa"/>
              <w:bottom w:w="80" w:type="dxa"/>
              <w:end w:w="120" w:type="dxa"/>
            </w:tcMar>
            <w:shd w:fill="E8EEF5"/>
          </w:tcPr>
          <w:p>
            <w:pPr>
              <w:spacing w:after="0"/>
            </w:pPr>
            <w:r>
              <w:rPr>
                <w:rFonts w:ascii="Calibri" w:hAnsi="Calibri"/>
                <w:b/>
                <w:color w:val="0B2545"/>
                <w:sz w:val="18"/>
              </w:rPr>
              <w:t>Reason</w:t>
            </w:r>
          </w:p>
        </w:tc>
      </w:tr>
      <w:tr>
        <w:tc>
          <w:tcPr>
            <w:tcW w:type="dxa" w:w="1750"/>
          </w:tcPr>
          <w:p>
            <w:pPr>
              <w:spacing w:after="0" w:line="269" w:lineRule="auto"/>
            </w:pPr>
            <w:r>
              <w:rPr>
                <w:rFonts w:ascii="Calibri" w:hAnsi="Calibri"/>
                <w:color w:val="202A35"/>
                <w:sz w:val="18"/>
              </w:rPr>
              <w:t>Scheduler</w:t>
            </w:r>
          </w:p>
        </w:tc>
        <w:tc>
          <w:tcPr>
            <w:tcW w:type="dxa" w:w="3550"/>
          </w:tcPr>
          <w:p>
            <w:pPr>
              <w:spacing w:after="0" w:line="269" w:lineRule="auto"/>
            </w:pPr>
            <w:r>
              <w:rPr>
                <w:rFonts w:ascii="Calibri" w:hAnsi="Calibri"/>
                <w:color w:val="202A35"/>
                <w:sz w:val="18"/>
              </w:rPr>
              <w:t>FIRMS 15-30 min; source-health daily; reference layer refresh weekly/monthly; historical backfill separate queue.</w:t>
            </w:r>
          </w:p>
        </w:tc>
        <w:tc>
          <w:tcPr>
            <w:tcW w:type="dxa" w:w="4560"/>
          </w:tcPr>
          <w:p>
            <w:pPr>
              <w:spacing w:after="0" w:line="269" w:lineRule="auto"/>
            </w:pPr>
            <w:r>
              <w:rPr>
                <w:rFonts w:ascii="Calibri" w:hAnsi="Calibri"/>
                <w:color w:val="202A35"/>
                <w:sz w:val="18"/>
              </w:rPr>
              <w:t>Avoid mixing fast event flow with slow reference refreshes.</w:t>
            </w:r>
          </w:p>
        </w:tc>
      </w:tr>
      <w:tr>
        <w:tc>
          <w:tcPr>
            <w:tcW w:type="dxa" w:w="1750"/>
          </w:tcPr>
          <w:p>
            <w:pPr>
              <w:spacing w:after="0" w:line="269" w:lineRule="auto"/>
            </w:pPr>
            <w:r>
              <w:rPr>
                <w:rFonts w:ascii="Calibri" w:hAnsi="Calibri"/>
                <w:color w:val="202A35"/>
                <w:sz w:val="18"/>
              </w:rPr>
              <w:t>Retry</w:t>
            </w:r>
          </w:p>
        </w:tc>
        <w:tc>
          <w:tcPr>
            <w:tcW w:type="dxa" w:w="3550"/>
          </w:tcPr>
          <w:p>
            <w:pPr>
              <w:spacing w:after="0" w:line="269" w:lineRule="auto"/>
            </w:pPr>
            <w:r>
              <w:rPr>
                <w:rFonts w:ascii="Calibri" w:hAnsi="Calibri"/>
                <w:color w:val="202A35"/>
                <w:sz w:val="18"/>
              </w:rPr>
              <w:t>Transient network/429/5xx: exponential backoff with jitter, max 5 attempts. Authentication/4xx schema errors: stop and alert.</w:t>
            </w:r>
          </w:p>
        </w:tc>
        <w:tc>
          <w:tcPr>
            <w:tcW w:type="dxa" w:w="4560"/>
          </w:tcPr>
          <w:p>
            <w:pPr>
              <w:spacing w:after="0" w:line="269" w:lineRule="auto"/>
            </w:pPr>
            <w:r>
              <w:rPr>
                <w:rFonts w:ascii="Calibri" w:hAnsi="Calibri"/>
                <w:color w:val="202A35"/>
                <w:sz w:val="18"/>
              </w:rPr>
              <w:t>Retries must not amplify provider outages.</w:t>
            </w:r>
          </w:p>
        </w:tc>
      </w:tr>
      <w:tr>
        <w:tc>
          <w:tcPr>
            <w:tcW w:type="dxa" w:w="1750"/>
          </w:tcPr>
          <w:p>
            <w:pPr>
              <w:spacing w:after="0" w:line="269" w:lineRule="auto"/>
            </w:pPr>
            <w:r>
              <w:rPr>
                <w:rFonts w:ascii="Calibri" w:hAnsi="Calibri"/>
                <w:color w:val="202A35"/>
                <w:sz w:val="18"/>
              </w:rPr>
              <w:t>Circuit breaker</w:t>
            </w:r>
          </w:p>
        </w:tc>
        <w:tc>
          <w:tcPr>
            <w:tcW w:type="dxa" w:w="3550"/>
          </w:tcPr>
          <w:p>
            <w:pPr>
              <w:spacing w:after="0" w:line="269" w:lineRule="auto"/>
            </w:pPr>
            <w:r>
              <w:rPr>
                <w:rFonts w:ascii="Calibri" w:hAnsi="Calibri"/>
                <w:color w:val="202A35"/>
                <w:sz w:val="18"/>
              </w:rPr>
              <w:t>Open after repeated failures; probe after cooldown; keep queue items pending.</w:t>
            </w:r>
          </w:p>
        </w:tc>
        <w:tc>
          <w:tcPr>
            <w:tcW w:type="dxa" w:w="4560"/>
          </w:tcPr>
          <w:p>
            <w:pPr>
              <w:spacing w:after="0" w:line="269" w:lineRule="auto"/>
            </w:pPr>
            <w:r>
              <w:rPr>
                <w:rFonts w:ascii="Calibri" w:hAnsi="Calibri"/>
                <w:color w:val="202A35"/>
                <w:sz w:val="18"/>
              </w:rPr>
              <w:t>Protects quotas and avoids noisy failures.</w:t>
            </w:r>
          </w:p>
        </w:tc>
      </w:tr>
      <w:tr>
        <w:tc>
          <w:tcPr>
            <w:tcW w:type="dxa" w:w="1750"/>
          </w:tcPr>
          <w:p>
            <w:pPr>
              <w:spacing w:after="0" w:line="269" w:lineRule="auto"/>
            </w:pPr>
            <w:r>
              <w:rPr>
                <w:rFonts w:ascii="Calibri" w:hAnsi="Calibri"/>
                <w:color w:val="202A35"/>
                <w:sz w:val="18"/>
              </w:rPr>
              <w:t>Cache</w:t>
            </w:r>
          </w:p>
        </w:tc>
        <w:tc>
          <w:tcPr>
            <w:tcW w:type="dxa" w:w="3550"/>
          </w:tcPr>
          <w:p>
            <w:pPr>
              <w:spacing w:after="0" w:line="269" w:lineRule="auto"/>
            </w:pPr>
            <w:r>
              <w:rPr>
                <w:rFonts w:ascii="Calibri" w:hAnsi="Calibri"/>
                <w:color w:val="202A35"/>
                <w:sz w:val="18"/>
              </w:rPr>
              <w:t>OSM/tile queries keyed by geohash + query version; imagery and reference layer requests keyed by source asset ID; TTL from source registry.</w:t>
            </w:r>
          </w:p>
        </w:tc>
        <w:tc>
          <w:tcPr>
            <w:tcW w:type="dxa" w:w="4560"/>
          </w:tcPr>
          <w:p>
            <w:pPr>
              <w:spacing w:after="0" w:line="269" w:lineRule="auto"/>
            </w:pPr>
            <w:r>
              <w:rPr>
                <w:rFonts w:ascii="Calibri" w:hAnsi="Calibri"/>
                <w:color w:val="202A35"/>
                <w:sz w:val="18"/>
              </w:rPr>
              <w:t>Controls latency and public-service load.</w:t>
            </w:r>
          </w:p>
        </w:tc>
      </w:tr>
      <w:tr>
        <w:tc>
          <w:tcPr>
            <w:tcW w:type="dxa" w:w="1750"/>
          </w:tcPr>
          <w:p>
            <w:pPr>
              <w:spacing w:after="0" w:line="269" w:lineRule="auto"/>
            </w:pPr>
            <w:r>
              <w:rPr>
                <w:rFonts w:ascii="Calibri" w:hAnsi="Calibri"/>
                <w:color w:val="202A35"/>
                <w:sz w:val="18"/>
              </w:rPr>
              <w:t>Dead-letter queue</w:t>
            </w:r>
          </w:p>
        </w:tc>
        <w:tc>
          <w:tcPr>
            <w:tcW w:type="dxa" w:w="3550"/>
          </w:tcPr>
          <w:p>
            <w:pPr>
              <w:spacing w:after="0" w:line="269" w:lineRule="auto"/>
            </w:pPr>
            <w:r>
              <w:rPr>
                <w:rFonts w:ascii="Calibri" w:hAnsi="Calibri"/>
                <w:color w:val="202A35"/>
                <w:sz w:val="18"/>
              </w:rPr>
              <w:t>Jobs that exhaust retries carry input, error class, timestamps, and replay action.</w:t>
            </w:r>
          </w:p>
        </w:tc>
        <w:tc>
          <w:tcPr>
            <w:tcW w:type="dxa" w:w="4560"/>
          </w:tcPr>
          <w:p>
            <w:pPr>
              <w:spacing w:after="0" w:line="269" w:lineRule="auto"/>
            </w:pPr>
            <w:r>
              <w:rPr>
                <w:rFonts w:ascii="Calibri" w:hAnsi="Calibri"/>
                <w:color w:val="202A35"/>
                <w:sz w:val="18"/>
              </w:rPr>
              <w:t>Makes recovery explicit, not silent.</w:t>
            </w:r>
          </w:p>
        </w:tc>
      </w:tr>
      <w:tr>
        <w:tc>
          <w:tcPr>
            <w:tcW w:type="dxa" w:w="1750"/>
          </w:tcPr>
          <w:p>
            <w:pPr>
              <w:spacing w:after="0" w:line="269" w:lineRule="auto"/>
            </w:pPr>
            <w:r>
              <w:rPr>
                <w:rFonts w:ascii="Calibri" w:hAnsi="Calibri"/>
                <w:color w:val="202A35"/>
                <w:sz w:val="18"/>
              </w:rPr>
              <w:t>Run ledger</w:t>
            </w:r>
          </w:p>
        </w:tc>
        <w:tc>
          <w:tcPr>
            <w:tcW w:type="dxa" w:w="3550"/>
          </w:tcPr>
          <w:p>
            <w:pPr>
              <w:spacing w:after="0" w:line="269" w:lineRule="auto"/>
            </w:pPr>
            <w:r>
              <w:rPr>
                <w:rFonts w:ascii="Calibri" w:hAnsi="Calibri"/>
                <w:color w:val="202A35"/>
                <w:sz w:val="18"/>
              </w:rPr>
              <w:t>Every scheduled run records source, request window, count, status, duration, retry count, and raw URI.</w:t>
            </w:r>
          </w:p>
        </w:tc>
        <w:tc>
          <w:tcPr>
            <w:tcW w:type="dxa" w:w="4560"/>
          </w:tcPr>
          <w:p>
            <w:pPr>
              <w:spacing w:after="0" w:line="269" w:lineRule="auto"/>
            </w:pPr>
            <w:r>
              <w:rPr>
                <w:rFonts w:ascii="Calibri" w:hAnsi="Calibri"/>
                <w:color w:val="202A35"/>
                <w:sz w:val="18"/>
              </w:rPr>
              <w:t>Supports operations, audit, and debugging.</w:t>
            </w:r>
          </w:p>
        </w:tc>
      </w:tr>
    </w:tbl>
    <w:p>
      <w:pPr>
        <w:spacing w:after="40"/>
      </w:pPr>
    </w:p>
    <w:p>
      <w:pPr>
        <w:pStyle w:val="Heading2"/>
        <w:keepNext/>
        <w:spacing w:before="280" w:after="140" w:line="300" w:lineRule="auto"/>
      </w:pPr>
      <w:r>
        <w:rPr>
          <w:rFonts w:ascii="Calibri" w:hAnsi="Calibri"/>
          <w:sz w:val="22"/>
        </w:rPr>
        <w:t>Manual fallback runbook - Stage 1</w:t>
      </w:r>
    </w:p>
    <w:tbl>
      <w:tblPr>
        <w:tblStyle w:val="TableGrid"/>
        <w:tblW w:type="dxa" w:w="9860"/>
        <w:jc w:val="left"/>
        <w:tblLayout w:type="fixed"/>
        <w:tblLook w:firstColumn="1" w:firstRow="1" w:lastColumn="0" w:lastRow="0" w:noHBand="0" w:noVBand="1" w:val="04A0"/>
        <w:tblLayout w:type="fixed"/>
        <w:tblInd w:w="120" w:type="dxa"/>
      </w:tblPr>
      <w:tblGrid>
        <w:gridCol w:w="1900"/>
        <w:gridCol w:w="4400"/>
        <w:gridCol w:w="3560"/>
      </w:tblGrid>
      <w:tr>
        <w:trPr>
          <w:tblHeader w:val="true"/>
        </w:trPr>
        <w:tc>
          <w:tcPr>
            <w:tcW w:type="dxa" w:w="1900"/>
            <w:tcMar>
              <w:top w:w="80" w:type="dxa"/>
              <w:start w:w="120" w:type="dxa"/>
              <w:bottom w:w="80" w:type="dxa"/>
              <w:end w:w="120" w:type="dxa"/>
            </w:tcMar>
            <w:shd w:fill="E8EEF5"/>
          </w:tcPr>
          <w:p>
            <w:pPr>
              <w:spacing w:after="0"/>
            </w:pPr>
            <w:r>
              <w:rPr>
                <w:rFonts w:ascii="Calibri" w:hAnsi="Calibri"/>
                <w:b/>
                <w:color w:val="0B2545"/>
                <w:sz w:val="18"/>
              </w:rPr>
              <w:t>When</w:t>
            </w:r>
          </w:p>
        </w:tc>
        <w:tc>
          <w:tcPr>
            <w:tcW w:type="dxa" w:w="4400"/>
            <w:tcMar>
              <w:top w:w="80" w:type="dxa"/>
              <w:start w:w="120" w:type="dxa"/>
              <w:bottom w:w="80" w:type="dxa"/>
              <w:end w:w="120" w:type="dxa"/>
            </w:tcMar>
            <w:shd w:fill="E8EEF5"/>
          </w:tcPr>
          <w:p>
            <w:pPr>
              <w:spacing w:after="0"/>
            </w:pPr>
            <w:r>
              <w:rPr>
                <w:rFonts w:ascii="Calibri" w:hAnsi="Calibri"/>
                <w:b/>
                <w:color w:val="0B2545"/>
                <w:sz w:val="18"/>
              </w:rPr>
              <w:t>Human action</w:t>
            </w:r>
          </w:p>
        </w:tc>
        <w:tc>
          <w:tcPr>
            <w:tcW w:type="dxa" w:w="3560"/>
            <w:tcMar>
              <w:top w:w="80" w:type="dxa"/>
              <w:start w:w="120" w:type="dxa"/>
              <w:bottom w:w="80" w:type="dxa"/>
              <w:end w:w="120" w:type="dxa"/>
            </w:tcMar>
            <w:shd w:fill="E8EEF5"/>
          </w:tcPr>
          <w:p>
            <w:pPr>
              <w:spacing w:after="0"/>
            </w:pPr>
            <w:r>
              <w:rPr>
                <w:rFonts w:ascii="Calibri" w:hAnsi="Calibri"/>
                <w:b/>
                <w:color w:val="0B2545"/>
                <w:sz w:val="18"/>
              </w:rPr>
              <w:t>Record</w:t>
            </w:r>
          </w:p>
        </w:tc>
      </w:tr>
      <w:tr>
        <w:tc>
          <w:tcPr>
            <w:tcW w:type="dxa" w:w="1900"/>
          </w:tcPr>
          <w:p>
            <w:pPr>
              <w:spacing w:after="0" w:line="269" w:lineRule="auto"/>
            </w:pPr>
            <w:r>
              <w:rPr>
                <w:rFonts w:ascii="Calibri" w:hAnsi="Calibri"/>
                <w:color w:val="202A35"/>
                <w:sz w:val="18"/>
              </w:rPr>
              <w:t>FIRMS unavailable</w:t>
            </w:r>
          </w:p>
        </w:tc>
        <w:tc>
          <w:tcPr>
            <w:tcW w:type="dxa" w:w="4400"/>
          </w:tcPr>
          <w:p>
            <w:pPr>
              <w:spacing w:after="0" w:line="269" w:lineRule="auto"/>
            </w:pPr>
            <w:r>
              <w:rPr>
                <w:rFonts w:ascii="Calibri" w:hAnsi="Calibri"/>
                <w:color w:val="202A35"/>
                <w:sz w:val="18"/>
              </w:rPr>
              <w:t>Pause alerting or mark delayed; download the next available official file when restored; replay the missed time range with overlap.</w:t>
            </w:r>
          </w:p>
        </w:tc>
        <w:tc>
          <w:tcPr>
            <w:tcW w:type="dxa" w:w="3560"/>
          </w:tcPr>
          <w:p>
            <w:pPr>
              <w:spacing w:after="0" w:line="269" w:lineRule="auto"/>
            </w:pPr>
            <w:r>
              <w:rPr>
                <w:rFonts w:ascii="Calibri" w:hAnsi="Calibri"/>
                <w:color w:val="202A35"/>
                <w:sz w:val="18"/>
              </w:rPr>
              <w:t>Incident ID, gap start/end, replay result.</w:t>
            </w:r>
          </w:p>
        </w:tc>
      </w:tr>
      <w:tr>
        <w:tc>
          <w:tcPr>
            <w:tcW w:type="dxa" w:w="1900"/>
          </w:tcPr>
          <w:p>
            <w:pPr>
              <w:spacing w:after="0" w:line="269" w:lineRule="auto"/>
            </w:pPr>
            <w:r>
              <w:rPr>
                <w:rFonts w:ascii="Calibri" w:hAnsi="Calibri"/>
                <w:color w:val="202A35"/>
                <w:sz w:val="18"/>
              </w:rPr>
              <w:t>OSM/Overpass rate-limited</w:t>
            </w:r>
          </w:p>
        </w:tc>
        <w:tc>
          <w:tcPr>
            <w:tcW w:type="dxa" w:w="4400"/>
          </w:tcPr>
          <w:p>
            <w:pPr>
              <w:spacing w:after="0" w:line="269" w:lineRule="auto"/>
            </w:pPr>
            <w:r>
              <w:rPr>
                <w:rFonts w:ascii="Calibri" w:hAnsi="Calibri"/>
                <w:color w:val="202A35"/>
                <w:sz w:val="18"/>
              </w:rPr>
              <w:t>Switch to cached/local regional extract; do not repeatedly hit public endpoint.</w:t>
            </w:r>
          </w:p>
        </w:tc>
        <w:tc>
          <w:tcPr>
            <w:tcW w:type="dxa" w:w="3560"/>
          </w:tcPr>
          <w:p>
            <w:pPr>
              <w:spacing w:after="0" w:line="269" w:lineRule="auto"/>
            </w:pPr>
            <w:r>
              <w:rPr>
                <w:rFonts w:ascii="Calibri" w:hAnsi="Calibri"/>
                <w:color w:val="202A35"/>
                <w:sz w:val="18"/>
              </w:rPr>
              <w:t>Snapshot ID and expiry.</w:t>
            </w:r>
          </w:p>
        </w:tc>
      </w:tr>
      <w:tr>
        <w:tc>
          <w:tcPr>
            <w:tcW w:type="dxa" w:w="1900"/>
          </w:tcPr>
          <w:p>
            <w:pPr>
              <w:spacing w:after="0" w:line="269" w:lineRule="auto"/>
            </w:pPr>
            <w:r>
              <w:rPr>
                <w:rFonts w:ascii="Calibri" w:hAnsi="Calibri"/>
                <w:color w:val="202A35"/>
                <w:sz w:val="18"/>
              </w:rPr>
              <w:t>Government service unavailable</w:t>
            </w:r>
          </w:p>
        </w:tc>
        <w:tc>
          <w:tcPr>
            <w:tcW w:type="dxa" w:w="4400"/>
          </w:tcPr>
          <w:p>
            <w:pPr>
              <w:spacing w:after="0" w:line="269" w:lineRule="auto"/>
            </w:pPr>
            <w:r>
              <w:rPr>
                <w:rFonts w:ascii="Calibri" w:hAnsi="Calibri"/>
                <w:color w:val="202A35"/>
                <w:sz w:val="18"/>
              </w:rPr>
              <w:t>Use last approved snapshot; display `reference date` and `coverage unknown` where relevant.</w:t>
            </w:r>
          </w:p>
        </w:tc>
        <w:tc>
          <w:tcPr>
            <w:tcW w:type="dxa" w:w="3560"/>
          </w:tcPr>
          <w:p>
            <w:pPr>
              <w:spacing w:after="0" w:line="269" w:lineRule="auto"/>
            </w:pPr>
            <w:r>
              <w:rPr>
                <w:rFonts w:ascii="Calibri" w:hAnsi="Calibri"/>
                <w:color w:val="202A35"/>
                <w:sz w:val="18"/>
              </w:rPr>
              <w:t>Source health state and snapshot date.</w:t>
            </w:r>
          </w:p>
        </w:tc>
      </w:tr>
      <w:tr>
        <w:tc>
          <w:tcPr>
            <w:tcW w:type="dxa" w:w="1900"/>
          </w:tcPr>
          <w:p>
            <w:pPr>
              <w:spacing w:after="0" w:line="269" w:lineRule="auto"/>
            </w:pPr>
            <w:r>
              <w:rPr>
                <w:rFonts w:ascii="Calibri" w:hAnsi="Calibri"/>
                <w:color w:val="202A35"/>
                <w:sz w:val="18"/>
              </w:rPr>
              <w:t>Missing industrial geometry</w:t>
            </w:r>
          </w:p>
        </w:tc>
        <w:tc>
          <w:tcPr>
            <w:tcW w:type="dxa" w:w="4400"/>
          </w:tcPr>
          <w:p>
            <w:pPr>
              <w:spacing w:after="0" w:line="269" w:lineRule="auto"/>
            </w:pPr>
            <w:r>
              <w:rPr>
                <w:rFonts w:ascii="Calibri" w:hAnsi="Calibri"/>
                <w:color w:val="202A35"/>
                <w:sz w:val="18"/>
              </w:rPr>
              <w:t>Analyst submits candidate feature with source link/screenshot; data steward approves before use.</w:t>
            </w:r>
          </w:p>
        </w:tc>
        <w:tc>
          <w:tcPr>
            <w:tcW w:type="dxa" w:w="3560"/>
          </w:tcPr>
          <w:p>
            <w:pPr>
              <w:spacing w:after="0" w:line="269" w:lineRule="auto"/>
            </w:pPr>
            <w:r>
              <w:rPr>
                <w:rFonts w:ascii="Calibri" w:hAnsi="Calibri"/>
                <w:color w:val="202A35"/>
                <w:sz w:val="18"/>
              </w:rPr>
              <w:t>Manual feature version and approval.</w:t>
            </w:r>
          </w:p>
        </w:tc>
      </w:tr>
      <w:tr>
        <w:tc>
          <w:tcPr>
            <w:tcW w:type="dxa" w:w="1900"/>
          </w:tcPr>
          <w:p>
            <w:pPr>
              <w:spacing w:after="0" w:line="269" w:lineRule="auto"/>
            </w:pPr>
            <w:r>
              <w:rPr>
                <w:rFonts w:ascii="Calibri" w:hAnsi="Calibri"/>
                <w:color w:val="202A35"/>
                <w:sz w:val="18"/>
              </w:rPr>
              <w:t>Wrong classification/context</w:t>
            </w:r>
          </w:p>
        </w:tc>
        <w:tc>
          <w:tcPr>
            <w:tcW w:type="dxa" w:w="4400"/>
          </w:tcPr>
          <w:p>
            <w:pPr>
              <w:spacing w:after="0" w:line="269" w:lineRule="auto"/>
            </w:pPr>
            <w:r>
              <w:rPr>
                <w:rFonts w:ascii="Calibri" w:hAnsi="Calibri"/>
                <w:color w:val="202A35"/>
                <w:sz w:val="18"/>
              </w:rPr>
              <w:t>Create a manual override; retain model output and all original evidence.</w:t>
            </w:r>
          </w:p>
        </w:tc>
        <w:tc>
          <w:tcPr>
            <w:tcW w:type="dxa" w:w="3560"/>
          </w:tcPr>
          <w:p>
            <w:pPr>
              <w:spacing w:after="0" w:line="269" w:lineRule="auto"/>
            </w:pPr>
            <w:r>
              <w:rPr>
                <w:rFonts w:ascii="Calibri" w:hAnsi="Calibri"/>
                <w:color w:val="202A35"/>
                <w:sz w:val="18"/>
              </w:rPr>
              <w:t>Reason, evidence URI, actor, approver.</w:t>
            </w:r>
          </w:p>
        </w:tc>
      </w:tr>
    </w:tbl>
    <w:p>
      <w:pPr>
        <w:spacing w:after="40"/>
      </w:pPr>
    </w:p>
    <w:p>
      <w:r>
        <w:br w:type="page"/>
      </w:r>
    </w:p>
    <w:p>
      <w:pPr>
        <w:pStyle w:val="Heading1"/>
        <w:keepNext/>
        <w:spacing w:before="360" w:after="200" w:line="300" w:lineRule="auto"/>
      </w:pPr>
      <w:r>
        <w:rPr>
          <w:rFonts w:ascii="Calibri" w:hAnsi="Calibri"/>
          <w:sz w:val="22"/>
        </w:rPr>
        <w:t>Data Storage and Database Plan</w:t>
      </w:r>
    </w:p>
    <w:p>
      <w:pPr>
        <w:keepNext w:val="0"/>
        <w:spacing w:before="0" w:after="120" w:line="300" w:lineRule="auto"/>
      </w:pPr>
      <w:r>
        <w:rPr>
          <w:rFonts w:ascii="Calibri" w:hAnsi="Calibri"/>
          <w:sz w:val="22"/>
        </w:rPr>
        <w:t>Use PostgreSQL + PostGIS for operational data and spatial queries. Use object storage for immutable raw source files, imagery crops, feature exports, model artifacts, and reproducible training datasets.</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Object storage (immutable)                  PostgreSQL + PostGIS (queryable)</w:t>
              <w:br/>
              <w:t>raw/firms/YYYY/MM/DD/file.csv   -----&gt;      ingestion_runs, raw_firms_records</w:t>
              <w:br/>
              <w:t>raw/gis/source/snapshot.geojson -----&gt;      thermal_events, reference_features</w:t>
              <w:br/>
              <w:t>imagery/event_id/*.tif|png      -----&gt;      event_evidence, event_feature_snapshots</w:t>
              <w:br/>
              <w:t>models/version/*                -----&gt;      predictions, persistence_clusters</w:t>
              <w:br/>
              <w:t>training/dataset_version/*      -----&gt;      labels, manual_overrides, audit_log</w:t>
            </w:r>
          </w:p>
        </w:tc>
      </w:tr>
    </w:tbl>
    <w:p>
      <w:pPr>
        <w:spacing w:after="40"/>
      </w:pPr>
    </w:p>
    <w:p>
      <w:pPr>
        <w:pStyle w:val="Heading2"/>
        <w:keepNext/>
        <w:spacing w:before="280" w:after="140" w:line="300" w:lineRule="auto"/>
      </w:pPr>
      <w:r>
        <w:rPr>
          <w:rFonts w:ascii="Calibri" w:hAnsi="Calibri"/>
          <w:sz w:val="22"/>
        </w:rPr>
        <w:t>Core schema</w:t>
      </w:r>
    </w:p>
    <w:tbl>
      <w:tblPr>
        <w:tblStyle w:val="TableGrid"/>
        <w:tblW w:type="dxa" w:w="9360"/>
        <w:jc w:val="left"/>
        <w:tblLayout w:type="fixed"/>
        <w:tblLook w:firstColumn="1" w:firstRow="1" w:lastColumn="0" w:lastRow="0" w:noHBand="0" w:noVBand="1" w:val="04A0"/>
        <w:tblLayout w:type="fixed"/>
        <w:tblInd w:w="120" w:type="dxa"/>
      </w:tblPr>
      <w:tblGrid>
        <w:gridCol w:w="2800"/>
        <w:gridCol w:w="6560"/>
      </w:tblGrid>
      <w:tr>
        <w:trPr>
          <w:tblHeader w:val="true"/>
        </w:trPr>
        <w:tc>
          <w:tcPr>
            <w:tcW w:type="dxa" w:w="2800"/>
            <w:tcMar>
              <w:top w:w="80" w:type="dxa"/>
              <w:start w:w="120" w:type="dxa"/>
              <w:bottom w:w="80" w:type="dxa"/>
              <w:end w:w="120" w:type="dxa"/>
            </w:tcMar>
            <w:shd w:fill="E8EEF5"/>
          </w:tcPr>
          <w:p>
            <w:pPr>
              <w:spacing w:after="0"/>
            </w:pPr>
            <w:r>
              <w:rPr>
                <w:rFonts w:ascii="Calibri" w:hAnsi="Calibri"/>
                <w:b/>
                <w:color w:val="0B2545"/>
                <w:sz w:val="18"/>
              </w:rPr>
              <w:t>Table</w:t>
            </w:r>
          </w:p>
        </w:tc>
        <w:tc>
          <w:tcPr>
            <w:tcW w:type="dxa" w:w="6560"/>
            <w:tcMar>
              <w:top w:w="80" w:type="dxa"/>
              <w:start w:w="120" w:type="dxa"/>
              <w:bottom w:w="80" w:type="dxa"/>
              <w:end w:w="120" w:type="dxa"/>
            </w:tcMar>
            <w:shd w:fill="E8EEF5"/>
          </w:tcPr>
          <w:p>
            <w:pPr>
              <w:spacing w:after="0"/>
            </w:pPr>
            <w:r>
              <w:rPr>
                <w:rFonts w:ascii="Calibri" w:hAnsi="Calibri"/>
                <w:b/>
                <w:color w:val="0B2545"/>
                <w:sz w:val="18"/>
              </w:rPr>
              <w:t>Purpose / critical indexes</w:t>
            </w:r>
          </w:p>
        </w:tc>
      </w:tr>
      <w:tr>
        <w:tc>
          <w:tcPr>
            <w:tcW w:type="dxa" w:w="2800"/>
          </w:tcPr>
          <w:p>
            <w:pPr>
              <w:spacing w:after="0" w:line="269" w:lineRule="auto"/>
            </w:pPr>
            <w:r>
              <w:rPr>
                <w:rFonts w:ascii="Calibri" w:hAnsi="Calibri"/>
                <w:color w:val="202A35"/>
                <w:sz w:val="18"/>
              </w:rPr>
              <w:t>ingestion_runs</w:t>
            </w:r>
          </w:p>
        </w:tc>
        <w:tc>
          <w:tcPr>
            <w:tcW w:type="dxa" w:w="6560"/>
          </w:tcPr>
          <w:p>
            <w:pPr>
              <w:spacing w:after="0" w:line="269" w:lineRule="auto"/>
            </w:pPr>
            <w:r>
              <w:rPr>
                <w:rFonts w:ascii="Calibri" w:hAnsi="Calibri"/>
                <w:color w:val="202A35"/>
                <w:sz w:val="18"/>
              </w:rPr>
              <w:t>One row per collector run. Index `(source, started_at)` and unique request/run ID.</w:t>
            </w:r>
          </w:p>
        </w:tc>
      </w:tr>
      <w:tr>
        <w:tc>
          <w:tcPr>
            <w:tcW w:type="dxa" w:w="2800"/>
          </w:tcPr>
          <w:p>
            <w:pPr>
              <w:spacing w:after="0" w:line="269" w:lineRule="auto"/>
            </w:pPr>
            <w:r>
              <w:rPr>
                <w:rFonts w:ascii="Calibri" w:hAnsi="Calibri"/>
                <w:color w:val="202A35"/>
                <w:sz w:val="18"/>
              </w:rPr>
              <w:t>raw_firms_records</w:t>
            </w:r>
          </w:p>
        </w:tc>
        <w:tc>
          <w:tcPr>
            <w:tcW w:type="dxa" w:w="6560"/>
          </w:tcPr>
          <w:p>
            <w:pPr>
              <w:spacing w:after="0" w:line="269" w:lineRule="auto"/>
            </w:pPr>
            <w:r>
              <w:rPr>
                <w:rFonts w:ascii="Calibri" w:hAnsi="Calibri"/>
                <w:color w:val="202A35"/>
                <w:sz w:val="18"/>
              </w:rPr>
              <w:t>Parsed source rows. Index `(source_event_key)` and source time.</w:t>
            </w:r>
          </w:p>
        </w:tc>
      </w:tr>
      <w:tr>
        <w:tc>
          <w:tcPr>
            <w:tcW w:type="dxa" w:w="2800"/>
          </w:tcPr>
          <w:p>
            <w:pPr>
              <w:spacing w:after="0" w:line="269" w:lineRule="auto"/>
            </w:pPr>
            <w:r>
              <w:rPr>
                <w:rFonts w:ascii="Calibri" w:hAnsi="Calibri"/>
                <w:color w:val="202A35"/>
                <w:sz w:val="18"/>
              </w:rPr>
              <w:t>thermal_events</w:t>
            </w:r>
          </w:p>
        </w:tc>
        <w:tc>
          <w:tcPr>
            <w:tcW w:type="dxa" w:w="6560"/>
          </w:tcPr>
          <w:p>
            <w:pPr>
              <w:spacing w:after="0" w:line="269" w:lineRule="auto"/>
            </w:pPr>
            <w:r>
              <w:rPr>
                <w:rFonts w:ascii="Calibri" w:hAnsi="Calibri"/>
                <w:color w:val="202A35"/>
                <w:sz w:val="18"/>
              </w:rPr>
              <w:t>Canonical events. Unique `source_event_key`; GiST index on `geom`; B-tree on `acquired_at_utc`.</w:t>
            </w:r>
          </w:p>
        </w:tc>
      </w:tr>
      <w:tr>
        <w:tc>
          <w:tcPr>
            <w:tcW w:type="dxa" w:w="2800"/>
          </w:tcPr>
          <w:p>
            <w:pPr>
              <w:spacing w:after="0" w:line="269" w:lineRule="auto"/>
            </w:pPr>
            <w:r>
              <w:rPr>
                <w:rFonts w:ascii="Calibri" w:hAnsi="Calibri"/>
                <w:color w:val="202A35"/>
                <w:sz w:val="18"/>
              </w:rPr>
              <w:t>reference_features</w:t>
            </w:r>
          </w:p>
        </w:tc>
        <w:tc>
          <w:tcPr>
            <w:tcW w:type="dxa" w:w="6560"/>
          </w:tcPr>
          <w:p>
            <w:pPr>
              <w:spacing w:after="0" w:line="269" w:lineRule="auto"/>
            </w:pPr>
            <w:r>
              <w:rPr>
                <w:rFonts w:ascii="Calibri" w:hAnsi="Calibri"/>
                <w:color w:val="202A35"/>
                <w:sz w:val="18"/>
              </w:rPr>
              <w:t>Normalized OSM, Bhuvan, government GIS. GiST `geom`; `(source, source_id)` unique per version.</w:t>
            </w:r>
          </w:p>
        </w:tc>
      </w:tr>
      <w:tr>
        <w:tc>
          <w:tcPr>
            <w:tcW w:type="dxa" w:w="2800"/>
          </w:tcPr>
          <w:p>
            <w:pPr>
              <w:spacing w:after="0" w:line="269" w:lineRule="auto"/>
            </w:pPr>
            <w:r>
              <w:rPr>
                <w:rFonts w:ascii="Calibri" w:hAnsi="Calibri"/>
                <w:color w:val="202A35"/>
                <w:sz w:val="18"/>
              </w:rPr>
              <w:t>event_evidence</w:t>
            </w:r>
          </w:p>
        </w:tc>
        <w:tc>
          <w:tcPr>
            <w:tcW w:type="dxa" w:w="6560"/>
          </w:tcPr>
          <w:p>
            <w:pPr>
              <w:spacing w:after="0" w:line="269" w:lineRule="auto"/>
            </w:pPr>
            <w:r>
              <w:rPr>
                <w:rFonts w:ascii="Calibri" w:hAnsi="Calibri"/>
                <w:color w:val="202A35"/>
                <w:sz w:val="18"/>
              </w:rPr>
              <w:t>Feature-level spatial results. Index `(event_id, evidence_type)`; include source and algorithm version.</w:t>
            </w:r>
          </w:p>
        </w:tc>
      </w:tr>
      <w:tr>
        <w:tc>
          <w:tcPr>
            <w:tcW w:type="dxa" w:w="2800"/>
          </w:tcPr>
          <w:p>
            <w:pPr>
              <w:spacing w:after="0" w:line="269" w:lineRule="auto"/>
            </w:pPr>
            <w:r>
              <w:rPr>
                <w:rFonts w:ascii="Calibri" w:hAnsi="Calibri"/>
                <w:color w:val="202A35"/>
                <w:sz w:val="18"/>
              </w:rPr>
              <w:t>event_feature_snapshots</w:t>
            </w:r>
          </w:p>
        </w:tc>
        <w:tc>
          <w:tcPr>
            <w:tcW w:type="dxa" w:w="6560"/>
          </w:tcPr>
          <w:p>
            <w:pPr>
              <w:spacing w:after="0" w:line="269" w:lineRule="auto"/>
            </w:pPr>
            <w:r>
              <w:rPr>
                <w:rFonts w:ascii="Calibri" w:hAnsi="Calibri"/>
                <w:color w:val="202A35"/>
                <w:sz w:val="18"/>
              </w:rPr>
              <w:t>ML-ready values fixed at inference/training time. Index `(event_id, feature_schema_version)`.</w:t>
            </w:r>
          </w:p>
        </w:tc>
      </w:tr>
      <w:tr>
        <w:tc>
          <w:tcPr>
            <w:tcW w:type="dxa" w:w="2800"/>
          </w:tcPr>
          <w:p>
            <w:pPr>
              <w:spacing w:after="0" w:line="269" w:lineRule="auto"/>
            </w:pPr>
            <w:r>
              <w:rPr>
                <w:rFonts w:ascii="Calibri" w:hAnsi="Calibri"/>
                <w:color w:val="202A35"/>
                <w:sz w:val="18"/>
              </w:rPr>
              <w:t>labels</w:t>
            </w:r>
          </w:p>
        </w:tc>
        <w:tc>
          <w:tcPr>
            <w:tcW w:type="dxa" w:w="6560"/>
          </w:tcPr>
          <w:p>
            <w:pPr>
              <w:spacing w:after="0" w:line="269" w:lineRule="auto"/>
            </w:pPr>
            <w:r>
              <w:rPr>
                <w:rFonts w:ascii="Calibri" w:hAnsi="Calibri"/>
                <w:color w:val="202A35"/>
                <w:sz w:val="18"/>
              </w:rPr>
              <w:t>Human/weak labels with labeler, rubric version, confidence, evidence.</w:t>
            </w:r>
          </w:p>
        </w:tc>
      </w:tr>
      <w:tr>
        <w:tc>
          <w:tcPr>
            <w:tcW w:type="dxa" w:w="2800"/>
          </w:tcPr>
          <w:p>
            <w:pPr>
              <w:spacing w:after="0" w:line="269" w:lineRule="auto"/>
            </w:pPr>
            <w:r>
              <w:rPr>
                <w:rFonts w:ascii="Calibri" w:hAnsi="Calibri"/>
                <w:color w:val="202A35"/>
                <w:sz w:val="18"/>
              </w:rPr>
              <w:t>model_runs / model_registry</w:t>
            </w:r>
          </w:p>
        </w:tc>
        <w:tc>
          <w:tcPr>
            <w:tcW w:type="dxa" w:w="6560"/>
          </w:tcPr>
          <w:p>
            <w:pPr>
              <w:spacing w:after="0" w:line="269" w:lineRule="auto"/>
            </w:pPr>
            <w:r>
              <w:rPr>
                <w:rFonts w:ascii="Calibri" w:hAnsi="Calibri"/>
                <w:color w:val="202A35"/>
                <w:sz w:val="18"/>
              </w:rPr>
              <w:t>Dataset version, parameters, metrics, artifact URI, approval status.</w:t>
            </w:r>
          </w:p>
        </w:tc>
      </w:tr>
      <w:tr>
        <w:tc>
          <w:tcPr>
            <w:tcW w:type="dxa" w:w="2800"/>
          </w:tcPr>
          <w:p>
            <w:pPr>
              <w:spacing w:after="0" w:line="269" w:lineRule="auto"/>
            </w:pPr>
            <w:r>
              <w:rPr>
                <w:rFonts w:ascii="Calibri" w:hAnsi="Calibri"/>
                <w:color w:val="202A35"/>
                <w:sz w:val="18"/>
              </w:rPr>
              <w:t>predictions</w:t>
            </w:r>
          </w:p>
        </w:tc>
        <w:tc>
          <w:tcPr>
            <w:tcW w:type="dxa" w:w="6560"/>
          </w:tcPr>
          <w:p>
            <w:pPr>
              <w:spacing w:after="0" w:line="269" w:lineRule="auto"/>
            </w:pPr>
            <w:r>
              <w:rPr>
                <w:rFonts w:ascii="Calibri" w:hAnsi="Calibri"/>
                <w:color w:val="202A35"/>
                <w:sz w:val="18"/>
              </w:rPr>
              <w:t>Class probabilities, final class, explanation JSON, model version, generated_at.</w:t>
            </w:r>
          </w:p>
        </w:tc>
      </w:tr>
      <w:tr>
        <w:tc>
          <w:tcPr>
            <w:tcW w:type="dxa" w:w="2800"/>
          </w:tcPr>
          <w:p>
            <w:pPr>
              <w:spacing w:after="0" w:line="269" w:lineRule="auto"/>
            </w:pPr>
            <w:r>
              <w:rPr>
                <w:rFonts w:ascii="Calibri" w:hAnsi="Calibri"/>
                <w:color w:val="202A35"/>
                <w:sz w:val="18"/>
              </w:rPr>
              <w:t>persistence_clusters</w:t>
            </w:r>
          </w:p>
        </w:tc>
        <w:tc>
          <w:tcPr>
            <w:tcW w:type="dxa" w:w="6560"/>
          </w:tcPr>
          <w:p>
            <w:pPr>
              <w:spacing w:after="0" w:line="269" w:lineRule="auto"/>
            </w:pPr>
            <w:r>
              <w:rPr>
                <w:rFonts w:ascii="Calibri" w:hAnsi="Calibri"/>
                <w:color w:val="202A35"/>
                <w:sz w:val="18"/>
              </w:rPr>
              <w:t>Spatial-temporal cluster/cell statistics and current status.</w:t>
            </w:r>
          </w:p>
        </w:tc>
      </w:tr>
      <w:tr>
        <w:tc>
          <w:tcPr>
            <w:tcW w:type="dxa" w:w="2800"/>
          </w:tcPr>
          <w:p>
            <w:pPr>
              <w:spacing w:after="0" w:line="269" w:lineRule="auto"/>
            </w:pPr>
            <w:r>
              <w:rPr>
                <w:rFonts w:ascii="Calibri" w:hAnsi="Calibri"/>
                <w:color w:val="202A35"/>
                <w:sz w:val="18"/>
              </w:rPr>
              <w:t>manual_overrides / audit_log</w:t>
            </w:r>
          </w:p>
        </w:tc>
        <w:tc>
          <w:tcPr>
            <w:tcW w:type="dxa" w:w="6560"/>
          </w:tcPr>
          <w:p>
            <w:pPr>
              <w:spacing w:after="0" w:line="269" w:lineRule="auto"/>
            </w:pPr>
            <w:r>
              <w:rPr>
                <w:rFonts w:ascii="Calibri" w:hAnsi="Calibri"/>
                <w:color w:val="202A35"/>
                <w:sz w:val="18"/>
              </w:rPr>
              <w:t>Append-only human changes and approvals.</w:t>
            </w:r>
          </w:p>
        </w:tc>
      </w:tr>
    </w:tbl>
    <w:p>
      <w:pPr>
        <w:spacing w:after="40"/>
      </w:pPr>
    </w:p>
    <w:p>
      <w:pPr>
        <w:pStyle w:val="Heading2"/>
        <w:keepNext/>
        <w:spacing w:before="280" w:after="140" w:line="300" w:lineRule="auto"/>
      </w:pPr>
      <w:r>
        <w:rPr>
          <w:rFonts w:ascii="Calibri" w:hAnsi="Calibri"/>
          <w:sz w:val="22"/>
        </w:rPr>
        <w:t>Retention and provenance rules</w:t>
      </w:r>
    </w:p>
    <w:p>
      <w:pPr>
        <w:pStyle w:val="ListBullet"/>
        <w:spacing w:after="80" w:line="300" w:lineRule="auto"/>
      </w:pPr>
      <w:r>
        <w:rPr>
          <w:rFonts w:ascii="Calibri" w:hAnsi="Calibri"/>
          <w:sz w:val="22"/>
        </w:rPr>
        <w:t>Raw payloads are immutable, content-hashed, and retained for the project period; database rows carry the object URI and SHA-256.</w:t>
      </w:r>
    </w:p>
    <w:p>
      <w:pPr>
        <w:pStyle w:val="ListBullet"/>
        <w:spacing w:after="80" w:line="300" w:lineRule="auto"/>
      </w:pPr>
      <w:r>
        <w:rPr>
          <w:rFonts w:ascii="Calibri" w:hAnsi="Calibri"/>
          <w:sz w:val="22"/>
        </w:rPr>
        <w:t>Every derived record carries `pipeline_version` or `algorithm_version`, computation timestamp, source IDs, and input snapshot/version IDs.</w:t>
      </w:r>
    </w:p>
    <w:p>
      <w:pPr>
        <w:pStyle w:val="ListBullet"/>
        <w:spacing w:after="80" w:line="300" w:lineRule="auto"/>
      </w:pPr>
      <w:r>
        <w:rPr>
          <w:rFonts w:ascii="Calibri" w:hAnsi="Calibri"/>
          <w:sz w:val="22"/>
        </w:rPr>
        <w:t>A manual correction never overwrites evidence. It is a new record with actor, reason, approval, and supporting link.</w:t>
      </w:r>
    </w:p>
    <w:p>
      <w:pPr>
        <w:pStyle w:val="ListBullet"/>
        <w:spacing w:after="80" w:line="300" w:lineRule="auto"/>
      </w:pPr>
      <w:r>
        <w:rPr>
          <w:rFonts w:ascii="Calibri" w:hAnsi="Calibri"/>
          <w:sz w:val="22"/>
        </w:rPr>
        <w:t>Feature tables record coverage/unknown status separately from false/no-match; this prevents misleading explanations.</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EAF4EE"/>
            <w:vAlign w:val="center"/>
          </w:tcPr>
          <w:p>
            <w:pPr>
              <w:spacing w:after="40"/>
            </w:pPr>
            <w:r>
              <w:rPr>
                <w:rFonts w:ascii="Calibri" w:hAnsi="Calibri"/>
                <w:b/>
                <w:color w:val="1F6B4F"/>
                <w:sz w:val="20"/>
              </w:rPr>
              <w:t xml:space="preserve">CHECK  </w:t>
            </w:r>
            <w:r>
              <w:rPr>
                <w:rFonts w:ascii="Calibri" w:hAnsi="Calibri"/>
                <w:color w:val="0B2545"/>
                <w:sz w:val="21"/>
              </w:rPr>
              <w:t>Given any displayed event, an operator must be able to identify the FIRMS raw file, source snapshot versions, enrichment rule version, model version, prediction time, and any human overrides.</w:t>
            </w:r>
          </w:p>
        </w:tc>
      </w:tr>
    </w:tbl>
    <w:p>
      <w:pPr>
        <w:spacing w:after="40"/>
      </w:pPr>
    </w:p>
    <w:p>
      <w:pPr>
        <w:pStyle w:val="Heading1"/>
        <w:keepNext/>
        <w:spacing w:before="360" w:after="200" w:line="300" w:lineRule="auto"/>
      </w:pPr>
      <w:r>
        <w:rPr>
          <w:rFonts w:ascii="Calibri" w:hAnsi="Calibri"/>
          <w:sz w:val="22"/>
        </w:rPr>
        <w:t>Stage 2 - Historical Data, ML, and Intelligence</w:t>
      </w:r>
    </w:p>
    <w:p>
      <w:pPr>
        <w:keepNext w:val="0"/>
        <w:spacing w:before="0" w:after="120" w:line="300" w:lineRule="auto"/>
      </w:pPr>
      <w:r>
        <w:rPr>
          <w:rFonts w:ascii="Calibri" w:hAnsi="Calibri"/>
          <w:sz w:val="22"/>
        </w:rPr>
        <w:t>Goal: combine historical thermal observations and contextual evidence into useful classifications, persistence findings, confidence, and explanations. Start with an auditable baseline before adding complex imagery models.</w:t>
      </w:r>
    </w:p>
    <w:p>
      <w:pPr>
        <w:pStyle w:val="Heading2"/>
        <w:keepNext/>
        <w:spacing w:before="280" w:after="140" w:line="300" w:lineRule="auto"/>
      </w:pPr>
      <w:r>
        <w:rPr>
          <w:rFonts w:ascii="Calibri" w:hAnsi="Calibri"/>
          <w:sz w:val="22"/>
        </w:rPr>
        <w:t>Recipe 2.1 - Build the Historical Dataset</w:t>
      </w:r>
    </w:p>
    <w:p>
      <w:pPr>
        <w:pStyle w:val="ListNumber"/>
        <w:spacing w:after="80" w:line="300" w:lineRule="auto"/>
      </w:pPr>
      <w:r>
        <w:rPr>
          <w:rFonts w:ascii="Calibri" w:hAnsi="Calibri"/>
          <w:sz w:val="22"/>
        </w:rPr>
        <w:t>Backfill FIRMS for the chosen geography and a defined historical period. Use a separate batch pipeline so near-real-time ingestion is not delayed.</w:t>
      </w:r>
    </w:p>
    <w:p>
      <w:pPr>
        <w:pStyle w:val="ListNumber"/>
        <w:spacing w:after="80" w:line="300" w:lineRule="auto"/>
      </w:pPr>
      <w:r>
        <w:rPr>
          <w:rFonts w:ascii="Calibri" w:hAnsi="Calibri"/>
          <w:sz w:val="22"/>
        </w:rPr>
        <w:t>Freeze periodic snapshots of OSM, government GIS, and land-cover layers. For historical training, use the closest valid snapshot or flag temporal mismatch.</w:t>
      </w:r>
    </w:p>
    <w:p>
      <w:pPr>
        <w:pStyle w:val="ListNumber"/>
        <w:spacing w:after="80" w:line="300" w:lineRule="auto"/>
      </w:pPr>
      <w:r>
        <w:rPr>
          <w:rFonts w:ascii="Calibri" w:hAnsi="Calibri"/>
          <w:sz w:val="22"/>
        </w:rPr>
        <w:t>Run the same normalization and spatial enrichment pipeline used in production. Do not build training features with separate ad-hoc logic.</w:t>
      </w:r>
    </w:p>
    <w:p>
      <w:pPr>
        <w:pStyle w:val="ListNumber"/>
        <w:spacing w:after="80" w:line="300" w:lineRule="auto"/>
      </w:pPr>
      <w:r>
        <w:rPr>
          <w:rFonts w:ascii="Calibri" w:hAnsi="Calibri"/>
          <w:sz w:val="22"/>
        </w:rPr>
        <w:t>Write versioned feature snapshots to parquet/CSV in object storage plus a dataset manifest listing source dates, record count, filters, feature schema, and code version.</w:t>
      </w:r>
    </w:p>
    <w:p>
      <w:pPr>
        <w:pStyle w:val="ListNumber"/>
        <w:spacing w:after="80" w:line="300" w:lineRule="auto"/>
      </w:pPr>
      <w:r>
        <w:rPr>
          <w:rFonts w:ascii="Calibri" w:hAnsi="Calibri"/>
          <w:sz w:val="22"/>
        </w:rPr>
        <w:t>Split data spatially and temporally: keep later dates and/or held-out regions for validation/test to avoid leakage from repeated detections at one site.</w:t>
      </w:r>
    </w:p>
    <w:tbl>
      <w:tblPr>
        <w:tblStyle w:val="TableGrid"/>
        <w:tblW w:type="dxa" w:w="9360"/>
        <w:jc w:val="left"/>
        <w:tblLayout w:type="fixed"/>
        <w:tblLook w:firstColumn="1" w:firstRow="1" w:lastColumn="0" w:lastRow="0" w:noHBand="0" w:noVBand="1" w:val="04A0"/>
        <w:tblLayout w:type="fixed"/>
        <w:tblInd w:w="120" w:type="dxa"/>
      </w:tblPr>
      <w:tblGrid>
        <w:gridCol w:w="2000"/>
        <w:gridCol w:w="3940"/>
        <w:gridCol w:w="3420"/>
      </w:tblGrid>
      <w:tr>
        <w:trPr>
          <w:tblHeader w:val="true"/>
        </w:trPr>
        <w:tc>
          <w:tcPr>
            <w:tcW w:type="dxa" w:w="2000"/>
            <w:tcMar>
              <w:top w:w="80" w:type="dxa"/>
              <w:start w:w="120" w:type="dxa"/>
              <w:bottom w:w="80" w:type="dxa"/>
              <w:end w:w="120" w:type="dxa"/>
            </w:tcMar>
            <w:shd w:fill="E8EEF5"/>
          </w:tcPr>
          <w:p>
            <w:pPr>
              <w:spacing w:after="0"/>
            </w:pPr>
            <w:r>
              <w:rPr>
                <w:rFonts w:ascii="Calibri" w:hAnsi="Calibri"/>
                <w:b/>
                <w:color w:val="0B2545"/>
                <w:sz w:val="18"/>
              </w:rPr>
              <w:t>Dataset split</w:t>
            </w:r>
          </w:p>
        </w:tc>
        <w:tc>
          <w:tcPr>
            <w:tcW w:type="dxa" w:w="3940"/>
            <w:tcMar>
              <w:top w:w="80" w:type="dxa"/>
              <w:start w:w="120" w:type="dxa"/>
              <w:bottom w:w="80" w:type="dxa"/>
              <w:end w:w="120" w:type="dxa"/>
            </w:tcMar>
            <w:shd w:fill="E8EEF5"/>
          </w:tcPr>
          <w:p>
            <w:pPr>
              <w:spacing w:after="0"/>
            </w:pPr>
            <w:r>
              <w:rPr>
                <w:rFonts w:ascii="Calibri" w:hAnsi="Calibri"/>
                <w:b/>
                <w:color w:val="0B2545"/>
                <w:sz w:val="18"/>
              </w:rPr>
              <w:t>Recommended rule</w:t>
            </w:r>
          </w:p>
        </w:tc>
        <w:tc>
          <w:tcPr>
            <w:tcW w:type="dxa" w:w="3420"/>
            <w:tcMar>
              <w:top w:w="80" w:type="dxa"/>
              <w:start w:w="120" w:type="dxa"/>
              <w:bottom w:w="80" w:type="dxa"/>
              <w:end w:w="120" w:type="dxa"/>
            </w:tcMar>
            <w:shd w:fill="E8EEF5"/>
          </w:tcPr>
          <w:p>
            <w:pPr>
              <w:spacing w:after="0"/>
            </w:pPr>
            <w:r>
              <w:rPr>
                <w:rFonts w:ascii="Calibri" w:hAnsi="Calibri"/>
                <w:b/>
                <w:color w:val="0B2545"/>
                <w:sz w:val="18"/>
              </w:rPr>
              <w:t>Why</w:t>
            </w:r>
          </w:p>
        </w:tc>
      </w:tr>
      <w:tr>
        <w:tc>
          <w:tcPr>
            <w:tcW w:type="dxa" w:w="2000"/>
          </w:tcPr>
          <w:p>
            <w:pPr>
              <w:spacing w:after="0" w:line="269" w:lineRule="auto"/>
            </w:pPr>
            <w:r>
              <w:rPr>
                <w:rFonts w:ascii="Calibri" w:hAnsi="Calibri"/>
                <w:color w:val="202A35"/>
                <w:sz w:val="18"/>
              </w:rPr>
              <w:t>Train</w:t>
            </w:r>
          </w:p>
        </w:tc>
        <w:tc>
          <w:tcPr>
            <w:tcW w:type="dxa" w:w="3940"/>
          </w:tcPr>
          <w:p>
            <w:pPr>
              <w:spacing w:after="0" w:line="269" w:lineRule="auto"/>
            </w:pPr>
            <w:r>
              <w:rPr>
                <w:rFonts w:ascii="Calibri" w:hAnsi="Calibri"/>
                <w:color w:val="202A35"/>
                <w:sz w:val="18"/>
              </w:rPr>
              <w:t>Earlier periods and selected spatial cells.</w:t>
            </w:r>
          </w:p>
        </w:tc>
        <w:tc>
          <w:tcPr>
            <w:tcW w:type="dxa" w:w="3420"/>
          </w:tcPr>
          <w:p>
            <w:pPr>
              <w:spacing w:after="0" w:line="269" w:lineRule="auto"/>
            </w:pPr>
            <w:r>
              <w:rPr>
                <w:rFonts w:ascii="Calibri" w:hAnsi="Calibri"/>
                <w:color w:val="202A35"/>
                <w:sz w:val="18"/>
              </w:rPr>
              <w:t>Learns patterns without seeing future events.</w:t>
            </w:r>
          </w:p>
        </w:tc>
      </w:tr>
      <w:tr>
        <w:tc>
          <w:tcPr>
            <w:tcW w:type="dxa" w:w="2000"/>
          </w:tcPr>
          <w:p>
            <w:pPr>
              <w:spacing w:after="0" w:line="269" w:lineRule="auto"/>
            </w:pPr>
            <w:r>
              <w:rPr>
                <w:rFonts w:ascii="Calibri" w:hAnsi="Calibri"/>
                <w:color w:val="202A35"/>
                <w:sz w:val="18"/>
              </w:rPr>
              <w:t>Validation</w:t>
            </w:r>
          </w:p>
        </w:tc>
        <w:tc>
          <w:tcPr>
            <w:tcW w:type="dxa" w:w="3940"/>
          </w:tcPr>
          <w:p>
            <w:pPr>
              <w:spacing w:after="0" w:line="269" w:lineRule="auto"/>
            </w:pPr>
            <w:r>
              <w:rPr>
                <w:rFonts w:ascii="Calibri" w:hAnsi="Calibri"/>
                <w:color w:val="202A35"/>
                <w:sz w:val="18"/>
              </w:rPr>
              <w:t>Later dates or separate spatial cells; used for model selection.</w:t>
            </w:r>
          </w:p>
        </w:tc>
        <w:tc>
          <w:tcPr>
            <w:tcW w:type="dxa" w:w="3420"/>
          </w:tcPr>
          <w:p>
            <w:pPr>
              <w:spacing w:after="0" w:line="269" w:lineRule="auto"/>
            </w:pPr>
            <w:r>
              <w:rPr>
                <w:rFonts w:ascii="Calibri" w:hAnsi="Calibri"/>
                <w:color w:val="202A35"/>
                <w:sz w:val="18"/>
              </w:rPr>
              <w:t>Prevents tuning against test data.</w:t>
            </w:r>
          </w:p>
        </w:tc>
      </w:tr>
      <w:tr>
        <w:tc>
          <w:tcPr>
            <w:tcW w:type="dxa" w:w="2000"/>
          </w:tcPr>
          <w:p>
            <w:pPr>
              <w:spacing w:after="0" w:line="269" w:lineRule="auto"/>
            </w:pPr>
            <w:r>
              <w:rPr>
                <w:rFonts w:ascii="Calibri" w:hAnsi="Calibri"/>
                <w:color w:val="202A35"/>
                <w:sz w:val="18"/>
              </w:rPr>
              <w:t>Test</w:t>
            </w:r>
          </w:p>
        </w:tc>
        <w:tc>
          <w:tcPr>
            <w:tcW w:type="dxa" w:w="3940"/>
          </w:tcPr>
          <w:p>
            <w:pPr>
              <w:spacing w:after="0" w:line="269" w:lineRule="auto"/>
            </w:pPr>
            <w:r>
              <w:rPr>
                <w:rFonts w:ascii="Calibri" w:hAnsi="Calibri"/>
                <w:color w:val="202A35"/>
                <w:sz w:val="18"/>
              </w:rPr>
              <w:t>Final held-out time range and/or region; no parameter decisions after viewing.</w:t>
            </w:r>
          </w:p>
        </w:tc>
        <w:tc>
          <w:tcPr>
            <w:tcW w:type="dxa" w:w="3420"/>
          </w:tcPr>
          <w:p>
            <w:pPr>
              <w:spacing w:after="0" w:line="269" w:lineRule="auto"/>
            </w:pPr>
            <w:r>
              <w:rPr>
                <w:rFonts w:ascii="Calibri" w:hAnsi="Calibri"/>
                <w:color w:val="202A35"/>
                <w:sz w:val="18"/>
              </w:rPr>
              <w:t>Estimates operational performance.</w:t>
            </w:r>
          </w:p>
        </w:tc>
      </w:tr>
    </w:tbl>
    <w:p>
      <w:pPr>
        <w:spacing w:after="40"/>
      </w:pPr>
    </w:p>
    <w:p>
      <w:pPr>
        <w:pStyle w:val="Heading2"/>
        <w:keepNext/>
        <w:spacing w:before="280" w:after="140" w:line="300" w:lineRule="auto"/>
      </w:pPr>
      <w:r>
        <w:rPr>
          <w:rFonts w:ascii="Calibri" w:hAnsi="Calibri"/>
          <w:sz w:val="22"/>
        </w:rPr>
        <w:t>Recipe 2.2 - Labeling Strategy</w:t>
      </w:r>
    </w:p>
    <w:p>
      <w:pPr>
        <w:keepNext w:val="0"/>
        <w:spacing w:before="0" w:after="120" w:line="300" w:lineRule="auto"/>
      </w:pPr>
      <w:r>
        <w:rPr>
          <w:rFonts w:ascii="Calibri" w:hAnsi="Calibri"/>
          <w:sz w:val="22"/>
        </w:rPr>
        <w:t>Use a layered label design. Do not claim a label is ground truth when it is a GIS-based inference. Preserve label source, confidence, reviewer, and rubric version.</w:t>
      </w:r>
    </w:p>
    <w:tbl>
      <w:tblPr>
        <w:tblStyle w:val="TableGrid"/>
        <w:tblW w:type="dxa" w:w="9360"/>
        <w:jc w:val="left"/>
        <w:tblLayout w:type="fixed"/>
        <w:tblLook w:firstColumn="1" w:firstRow="1" w:lastColumn="0" w:lastRow="0" w:noHBand="0" w:noVBand="1" w:val="04A0"/>
        <w:tblLayout w:type="fixed"/>
        <w:tblInd w:w="120" w:type="dxa"/>
      </w:tblPr>
      <w:tblGrid>
        <w:gridCol w:w="1700"/>
        <w:gridCol w:w="4450"/>
        <w:gridCol w:w="3210"/>
      </w:tblGrid>
      <w:tr>
        <w:trPr>
          <w:tblHeader w:val="true"/>
        </w:trPr>
        <w:tc>
          <w:tcPr>
            <w:tcW w:type="dxa" w:w="1700"/>
            <w:tcMar>
              <w:top w:w="80" w:type="dxa"/>
              <w:start w:w="120" w:type="dxa"/>
              <w:bottom w:w="80" w:type="dxa"/>
              <w:end w:w="120" w:type="dxa"/>
            </w:tcMar>
            <w:shd w:fill="E8EEF5"/>
          </w:tcPr>
          <w:p>
            <w:pPr>
              <w:spacing w:after="0"/>
            </w:pPr>
            <w:r>
              <w:rPr>
                <w:rFonts w:ascii="Calibri" w:hAnsi="Calibri"/>
                <w:b/>
                <w:color w:val="0B2545"/>
                <w:sz w:val="18"/>
              </w:rPr>
              <w:t>Label tier</w:t>
            </w:r>
          </w:p>
        </w:tc>
        <w:tc>
          <w:tcPr>
            <w:tcW w:type="dxa" w:w="4450"/>
            <w:tcMar>
              <w:top w:w="80" w:type="dxa"/>
              <w:start w:w="120" w:type="dxa"/>
              <w:bottom w:w="80" w:type="dxa"/>
              <w:end w:w="120" w:type="dxa"/>
            </w:tcMar>
            <w:shd w:fill="E8EEF5"/>
          </w:tcPr>
          <w:p>
            <w:pPr>
              <w:spacing w:after="0"/>
            </w:pPr>
            <w:r>
              <w:rPr>
                <w:rFonts w:ascii="Calibri" w:hAnsi="Calibri"/>
                <w:b/>
                <w:color w:val="0B2545"/>
                <w:sz w:val="18"/>
              </w:rPr>
              <w:t>How it is made</w:t>
            </w:r>
          </w:p>
        </w:tc>
        <w:tc>
          <w:tcPr>
            <w:tcW w:type="dxa" w:w="3210"/>
            <w:tcMar>
              <w:top w:w="80" w:type="dxa"/>
              <w:start w:w="120" w:type="dxa"/>
              <w:bottom w:w="80" w:type="dxa"/>
              <w:end w:w="120" w:type="dxa"/>
            </w:tcMar>
            <w:shd w:fill="E8EEF5"/>
          </w:tcPr>
          <w:p>
            <w:pPr>
              <w:spacing w:after="0"/>
            </w:pPr>
            <w:r>
              <w:rPr>
                <w:rFonts w:ascii="Calibri" w:hAnsi="Calibri"/>
                <w:b/>
                <w:color w:val="0B2545"/>
                <w:sz w:val="18"/>
              </w:rPr>
              <w:t>Use</w:t>
            </w:r>
          </w:p>
        </w:tc>
      </w:tr>
      <w:tr>
        <w:tc>
          <w:tcPr>
            <w:tcW w:type="dxa" w:w="1700"/>
          </w:tcPr>
          <w:p>
            <w:pPr>
              <w:spacing w:after="0" w:line="269" w:lineRule="auto"/>
            </w:pPr>
            <w:r>
              <w:rPr>
                <w:rFonts w:ascii="Calibri" w:hAnsi="Calibri"/>
                <w:color w:val="202A35"/>
                <w:sz w:val="18"/>
              </w:rPr>
              <w:t>Gold / reviewed</w:t>
            </w:r>
          </w:p>
        </w:tc>
        <w:tc>
          <w:tcPr>
            <w:tcW w:type="dxa" w:w="4450"/>
          </w:tcPr>
          <w:p>
            <w:pPr>
              <w:spacing w:after="0" w:line="269" w:lineRule="auto"/>
            </w:pPr>
            <w:r>
              <w:rPr>
                <w:rFonts w:ascii="Calibri" w:hAnsi="Calibri"/>
                <w:color w:val="202A35"/>
                <w:sz w:val="18"/>
              </w:rPr>
              <w:t>Analyst inspects imagery, official layers, event history, and documented evidence using a rubric. Second review for high-impact cases.</w:t>
            </w:r>
          </w:p>
        </w:tc>
        <w:tc>
          <w:tcPr>
            <w:tcW w:type="dxa" w:w="3210"/>
          </w:tcPr>
          <w:p>
            <w:pPr>
              <w:spacing w:after="0" w:line="269" w:lineRule="auto"/>
            </w:pPr>
            <w:r>
              <w:rPr>
                <w:rFonts w:ascii="Calibri" w:hAnsi="Calibri"/>
                <w:color w:val="202A35"/>
                <w:sz w:val="18"/>
              </w:rPr>
              <w:t>Evaluation set and high-quality training.</w:t>
            </w:r>
          </w:p>
        </w:tc>
      </w:tr>
      <w:tr>
        <w:tc>
          <w:tcPr>
            <w:tcW w:type="dxa" w:w="1700"/>
          </w:tcPr>
          <w:p>
            <w:pPr>
              <w:spacing w:after="0" w:line="269" w:lineRule="auto"/>
            </w:pPr>
            <w:r>
              <w:rPr>
                <w:rFonts w:ascii="Calibri" w:hAnsi="Calibri"/>
                <w:color w:val="202A35"/>
                <w:sz w:val="18"/>
              </w:rPr>
              <w:t>Silver / rules</w:t>
            </w:r>
          </w:p>
        </w:tc>
        <w:tc>
          <w:tcPr>
            <w:tcW w:type="dxa" w:w="4450"/>
          </w:tcPr>
          <w:p>
            <w:pPr>
              <w:spacing w:after="0" w:line="269" w:lineRule="auto"/>
            </w:pPr>
            <w:r>
              <w:rPr>
                <w:rFonts w:ascii="Calibri" w:hAnsi="Calibri"/>
                <w:color w:val="202A35"/>
                <w:sz w:val="18"/>
              </w:rPr>
              <w:t>Deterministic rules such as persistent event inside verified industrial zone, or event inside forest layer.</w:t>
            </w:r>
          </w:p>
        </w:tc>
        <w:tc>
          <w:tcPr>
            <w:tcW w:type="dxa" w:w="3210"/>
          </w:tcPr>
          <w:p>
            <w:pPr>
              <w:spacing w:after="0" w:line="269" w:lineRule="auto"/>
            </w:pPr>
            <w:r>
              <w:rPr>
                <w:rFonts w:ascii="Calibri" w:hAnsi="Calibri"/>
                <w:color w:val="202A35"/>
                <w:sz w:val="18"/>
              </w:rPr>
              <w:t>Bootstrap training; never hide its lower certainty.</w:t>
            </w:r>
          </w:p>
        </w:tc>
      </w:tr>
      <w:tr>
        <w:tc>
          <w:tcPr>
            <w:tcW w:type="dxa" w:w="1700"/>
          </w:tcPr>
          <w:p>
            <w:pPr>
              <w:spacing w:after="0" w:line="269" w:lineRule="auto"/>
            </w:pPr>
            <w:r>
              <w:rPr>
                <w:rFonts w:ascii="Calibri" w:hAnsi="Calibri"/>
                <w:color w:val="202A35"/>
                <w:sz w:val="18"/>
              </w:rPr>
              <w:t>Weak / proxy</w:t>
            </w:r>
          </w:p>
        </w:tc>
        <w:tc>
          <w:tcPr>
            <w:tcW w:type="dxa" w:w="4450"/>
          </w:tcPr>
          <w:p>
            <w:pPr>
              <w:spacing w:after="0" w:line="269" w:lineRule="auto"/>
            </w:pPr>
            <w:r>
              <w:rPr>
                <w:rFonts w:ascii="Calibri" w:hAnsi="Calibri"/>
                <w:color w:val="202A35"/>
                <w:sz w:val="18"/>
              </w:rPr>
              <w:t>External public datasets or broad land-cover labels mapped to events.</w:t>
            </w:r>
          </w:p>
        </w:tc>
        <w:tc>
          <w:tcPr>
            <w:tcW w:type="dxa" w:w="3210"/>
          </w:tcPr>
          <w:p>
            <w:pPr>
              <w:spacing w:after="0" w:line="269" w:lineRule="auto"/>
            </w:pPr>
            <w:r>
              <w:rPr>
                <w:rFonts w:ascii="Calibri" w:hAnsi="Calibri"/>
                <w:color w:val="202A35"/>
                <w:sz w:val="18"/>
              </w:rPr>
              <w:t>Exploration and supplemental features only.</w:t>
            </w:r>
          </w:p>
        </w:tc>
      </w:tr>
      <w:tr>
        <w:tc>
          <w:tcPr>
            <w:tcW w:type="dxa" w:w="1700"/>
          </w:tcPr>
          <w:p>
            <w:pPr>
              <w:spacing w:after="0" w:line="269" w:lineRule="auto"/>
            </w:pPr>
            <w:r>
              <w:rPr>
                <w:rFonts w:ascii="Calibri" w:hAnsi="Calibri"/>
                <w:color w:val="202A35"/>
                <w:sz w:val="18"/>
              </w:rPr>
              <w:t>Unlabeled</w:t>
            </w:r>
          </w:p>
        </w:tc>
        <w:tc>
          <w:tcPr>
            <w:tcW w:type="dxa" w:w="4450"/>
          </w:tcPr>
          <w:p>
            <w:pPr>
              <w:spacing w:after="0" w:line="269" w:lineRule="auto"/>
            </w:pPr>
            <w:r>
              <w:rPr>
                <w:rFonts w:ascii="Calibri" w:hAnsi="Calibri"/>
                <w:color w:val="202A35"/>
                <w:sz w:val="18"/>
              </w:rPr>
              <w:t>No reliable decision yet.</w:t>
            </w:r>
          </w:p>
        </w:tc>
        <w:tc>
          <w:tcPr>
            <w:tcW w:type="dxa" w:w="3210"/>
          </w:tcPr>
          <w:p>
            <w:pPr>
              <w:spacing w:after="0" w:line="269" w:lineRule="auto"/>
            </w:pPr>
            <w:r>
              <w:rPr>
                <w:rFonts w:ascii="Calibri" w:hAnsi="Calibri"/>
                <w:color w:val="202A35"/>
                <w:sz w:val="18"/>
              </w:rPr>
              <w:t>Review queue or semi-supervised experiments.</w:t>
            </w:r>
          </w:p>
        </w:tc>
      </w:tr>
    </w:tbl>
    <w:p>
      <w:pPr>
        <w:spacing w:after="40"/>
      </w:pPr>
    </w:p>
    <w:p>
      <w:pPr>
        <w:pStyle w:val="Heading3"/>
        <w:keepNext/>
        <w:spacing w:before="200" w:after="100" w:line="300" w:lineRule="auto"/>
      </w:pPr>
      <w:r>
        <w:rPr>
          <w:rFonts w:ascii="Calibri" w:hAnsi="Calibri"/>
          <w:sz w:val="22"/>
        </w:rPr>
        <w:t>Minimum reviewer rubric</w:t>
      </w:r>
    </w:p>
    <w:tbl>
      <w:tblPr>
        <w:tblStyle w:val="TableGrid"/>
        <w:tblW w:type="dxa" w:w="9360"/>
        <w:jc w:val="left"/>
        <w:tblLayout w:type="fixed"/>
        <w:tblLook w:firstColumn="1" w:firstRow="1" w:lastColumn="0" w:lastRow="0" w:noHBand="0" w:noVBand="1" w:val="04A0"/>
        <w:tblLayout w:type="fixed"/>
        <w:tblInd w:w="120" w:type="dxa"/>
      </w:tblPr>
      <w:tblGrid>
        <w:gridCol w:w="2150"/>
        <w:gridCol w:w="4170"/>
        <w:gridCol w:w="3040"/>
      </w:tblGrid>
      <w:tr>
        <w:trPr>
          <w:tblHeader w:val="true"/>
        </w:trPr>
        <w:tc>
          <w:tcPr>
            <w:tcW w:type="dxa" w:w="2150"/>
            <w:tcMar>
              <w:top w:w="80" w:type="dxa"/>
              <w:start w:w="120" w:type="dxa"/>
              <w:bottom w:w="80" w:type="dxa"/>
              <w:end w:w="120" w:type="dxa"/>
            </w:tcMar>
            <w:shd w:fill="E8EEF5"/>
          </w:tcPr>
          <w:p>
            <w:pPr>
              <w:spacing w:after="0"/>
            </w:pPr>
            <w:r>
              <w:rPr>
                <w:rFonts w:ascii="Calibri" w:hAnsi="Calibri"/>
                <w:b/>
                <w:color w:val="0B2545"/>
                <w:sz w:val="18"/>
              </w:rPr>
              <w:t>Decision</w:t>
            </w:r>
          </w:p>
        </w:tc>
        <w:tc>
          <w:tcPr>
            <w:tcW w:type="dxa" w:w="4170"/>
            <w:tcMar>
              <w:top w:w="80" w:type="dxa"/>
              <w:start w:w="120" w:type="dxa"/>
              <w:bottom w:w="80" w:type="dxa"/>
              <w:end w:w="120" w:type="dxa"/>
            </w:tcMar>
            <w:shd w:fill="E8EEF5"/>
          </w:tcPr>
          <w:p>
            <w:pPr>
              <w:spacing w:after="0"/>
            </w:pPr>
            <w:r>
              <w:rPr>
                <w:rFonts w:ascii="Calibri" w:hAnsi="Calibri"/>
                <w:b/>
                <w:color w:val="0B2545"/>
                <w:sz w:val="18"/>
              </w:rPr>
              <w:t>Reviewer must verify</w:t>
            </w:r>
          </w:p>
        </w:tc>
        <w:tc>
          <w:tcPr>
            <w:tcW w:type="dxa" w:w="3040"/>
            <w:tcMar>
              <w:top w:w="80" w:type="dxa"/>
              <w:start w:w="120" w:type="dxa"/>
              <w:bottom w:w="80" w:type="dxa"/>
              <w:end w:w="120" w:type="dxa"/>
            </w:tcMar>
            <w:shd w:fill="E8EEF5"/>
          </w:tcPr>
          <w:p>
            <w:pPr>
              <w:spacing w:after="0"/>
            </w:pPr>
            <w:r>
              <w:rPr>
                <w:rFonts w:ascii="Calibri" w:hAnsi="Calibri"/>
                <w:b/>
                <w:color w:val="0B2545"/>
                <w:sz w:val="18"/>
              </w:rPr>
              <w:t>Required evidence</w:t>
            </w:r>
          </w:p>
        </w:tc>
      </w:tr>
      <w:tr>
        <w:tc>
          <w:tcPr>
            <w:tcW w:type="dxa" w:w="2150"/>
          </w:tcPr>
          <w:p>
            <w:pPr>
              <w:spacing w:after="0" w:line="269" w:lineRule="auto"/>
            </w:pPr>
            <w:r>
              <w:rPr>
                <w:rFonts w:ascii="Calibri" w:hAnsi="Calibri"/>
                <w:color w:val="202A35"/>
                <w:sz w:val="18"/>
              </w:rPr>
              <w:t>Industrial thermal source</w:t>
            </w:r>
          </w:p>
        </w:tc>
        <w:tc>
          <w:tcPr>
            <w:tcW w:type="dxa" w:w="4170"/>
          </w:tcPr>
          <w:p>
            <w:pPr>
              <w:spacing w:after="0" w:line="269" w:lineRule="auto"/>
            </w:pPr>
            <w:r>
              <w:rPr>
                <w:rFonts w:ascii="Calibri" w:hAnsi="Calibri"/>
                <w:color w:val="202A35"/>
                <w:sz w:val="18"/>
              </w:rPr>
              <w:t>Inside/near industrial evidence; repeated behavior; imagery/context not inconsistent.</w:t>
            </w:r>
          </w:p>
        </w:tc>
        <w:tc>
          <w:tcPr>
            <w:tcW w:type="dxa" w:w="3040"/>
          </w:tcPr>
          <w:p>
            <w:pPr>
              <w:spacing w:after="0" w:line="269" w:lineRule="auto"/>
            </w:pPr>
            <w:r>
              <w:rPr>
                <w:rFonts w:ascii="Calibri" w:hAnsi="Calibri"/>
                <w:color w:val="202A35"/>
                <w:sz w:val="18"/>
              </w:rPr>
              <w:t>At least two independent evidence sources where possible.</w:t>
            </w:r>
          </w:p>
        </w:tc>
      </w:tr>
      <w:tr>
        <w:tc>
          <w:tcPr>
            <w:tcW w:type="dxa" w:w="2150"/>
          </w:tcPr>
          <w:p>
            <w:pPr>
              <w:spacing w:after="0" w:line="269" w:lineRule="auto"/>
            </w:pPr>
            <w:r>
              <w:rPr>
                <w:rFonts w:ascii="Calibri" w:hAnsi="Calibri"/>
                <w:color w:val="202A35"/>
                <w:sz w:val="18"/>
              </w:rPr>
              <w:t>Forest/wildland fire</w:t>
            </w:r>
          </w:p>
        </w:tc>
        <w:tc>
          <w:tcPr>
            <w:tcW w:type="dxa" w:w="4170"/>
          </w:tcPr>
          <w:p>
            <w:pPr>
              <w:spacing w:after="0" w:line="269" w:lineRule="auto"/>
            </w:pPr>
            <w:r>
              <w:rPr>
                <w:rFonts w:ascii="Calibri" w:hAnsi="Calibri"/>
                <w:color w:val="202A35"/>
                <w:sz w:val="18"/>
              </w:rPr>
              <w:t>Forest/vegetation context; event pattern; no stronger industrial evidence.</w:t>
            </w:r>
          </w:p>
        </w:tc>
        <w:tc>
          <w:tcPr>
            <w:tcW w:type="dxa" w:w="3040"/>
          </w:tcPr>
          <w:p>
            <w:pPr>
              <w:spacing w:after="0" w:line="269" w:lineRule="auto"/>
            </w:pPr>
            <w:r>
              <w:rPr>
                <w:rFonts w:ascii="Calibri" w:hAnsi="Calibri"/>
                <w:color w:val="202A35"/>
                <w:sz w:val="18"/>
              </w:rPr>
              <w:t>Land-cover/source reference plus imagery or analyst note.</w:t>
            </w:r>
          </w:p>
        </w:tc>
      </w:tr>
      <w:tr>
        <w:tc>
          <w:tcPr>
            <w:tcW w:type="dxa" w:w="2150"/>
          </w:tcPr>
          <w:p>
            <w:pPr>
              <w:spacing w:after="0" w:line="269" w:lineRule="auto"/>
            </w:pPr>
            <w:r>
              <w:rPr>
                <w:rFonts w:ascii="Calibri" w:hAnsi="Calibri"/>
                <w:color w:val="202A35"/>
                <w:sz w:val="18"/>
              </w:rPr>
              <w:t>Agricultural burning</w:t>
            </w:r>
          </w:p>
        </w:tc>
        <w:tc>
          <w:tcPr>
            <w:tcW w:type="dxa" w:w="4170"/>
          </w:tcPr>
          <w:p>
            <w:pPr>
              <w:spacing w:after="0" w:line="269" w:lineRule="auto"/>
            </w:pPr>
            <w:r>
              <w:rPr>
                <w:rFonts w:ascii="Calibri" w:hAnsi="Calibri"/>
                <w:color w:val="202A35"/>
                <w:sz w:val="18"/>
              </w:rPr>
              <w:t>Agricultural land context; seasonal/field pattern.</w:t>
            </w:r>
          </w:p>
        </w:tc>
        <w:tc>
          <w:tcPr>
            <w:tcW w:type="dxa" w:w="3040"/>
          </w:tcPr>
          <w:p>
            <w:pPr>
              <w:spacing w:after="0" w:line="269" w:lineRule="auto"/>
            </w:pPr>
            <w:r>
              <w:rPr>
                <w:rFonts w:ascii="Calibri" w:hAnsi="Calibri"/>
                <w:color w:val="202A35"/>
                <w:sz w:val="18"/>
              </w:rPr>
              <w:t>Land-cover/source reference plus temporal rationale.</w:t>
            </w:r>
          </w:p>
        </w:tc>
      </w:tr>
      <w:tr>
        <w:tc>
          <w:tcPr>
            <w:tcW w:type="dxa" w:w="2150"/>
          </w:tcPr>
          <w:p>
            <w:pPr>
              <w:spacing w:after="0" w:line="269" w:lineRule="auto"/>
            </w:pPr>
            <w:r>
              <w:rPr>
                <w:rFonts w:ascii="Calibri" w:hAnsi="Calibri"/>
                <w:color w:val="202A35"/>
                <w:sz w:val="18"/>
              </w:rPr>
              <w:t>Other / unknown</w:t>
            </w:r>
          </w:p>
        </w:tc>
        <w:tc>
          <w:tcPr>
            <w:tcW w:type="dxa" w:w="4170"/>
          </w:tcPr>
          <w:p>
            <w:pPr>
              <w:spacing w:after="0" w:line="269" w:lineRule="auto"/>
            </w:pPr>
            <w:r>
              <w:rPr>
                <w:rFonts w:ascii="Calibri" w:hAnsi="Calibri"/>
                <w:color w:val="202A35"/>
                <w:sz w:val="18"/>
              </w:rPr>
              <w:t>Evidence conflicts or coverage insufficient.</w:t>
            </w:r>
          </w:p>
        </w:tc>
        <w:tc>
          <w:tcPr>
            <w:tcW w:type="dxa" w:w="3040"/>
          </w:tcPr>
          <w:p>
            <w:pPr>
              <w:spacing w:after="0" w:line="269" w:lineRule="auto"/>
            </w:pPr>
            <w:r>
              <w:rPr>
                <w:rFonts w:ascii="Calibri" w:hAnsi="Calibri"/>
                <w:color w:val="202A35"/>
                <w:sz w:val="18"/>
              </w:rPr>
              <w:t>Reason for uncertainty; do not force a label.</w:t>
            </w:r>
          </w:p>
        </w:tc>
      </w:tr>
    </w:tbl>
    <w:p>
      <w:pPr>
        <w:spacing w:after="40"/>
      </w:pPr>
    </w:p>
    <w:p>
      <w:pPr>
        <w:pStyle w:val="Heading2"/>
        <w:keepNext/>
        <w:spacing w:before="280" w:after="140" w:line="300" w:lineRule="auto"/>
      </w:pPr>
      <w:r>
        <w:rPr>
          <w:rFonts w:ascii="Calibri" w:hAnsi="Calibri"/>
          <w:sz w:val="22"/>
        </w:rPr>
        <w:t>Recipe 2.3 - Engineer Features</w:t>
      </w:r>
    </w:p>
    <w:tbl>
      <w:tblPr>
        <w:tblStyle w:val="TableGrid"/>
        <w:tblW w:type="dxa" w:w="9360"/>
        <w:jc w:val="left"/>
        <w:tblLayout w:type="fixed"/>
        <w:tblLook w:firstColumn="1" w:firstRow="1" w:lastColumn="0" w:lastRow="0" w:noHBand="0" w:noVBand="1" w:val="04A0"/>
        <w:tblLayout w:type="fixed"/>
        <w:tblInd w:w="120" w:type="dxa"/>
      </w:tblPr>
      <w:tblGrid>
        <w:gridCol w:w="1850"/>
        <w:gridCol w:w="3950"/>
        <w:gridCol w:w="3560"/>
      </w:tblGrid>
      <w:tr>
        <w:trPr>
          <w:tblHeader w:val="true"/>
        </w:trPr>
        <w:tc>
          <w:tcPr>
            <w:tcW w:type="dxa" w:w="1850"/>
            <w:tcMar>
              <w:top w:w="80" w:type="dxa"/>
              <w:start w:w="120" w:type="dxa"/>
              <w:bottom w:w="80" w:type="dxa"/>
              <w:end w:w="120" w:type="dxa"/>
            </w:tcMar>
            <w:shd w:fill="E8EEF5"/>
          </w:tcPr>
          <w:p>
            <w:pPr>
              <w:spacing w:after="0"/>
            </w:pPr>
            <w:r>
              <w:rPr>
                <w:rFonts w:ascii="Calibri" w:hAnsi="Calibri"/>
                <w:b/>
                <w:color w:val="0B2545"/>
                <w:sz w:val="18"/>
              </w:rPr>
              <w:t>Feature family</w:t>
            </w:r>
          </w:p>
        </w:tc>
        <w:tc>
          <w:tcPr>
            <w:tcW w:type="dxa" w:w="3950"/>
            <w:tcMar>
              <w:top w:w="80" w:type="dxa"/>
              <w:start w:w="120" w:type="dxa"/>
              <w:bottom w:w="80" w:type="dxa"/>
              <w:end w:w="120" w:type="dxa"/>
            </w:tcMar>
            <w:shd w:fill="E8EEF5"/>
          </w:tcPr>
          <w:p>
            <w:pPr>
              <w:spacing w:after="0"/>
            </w:pPr>
            <w:r>
              <w:rPr>
                <w:rFonts w:ascii="Calibri" w:hAnsi="Calibri"/>
                <w:b/>
                <w:color w:val="0B2545"/>
                <w:sz w:val="18"/>
              </w:rPr>
              <w:t>Examples</w:t>
            </w:r>
          </w:p>
        </w:tc>
        <w:tc>
          <w:tcPr>
            <w:tcW w:type="dxa" w:w="3560"/>
            <w:tcMar>
              <w:top w:w="80" w:type="dxa"/>
              <w:start w:w="120" w:type="dxa"/>
              <w:bottom w:w="80" w:type="dxa"/>
              <w:end w:w="120" w:type="dxa"/>
            </w:tcMar>
            <w:shd w:fill="E8EEF5"/>
          </w:tcPr>
          <w:p>
            <w:pPr>
              <w:spacing w:after="0"/>
            </w:pPr>
            <w:r>
              <w:rPr>
                <w:rFonts w:ascii="Calibri" w:hAnsi="Calibri"/>
                <w:b/>
                <w:color w:val="0B2545"/>
                <w:sz w:val="18"/>
              </w:rPr>
              <w:t>Notes</w:t>
            </w:r>
          </w:p>
        </w:tc>
      </w:tr>
      <w:tr>
        <w:tc>
          <w:tcPr>
            <w:tcW w:type="dxa" w:w="1850"/>
          </w:tcPr>
          <w:p>
            <w:pPr>
              <w:spacing w:after="0" w:line="269" w:lineRule="auto"/>
            </w:pPr>
            <w:r>
              <w:rPr>
                <w:rFonts w:ascii="Calibri" w:hAnsi="Calibri"/>
                <w:color w:val="202A35"/>
                <w:sz w:val="18"/>
              </w:rPr>
              <w:t>FIRMS signal</w:t>
            </w:r>
          </w:p>
        </w:tc>
        <w:tc>
          <w:tcPr>
            <w:tcW w:type="dxa" w:w="3950"/>
          </w:tcPr>
          <w:p>
            <w:pPr>
              <w:spacing w:after="0" w:line="269" w:lineRule="auto"/>
            </w:pPr>
            <w:r>
              <w:rPr>
                <w:rFonts w:ascii="Calibri" w:hAnsi="Calibri"/>
                <w:color w:val="202A35"/>
                <w:sz w:val="18"/>
              </w:rPr>
              <w:t>brightness, FRP, confidence, scan/track, day/night, satellite/product.</w:t>
            </w:r>
          </w:p>
        </w:tc>
        <w:tc>
          <w:tcPr>
            <w:tcW w:type="dxa" w:w="3560"/>
          </w:tcPr>
          <w:p>
            <w:pPr>
              <w:spacing w:after="0" w:line="269" w:lineRule="auto"/>
            </w:pPr>
            <w:r>
              <w:rPr>
                <w:rFonts w:ascii="Calibri" w:hAnsi="Calibri"/>
                <w:color w:val="202A35"/>
                <w:sz w:val="18"/>
              </w:rPr>
              <w:t>Keep missingness flags; do not silently impute all values.</w:t>
            </w:r>
          </w:p>
        </w:tc>
      </w:tr>
      <w:tr>
        <w:tc>
          <w:tcPr>
            <w:tcW w:type="dxa" w:w="1850"/>
          </w:tcPr>
          <w:p>
            <w:pPr>
              <w:spacing w:after="0" w:line="269" w:lineRule="auto"/>
            </w:pPr>
            <w:r>
              <w:rPr>
                <w:rFonts w:ascii="Calibri" w:hAnsi="Calibri"/>
                <w:color w:val="202A35"/>
                <w:sz w:val="18"/>
              </w:rPr>
              <w:t>Spatial context</w:t>
            </w:r>
          </w:p>
        </w:tc>
        <w:tc>
          <w:tcPr>
            <w:tcW w:type="dxa" w:w="3950"/>
          </w:tcPr>
          <w:p>
            <w:pPr>
              <w:spacing w:after="0" w:line="269" w:lineRule="auto"/>
            </w:pPr>
            <w:r>
              <w:rPr>
                <w:rFonts w:ascii="Calibri" w:hAnsi="Calibri"/>
                <w:color w:val="202A35"/>
                <w:sz w:val="18"/>
              </w:rPr>
              <w:t>inside industrial zone, nearest factory/park distance, factory count 1 km, distance to forest/agriculture/water.</w:t>
            </w:r>
          </w:p>
        </w:tc>
        <w:tc>
          <w:tcPr>
            <w:tcW w:type="dxa" w:w="3560"/>
          </w:tcPr>
          <w:p>
            <w:pPr>
              <w:spacing w:after="0" w:line="269" w:lineRule="auto"/>
            </w:pPr>
            <w:r>
              <w:rPr>
                <w:rFonts w:ascii="Calibri" w:hAnsi="Calibri"/>
                <w:color w:val="202A35"/>
                <w:sz w:val="18"/>
              </w:rPr>
              <w:t>Store feature and feature-source coverage.</w:t>
            </w:r>
          </w:p>
        </w:tc>
      </w:tr>
      <w:tr>
        <w:tc>
          <w:tcPr>
            <w:tcW w:type="dxa" w:w="1850"/>
          </w:tcPr>
          <w:p>
            <w:pPr>
              <w:spacing w:after="0" w:line="269" w:lineRule="auto"/>
            </w:pPr>
            <w:r>
              <w:rPr>
                <w:rFonts w:ascii="Calibri" w:hAnsi="Calibri"/>
                <w:color w:val="202A35"/>
                <w:sz w:val="18"/>
              </w:rPr>
              <w:t>Land cover</w:t>
            </w:r>
          </w:p>
        </w:tc>
        <w:tc>
          <w:tcPr>
            <w:tcW w:type="dxa" w:w="3950"/>
          </w:tcPr>
          <w:p>
            <w:pPr>
              <w:spacing w:after="0" w:line="269" w:lineRule="auto"/>
            </w:pPr>
            <w:r>
              <w:rPr>
                <w:rFonts w:ascii="Calibri" w:hAnsi="Calibri"/>
                <w:color w:val="202A35"/>
                <w:sz w:val="18"/>
              </w:rPr>
              <w:t>Bhuvan/official class, built-up/vegetation indicators, optional raster sample.</w:t>
            </w:r>
          </w:p>
        </w:tc>
        <w:tc>
          <w:tcPr>
            <w:tcW w:type="dxa" w:w="3560"/>
          </w:tcPr>
          <w:p>
            <w:pPr>
              <w:spacing w:after="0" w:line="269" w:lineRule="auto"/>
            </w:pPr>
            <w:r>
              <w:rPr>
                <w:rFonts w:ascii="Calibri" w:hAnsi="Calibri"/>
                <w:color w:val="202A35"/>
                <w:sz w:val="18"/>
              </w:rPr>
              <w:t>Normalize source classes into controlled taxonomy.</w:t>
            </w:r>
          </w:p>
        </w:tc>
      </w:tr>
      <w:tr>
        <w:tc>
          <w:tcPr>
            <w:tcW w:type="dxa" w:w="1850"/>
          </w:tcPr>
          <w:p>
            <w:pPr>
              <w:spacing w:after="0" w:line="269" w:lineRule="auto"/>
            </w:pPr>
            <w:r>
              <w:rPr>
                <w:rFonts w:ascii="Calibri" w:hAnsi="Calibri"/>
                <w:color w:val="202A35"/>
                <w:sz w:val="18"/>
              </w:rPr>
              <w:t>Temporal/persistence</w:t>
            </w:r>
          </w:p>
        </w:tc>
        <w:tc>
          <w:tcPr>
            <w:tcW w:type="dxa" w:w="3950"/>
          </w:tcPr>
          <w:p>
            <w:pPr>
              <w:spacing w:after="0" w:line="269" w:lineRule="auto"/>
            </w:pPr>
            <w:r>
              <w:rPr>
                <w:rFonts w:ascii="Calibri" w:hAnsi="Calibri"/>
                <w:color w:val="202A35"/>
                <w:sz w:val="18"/>
              </w:rPr>
              <w:t>detections 7/30/90 days, active days, first/last seen, recurrence interval.</w:t>
            </w:r>
          </w:p>
        </w:tc>
        <w:tc>
          <w:tcPr>
            <w:tcW w:type="dxa" w:w="3560"/>
          </w:tcPr>
          <w:p>
            <w:pPr>
              <w:spacing w:after="0" w:line="269" w:lineRule="auto"/>
            </w:pPr>
            <w:r>
              <w:rPr>
                <w:rFonts w:ascii="Calibri" w:hAnsi="Calibri"/>
                <w:color w:val="202A35"/>
                <w:sz w:val="18"/>
              </w:rPr>
              <w:t>Calculate from events available before event time only.</w:t>
            </w:r>
          </w:p>
        </w:tc>
      </w:tr>
      <w:tr>
        <w:tc>
          <w:tcPr>
            <w:tcW w:type="dxa" w:w="1850"/>
          </w:tcPr>
          <w:p>
            <w:pPr>
              <w:spacing w:after="0" w:line="269" w:lineRule="auto"/>
            </w:pPr>
            <w:r>
              <w:rPr>
                <w:rFonts w:ascii="Calibri" w:hAnsi="Calibri"/>
                <w:color w:val="202A35"/>
                <w:sz w:val="18"/>
              </w:rPr>
              <w:t>Imagery</w:t>
            </w:r>
          </w:p>
        </w:tc>
        <w:tc>
          <w:tcPr>
            <w:tcW w:type="dxa" w:w="3950"/>
          </w:tcPr>
          <w:p>
            <w:pPr>
              <w:spacing w:after="0" w:line="269" w:lineRule="auto"/>
            </w:pPr>
            <w:r>
              <w:rPr>
                <w:rFonts w:ascii="Calibri" w:hAnsi="Calibri"/>
                <w:color w:val="202A35"/>
                <w:sz w:val="18"/>
              </w:rPr>
              <w:t>scene date, cloud score, image embedding, NDVI/NDBI or visual-review flag.</w:t>
            </w:r>
          </w:p>
        </w:tc>
        <w:tc>
          <w:tcPr>
            <w:tcW w:type="dxa" w:w="3560"/>
          </w:tcPr>
          <w:p>
            <w:pPr>
              <w:spacing w:after="0" w:line="269" w:lineRule="auto"/>
            </w:pPr>
            <w:r>
              <w:rPr>
                <w:rFonts w:ascii="Calibri" w:hAnsi="Calibri"/>
                <w:color w:val="202A35"/>
                <w:sz w:val="18"/>
              </w:rPr>
              <w:t>Start as evidence/optional features; maintain acquisition gap.</w:t>
            </w:r>
          </w:p>
        </w:tc>
      </w:tr>
      <w:tr>
        <w:tc>
          <w:tcPr>
            <w:tcW w:type="dxa" w:w="1850"/>
          </w:tcPr>
          <w:p>
            <w:pPr>
              <w:spacing w:after="0" w:line="269" w:lineRule="auto"/>
            </w:pPr>
            <w:r>
              <w:rPr>
                <w:rFonts w:ascii="Calibri" w:hAnsi="Calibri"/>
                <w:color w:val="202A35"/>
                <w:sz w:val="18"/>
              </w:rPr>
              <w:t>Data-quality</w:t>
            </w:r>
          </w:p>
        </w:tc>
        <w:tc>
          <w:tcPr>
            <w:tcW w:type="dxa" w:w="3950"/>
          </w:tcPr>
          <w:p>
            <w:pPr>
              <w:spacing w:after="0" w:line="269" w:lineRule="auto"/>
            </w:pPr>
            <w:r>
              <w:rPr>
                <w:rFonts w:ascii="Calibri" w:hAnsi="Calibri"/>
                <w:color w:val="202A35"/>
                <w:sz w:val="18"/>
              </w:rPr>
              <w:t>source age, coverage known, evidence count, missingness indicators.</w:t>
            </w:r>
          </w:p>
        </w:tc>
        <w:tc>
          <w:tcPr>
            <w:tcW w:type="dxa" w:w="3560"/>
          </w:tcPr>
          <w:p>
            <w:pPr>
              <w:spacing w:after="0" w:line="269" w:lineRule="auto"/>
            </w:pPr>
            <w:r>
              <w:rPr>
                <w:rFonts w:ascii="Calibri" w:hAnsi="Calibri"/>
                <w:color w:val="202A35"/>
                <w:sz w:val="18"/>
              </w:rPr>
              <w:t>Lets model and UI communicate uncertainty.</w:t>
            </w:r>
          </w:p>
        </w:tc>
      </w:tr>
    </w:tbl>
    <w:p>
      <w:pPr>
        <w:spacing w:after="40"/>
      </w:pPr>
    </w:p>
    <w:p>
      <w:pPr>
        <w:pStyle w:val="Heading2"/>
        <w:keepNext/>
        <w:spacing w:before="280" w:after="140" w:line="300" w:lineRule="auto"/>
      </w:pPr>
      <w:r>
        <w:rPr>
          <w:rFonts w:ascii="Calibri" w:hAnsi="Calibri"/>
          <w:sz w:val="22"/>
        </w:rPr>
        <w:t>Recipe 2.4 - Detect Persistence Separately from Classification</w:t>
      </w:r>
    </w:p>
    <w:p>
      <w:pPr>
        <w:keepNext w:val="0"/>
        <w:spacing w:before="0" w:after="120" w:line="300" w:lineRule="auto"/>
      </w:pPr>
      <w:r>
        <w:rPr>
          <w:rFonts w:ascii="Calibri" w:hAnsi="Calibri"/>
          <w:sz w:val="22"/>
        </w:rPr>
        <w:t>Persistence is a spatial-temporal analytic, not only a model output. Cluster detections by location and time, then expose the resulting statistics to the model, UI, and alert policy.</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events ordered by time</w:t>
              <w:br/>
              <w:t xml:space="preserve">  |</w:t>
              <w:br/>
              <w:t xml:space="preserve">  +--&gt; assign to spatial cell / DBSCAN cluster (configured distance)</w:t>
              <w:br/>
              <w:t xml:space="preserve">          |</w:t>
              <w:br/>
              <w:t xml:space="preserve">          +--&gt; count detections in 7/30/90 days</w:t>
              <w:br/>
              <w:t xml:space="preserve">          +--&gt; calculate active days, first/last seen, recurrence gap</w:t>
              <w:br/>
              <w:t xml:space="preserve">          +--&gt; classify: transient | recurring | persistent</w:t>
              <w:br/>
              <w:t xml:space="preserve">          |</w:t>
              <w:br/>
              <w:t xml:space="preserve">          +--&gt; store cluster version + thresholds used</w:t>
            </w:r>
          </w:p>
        </w:tc>
      </w:tr>
    </w:tbl>
    <w:p>
      <w:pPr>
        <w:spacing w:after="40"/>
      </w:pPr>
    </w:p>
    <w:tbl>
      <w:tblPr>
        <w:tblStyle w:val="TableGrid"/>
        <w:tblW w:type="dxa" w:w="9250"/>
        <w:jc w:val="left"/>
        <w:tblLayout w:type="fixed"/>
        <w:tblLook w:firstColumn="1" w:firstRow="1" w:lastColumn="0" w:lastRow="0" w:noHBand="0" w:noVBand="1" w:val="04A0"/>
        <w:tblLayout w:type="fixed"/>
        <w:tblInd w:w="120" w:type="dxa"/>
      </w:tblPr>
      <w:tblGrid>
        <w:gridCol w:w="1650"/>
        <w:gridCol w:w="4400"/>
        <w:gridCol w:w="3200"/>
      </w:tblGrid>
      <w:tr>
        <w:trPr>
          <w:tblHeader w:val="true"/>
        </w:trPr>
        <w:tc>
          <w:tcPr>
            <w:tcW w:type="dxa" w:w="1650"/>
            <w:tcMar>
              <w:top w:w="80" w:type="dxa"/>
              <w:start w:w="120" w:type="dxa"/>
              <w:bottom w:w="80" w:type="dxa"/>
              <w:end w:w="120" w:type="dxa"/>
            </w:tcMar>
            <w:shd w:fill="E8EEF5"/>
          </w:tcPr>
          <w:p>
            <w:pPr>
              <w:spacing w:after="0"/>
            </w:pPr>
            <w:r>
              <w:rPr>
                <w:rFonts w:ascii="Calibri" w:hAnsi="Calibri"/>
                <w:b/>
                <w:color w:val="0B2545"/>
                <w:sz w:val="18"/>
              </w:rPr>
              <w:t>Status</w:t>
            </w:r>
          </w:p>
        </w:tc>
        <w:tc>
          <w:tcPr>
            <w:tcW w:type="dxa" w:w="4400"/>
            <w:tcMar>
              <w:top w:w="80" w:type="dxa"/>
              <w:start w:w="120" w:type="dxa"/>
              <w:bottom w:w="80" w:type="dxa"/>
              <w:end w:w="120" w:type="dxa"/>
            </w:tcMar>
            <w:shd w:fill="E8EEF5"/>
          </w:tcPr>
          <w:p>
            <w:pPr>
              <w:spacing w:after="0"/>
            </w:pPr>
            <w:r>
              <w:rPr>
                <w:rFonts w:ascii="Calibri" w:hAnsi="Calibri"/>
                <w:b/>
                <w:color w:val="0B2545"/>
                <w:sz w:val="18"/>
              </w:rPr>
              <w:t>Example rule (tune with data)</w:t>
            </w:r>
          </w:p>
        </w:tc>
        <w:tc>
          <w:tcPr>
            <w:tcW w:type="dxa" w:w="3200"/>
            <w:tcMar>
              <w:top w:w="80" w:type="dxa"/>
              <w:start w:w="120" w:type="dxa"/>
              <w:bottom w:w="80" w:type="dxa"/>
              <w:end w:w="120" w:type="dxa"/>
            </w:tcMar>
            <w:shd w:fill="E8EEF5"/>
          </w:tcPr>
          <w:p>
            <w:pPr>
              <w:spacing w:after="0"/>
            </w:pPr>
            <w:r>
              <w:rPr>
                <w:rFonts w:ascii="Calibri" w:hAnsi="Calibri"/>
                <w:b/>
                <w:color w:val="0B2545"/>
                <w:sz w:val="18"/>
              </w:rPr>
              <w:t>Interpretation</w:t>
            </w:r>
          </w:p>
        </w:tc>
      </w:tr>
      <w:tr>
        <w:tc>
          <w:tcPr>
            <w:tcW w:type="dxa" w:w="1650"/>
          </w:tcPr>
          <w:p>
            <w:pPr>
              <w:spacing w:after="0" w:line="269" w:lineRule="auto"/>
            </w:pPr>
            <w:r>
              <w:rPr>
                <w:rFonts w:ascii="Calibri" w:hAnsi="Calibri"/>
                <w:color w:val="202A35"/>
                <w:sz w:val="18"/>
              </w:rPr>
              <w:t>Transient</w:t>
            </w:r>
          </w:p>
        </w:tc>
        <w:tc>
          <w:tcPr>
            <w:tcW w:type="dxa" w:w="4400"/>
          </w:tcPr>
          <w:p>
            <w:pPr>
              <w:spacing w:after="0" w:line="269" w:lineRule="auto"/>
            </w:pPr>
            <w:r>
              <w:rPr>
                <w:rFonts w:ascii="Calibri" w:hAnsi="Calibri"/>
                <w:color w:val="202A35"/>
                <w:sz w:val="18"/>
              </w:rPr>
              <w:t>1 detection in last 30 days.</w:t>
            </w:r>
          </w:p>
        </w:tc>
        <w:tc>
          <w:tcPr>
            <w:tcW w:type="dxa" w:w="3200"/>
          </w:tcPr>
          <w:p>
            <w:pPr>
              <w:spacing w:after="0" w:line="269" w:lineRule="auto"/>
            </w:pPr>
            <w:r>
              <w:rPr>
                <w:rFonts w:ascii="Calibri" w:hAnsi="Calibri"/>
                <w:color w:val="202A35"/>
                <w:sz w:val="18"/>
              </w:rPr>
              <w:t>Single event; low persistence evidence.</w:t>
            </w:r>
          </w:p>
        </w:tc>
      </w:tr>
      <w:tr>
        <w:tc>
          <w:tcPr>
            <w:tcW w:type="dxa" w:w="1650"/>
          </w:tcPr>
          <w:p>
            <w:pPr>
              <w:spacing w:after="0" w:line="269" w:lineRule="auto"/>
            </w:pPr>
            <w:r>
              <w:rPr>
                <w:rFonts w:ascii="Calibri" w:hAnsi="Calibri"/>
                <w:color w:val="202A35"/>
                <w:sz w:val="18"/>
              </w:rPr>
              <w:t>Recurring</w:t>
            </w:r>
          </w:p>
        </w:tc>
        <w:tc>
          <w:tcPr>
            <w:tcW w:type="dxa" w:w="4400"/>
          </w:tcPr>
          <w:p>
            <w:pPr>
              <w:spacing w:after="0" w:line="269" w:lineRule="auto"/>
            </w:pPr>
            <w:r>
              <w:rPr>
                <w:rFonts w:ascii="Calibri" w:hAnsi="Calibri"/>
                <w:color w:val="202A35"/>
                <w:sz w:val="18"/>
              </w:rPr>
              <w:t>2-4 detections on distinct days in 30 days.</w:t>
            </w:r>
          </w:p>
        </w:tc>
        <w:tc>
          <w:tcPr>
            <w:tcW w:type="dxa" w:w="3200"/>
          </w:tcPr>
          <w:p>
            <w:pPr>
              <w:spacing w:after="0" w:line="269" w:lineRule="auto"/>
            </w:pPr>
            <w:r>
              <w:rPr>
                <w:rFonts w:ascii="Calibri" w:hAnsi="Calibri"/>
                <w:color w:val="202A35"/>
                <w:sz w:val="18"/>
              </w:rPr>
              <w:t>Repeated signal; needs context.</w:t>
            </w:r>
          </w:p>
        </w:tc>
      </w:tr>
      <w:tr>
        <w:tc>
          <w:tcPr>
            <w:tcW w:type="dxa" w:w="1650"/>
          </w:tcPr>
          <w:p>
            <w:pPr>
              <w:spacing w:after="0" w:line="269" w:lineRule="auto"/>
            </w:pPr>
            <w:r>
              <w:rPr>
                <w:rFonts w:ascii="Calibri" w:hAnsi="Calibri"/>
                <w:color w:val="202A35"/>
                <w:sz w:val="18"/>
              </w:rPr>
              <w:t>Persistent</w:t>
            </w:r>
          </w:p>
        </w:tc>
        <w:tc>
          <w:tcPr>
            <w:tcW w:type="dxa" w:w="4400"/>
          </w:tcPr>
          <w:p>
            <w:pPr>
              <w:spacing w:after="0" w:line="269" w:lineRule="auto"/>
            </w:pPr>
            <w:r>
              <w:rPr>
                <w:rFonts w:ascii="Calibri" w:hAnsi="Calibri"/>
                <w:color w:val="202A35"/>
                <w:sz w:val="18"/>
              </w:rPr>
              <w:t>&gt;=5 detections on &gt;=3 distinct days in 30 days, consistent location.</w:t>
            </w:r>
          </w:p>
        </w:tc>
        <w:tc>
          <w:tcPr>
            <w:tcW w:type="dxa" w:w="3200"/>
          </w:tcPr>
          <w:p>
            <w:pPr>
              <w:spacing w:after="0" w:line="269" w:lineRule="auto"/>
            </w:pPr>
            <w:r>
              <w:rPr>
                <w:rFonts w:ascii="Calibri" w:hAnsi="Calibri"/>
                <w:color w:val="202A35"/>
                <w:sz w:val="18"/>
              </w:rPr>
              <w:t>Strong candidate for a continuing source.</w:t>
            </w:r>
          </w:p>
        </w:tc>
      </w:tr>
    </w:tbl>
    <w:p>
      <w:pPr>
        <w:spacing w:after="40"/>
      </w:pPr>
    </w:p>
    <w:p>
      <w:pPr>
        <w:pStyle w:val="Heading2"/>
        <w:keepNext/>
        <w:spacing w:before="280" w:after="140" w:line="300" w:lineRule="auto"/>
      </w:pPr>
      <w:r>
        <w:rPr>
          <w:rFonts w:ascii="Calibri" w:hAnsi="Calibri"/>
          <w:sz w:val="22"/>
        </w:rPr>
        <w:t>Recipe 2.5 - Train, Evaluate, and Register the Model</w:t>
      </w:r>
    </w:p>
    <w:p>
      <w:pPr>
        <w:pStyle w:val="ListNumber"/>
        <w:spacing w:after="80" w:line="300" w:lineRule="auto"/>
      </w:pPr>
      <w:r>
        <w:rPr>
          <w:rFonts w:ascii="Calibri" w:hAnsi="Calibri"/>
          <w:sz w:val="22"/>
        </w:rPr>
        <w:t>Begin with a transparent baseline such as regularized logistic regression or tree-based model using tabular features. Compare against simple rules, not only against other models.</w:t>
      </w:r>
    </w:p>
    <w:p>
      <w:pPr>
        <w:pStyle w:val="ListNumber"/>
        <w:spacing w:after="80" w:line="300" w:lineRule="auto"/>
      </w:pPr>
      <w:r>
        <w:rPr>
          <w:rFonts w:ascii="Calibri" w:hAnsi="Calibri"/>
          <w:sz w:val="22"/>
        </w:rPr>
        <w:t>Train with a fixed dataset manifest and feature schema. Save code revision, parameters, random seed, class weights, and artifact checksums.</w:t>
      </w:r>
    </w:p>
    <w:p>
      <w:pPr>
        <w:pStyle w:val="ListNumber"/>
        <w:spacing w:after="80" w:line="300" w:lineRule="auto"/>
      </w:pPr>
      <w:r>
        <w:rPr>
          <w:rFonts w:ascii="Calibri" w:hAnsi="Calibri"/>
          <w:sz w:val="22"/>
        </w:rPr>
        <w:t>Evaluate per class using precision, recall, F1, confusion matrix, calibration, and performance by region/source-coverage band. For alerts, report precision at the alert threshold.</w:t>
      </w:r>
    </w:p>
    <w:p>
      <w:pPr>
        <w:pStyle w:val="ListNumber"/>
        <w:spacing w:after="80" w:line="300" w:lineRule="auto"/>
      </w:pPr>
      <w:r>
        <w:rPr>
          <w:rFonts w:ascii="Calibri" w:hAnsi="Calibri"/>
          <w:sz w:val="22"/>
        </w:rPr>
        <w:t>Review false positives and false negatives with analysts. Add labels/features only when they correct a demonstrated failure mode.</w:t>
      </w:r>
    </w:p>
    <w:p>
      <w:pPr>
        <w:pStyle w:val="ListNumber"/>
        <w:spacing w:after="80" w:line="300" w:lineRule="auto"/>
      </w:pPr>
      <w:r>
        <w:rPr>
          <w:rFonts w:ascii="Calibri" w:hAnsi="Calibri"/>
          <w:sz w:val="22"/>
        </w:rPr>
        <w:t>Register a model only if it meets pre-agreed thresholds and passes the explanation/provenance contract. Keep the previous model available for rollback.</w:t>
      </w:r>
    </w:p>
    <w:tbl>
      <w:tblPr>
        <w:tblStyle w:val="TableGrid"/>
        <w:tblW w:type="dxa" w:w="9360"/>
        <w:jc w:val="left"/>
        <w:tblLayout w:type="fixed"/>
        <w:tblLook w:firstColumn="1" w:firstRow="1" w:lastColumn="0" w:lastRow="0" w:noHBand="0" w:noVBand="1" w:val="04A0"/>
        <w:tblLayout w:type="fixed"/>
        <w:tblInd w:w="120" w:type="dxa"/>
      </w:tblPr>
      <w:tblGrid>
        <w:gridCol w:w="2200"/>
        <w:gridCol w:w="7160"/>
      </w:tblGrid>
      <w:tr>
        <w:trPr>
          <w:tblHeader w:val="true"/>
        </w:trPr>
        <w:tc>
          <w:tcPr>
            <w:tcW w:type="dxa" w:w="2200"/>
            <w:tcMar>
              <w:top w:w="80" w:type="dxa"/>
              <w:start w:w="120" w:type="dxa"/>
              <w:bottom w:w="80" w:type="dxa"/>
              <w:end w:w="120" w:type="dxa"/>
            </w:tcMar>
            <w:shd w:fill="E8EEF5"/>
          </w:tcPr>
          <w:p>
            <w:pPr>
              <w:spacing w:after="0"/>
            </w:pPr>
            <w:r>
              <w:rPr>
                <w:rFonts w:ascii="Calibri" w:hAnsi="Calibri"/>
                <w:b/>
                <w:color w:val="0B2545"/>
                <w:sz w:val="18"/>
              </w:rPr>
              <w:t>Gate</w:t>
            </w:r>
          </w:p>
        </w:tc>
        <w:tc>
          <w:tcPr>
            <w:tcW w:type="dxa" w:w="7160"/>
            <w:tcMar>
              <w:top w:w="80" w:type="dxa"/>
              <w:start w:w="120" w:type="dxa"/>
              <w:bottom w:w="80" w:type="dxa"/>
              <w:end w:w="120" w:type="dxa"/>
            </w:tcMar>
            <w:shd w:fill="E8EEF5"/>
          </w:tcPr>
          <w:p>
            <w:pPr>
              <w:spacing w:after="0"/>
            </w:pPr>
            <w:r>
              <w:rPr>
                <w:rFonts w:ascii="Calibri" w:hAnsi="Calibri"/>
                <w:b/>
                <w:color w:val="0B2545"/>
                <w:sz w:val="18"/>
              </w:rPr>
              <w:t>Pass criterion example</w:t>
            </w:r>
          </w:p>
        </w:tc>
      </w:tr>
      <w:tr>
        <w:tc>
          <w:tcPr>
            <w:tcW w:type="dxa" w:w="2200"/>
          </w:tcPr>
          <w:p>
            <w:pPr>
              <w:spacing w:after="0" w:line="269" w:lineRule="auto"/>
            </w:pPr>
            <w:r>
              <w:rPr>
                <w:rFonts w:ascii="Calibri" w:hAnsi="Calibri"/>
                <w:color w:val="202A35"/>
                <w:sz w:val="18"/>
              </w:rPr>
              <w:t>Data gate</w:t>
            </w:r>
          </w:p>
        </w:tc>
        <w:tc>
          <w:tcPr>
            <w:tcW w:type="dxa" w:w="7160"/>
          </w:tcPr>
          <w:p>
            <w:pPr>
              <w:spacing w:after="0" w:line="269" w:lineRule="auto"/>
            </w:pPr>
            <w:r>
              <w:rPr>
                <w:rFonts w:ascii="Calibri" w:hAnsi="Calibri"/>
                <w:color w:val="202A35"/>
                <w:sz w:val="18"/>
              </w:rPr>
              <w:t>No duplicate event keys; expected feature completeness; dataset manifest complete.</w:t>
            </w:r>
          </w:p>
        </w:tc>
      </w:tr>
      <w:tr>
        <w:tc>
          <w:tcPr>
            <w:tcW w:type="dxa" w:w="2200"/>
          </w:tcPr>
          <w:p>
            <w:pPr>
              <w:spacing w:after="0" w:line="269" w:lineRule="auto"/>
            </w:pPr>
            <w:r>
              <w:rPr>
                <w:rFonts w:ascii="Calibri" w:hAnsi="Calibri"/>
                <w:color w:val="202A35"/>
                <w:sz w:val="18"/>
              </w:rPr>
              <w:t>Leakage gate</w:t>
            </w:r>
          </w:p>
        </w:tc>
        <w:tc>
          <w:tcPr>
            <w:tcW w:type="dxa" w:w="7160"/>
          </w:tcPr>
          <w:p>
            <w:pPr>
              <w:spacing w:after="0" w:line="269" w:lineRule="auto"/>
            </w:pPr>
            <w:r>
              <w:rPr>
                <w:rFonts w:ascii="Calibri" w:hAnsi="Calibri"/>
                <w:color w:val="202A35"/>
                <w:sz w:val="18"/>
              </w:rPr>
              <w:t>No future evidence used in features; spatial/temporal split verified.</w:t>
            </w:r>
          </w:p>
        </w:tc>
      </w:tr>
      <w:tr>
        <w:tc>
          <w:tcPr>
            <w:tcW w:type="dxa" w:w="2200"/>
          </w:tcPr>
          <w:p>
            <w:pPr>
              <w:spacing w:after="0" w:line="269" w:lineRule="auto"/>
            </w:pPr>
            <w:r>
              <w:rPr>
                <w:rFonts w:ascii="Calibri" w:hAnsi="Calibri"/>
                <w:color w:val="202A35"/>
                <w:sz w:val="18"/>
              </w:rPr>
              <w:t>Quality gate</w:t>
            </w:r>
          </w:p>
        </w:tc>
        <w:tc>
          <w:tcPr>
            <w:tcW w:type="dxa" w:w="7160"/>
          </w:tcPr>
          <w:p>
            <w:pPr>
              <w:spacing w:after="0" w:line="269" w:lineRule="auto"/>
            </w:pPr>
            <w:r>
              <w:rPr>
                <w:rFonts w:ascii="Calibri" w:hAnsi="Calibri"/>
                <w:color w:val="202A35"/>
                <w:sz w:val="18"/>
              </w:rPr>
              <w:t>Beats baseline on validation and meets minimum class-level recall/precision targets.</w:t>
            </w:r>
          </w:p>
        </w:tc>
      </w:tr>
      <w:tr>
        <w:tc>
          <w:tcPr>
            <w:tcW w:type="dxa" w:w="2200"/>
          </w:tcPr>
          <w:p>
            <w:pPr>
              <w:spacing w:after="0" w:line="269" w:lineRule="auto"/>
            </w:pPr>
            <w:r>
              <w:rPr>
                <w:rFonts w:ascii="Calibri" w:hAnsi="Calibri"/>
                <w:color w:val="202A35"/>
                <w:sz w:val="18"/>
              </w:rPr>
              <w:t>Calibration gate</w:t>
            </w:r>
          </w:p>
        </w:tc>
        <w:tc>
          <w:tcPr>
            <w:tcW w:type="dxa" w:w="7160"/>
          </w:tcPr>
          <w:p>
            <w:pPr>
              <w:spacing w:after="0" w:line="269" w:lineRule="auto"/>
            </w:pPr>
            <w:r>
              <w:rPr>
                <w:rFonts w:ascii="Calibri" w:hAnsi="Calibri"/>
                <w:color w:val="202A35"/>
                <w:sz w:val="18"/>
              </w:rPr>
              <w:t>Confidence bands match observed accuracy closely enough for analyst use.</w:t>
            </w:r>
          </w:p>
        </w:tc>
      </w:tr>
      <w:tr>
        <w:tc>
          <w:tcPr>
            <w:tcW w:type="dxa" w:w="2200"/>
          </w:tcPr>
          <w:p>
            <w:pPr>
              <w:spacing w:after="0" w:line="269" w:lineRule="auto"/>
            </w:pPr>
            <w:r>
              <w:rPr>
                <w:rFonts w:ascii="Calibri" w:hAnsi="Calibri"/>
                <w:color w:val="202A35"/>
                <w:sz w:val="18"/>
              </w:rPr>
              <w:t>Operational gate</w:t>
            </w:r>
          </w:p>
        </w:tc>
        <w:tc>
          <w:tcPr>
            <w:tcW w:type="dxa" w:w="7160"/>
          </w:tcPr>
          <w:p>
            <w:pPr>
              <w:spacing w:after="0" w:line="269" w:lineRule="auto"/>
            </w:pPr>
            <w:r>
              <w:rPr>
                <w:rFonts w:ascii="Calibri" w:hAnsi="Calibri"/>
                <w:color w:val="202A35"/>
                <w:sz w:val="18"/>
              </w:rPr>
              <w:t>Inference completes within target time; every prediction includes model/data versions.</w:t>
            </w:r>
          </w:p>
        </w:tc>
      </w:tr>
    </w:tbl>
    <w:p>
      <w:pPr>
        <w:spacing w:after="40"/>
      </w:pPr>
    </w:p>
    <w:p>
      <w:pPr>
        <w:pStyle w:val="Heading2"/>
        <w:keepNext/>
        <w:spacing w:before="280" w:after="140" w:line="300" w:lineRule="auto"/>
      </w:pPr>
      <w:r>
        <w:rPr>
          <w:rFonts w:ascii="Calibri" w:hAnsi="Calibri"/>
          <w:sz w:val="22"/>
        </w:rPr>
        <w:t>Recipe 2.6 - Confidence and Explainability</w:t>
      </w:r>
    </w:p>
    <w:p>
      <w:pPr>
        <w:keepNext w:val="0"/>
        <w:spacing w:before="0" w:after="120" w:line="300" w:lineRule="auto"/>
      </w:pPr>
      <w:r>
        <w:rPr>
          <w:rFonts w:ascii="Calibri" w:hAnsi="Calibri"/>
          <w:sz w:val="22"/>
        </w:rPr>
        <w:t>Present confidence as a decision aid, not a claim of certainty. Combine calibrated model probability with evidence completeness and data-quality flags. Keep these components separately in the API response.</w:t>
      </w:r>
    </w:p>
    <w:tbl>
      <w:tblPr>
        <w:tblStyle w:val="TableGrid"/>
        <w:tblW w:type="dxa" w:w="9360"/>
        <w:jc w:val="left"/>
        <w:tblLayout w:type="fixed"/>
        <w:tblLook w:firstColumn="1" w:firstRow="1" w:lastColumn="0" w:lastRow="0" w:noHBand="0" w:noVBand="1" w:val="04A0"/>
        <w:tblLayout w:type="fixed"/>
        <w:tblInd w:w="120" w:type="dxa"/>
      </w:tblPr>
      <w:tblGrid>
        <w:gridCol w:w="2350"/>
        <w:gridCol w:w="7010"/>
      </w:tblGrid>
      <w:tr>
        <w:trPr>
          <w:tblHeader w:val="true"/>
        </w:trPr>
        <w:tc>
          <w:tcPr>
            <w:tcW w:type="dxa" w:w="2350"/>
            <w:tcMar>
              <w:top w:w="80" w:type="dxa"/>
              <w:start w:w="120" w:type="dxa"/>
              <w:bottom w:w="80" w:type="dxa"/>
              <w:end w:w="120" w:type="dxa"/>
            </w:tcMar>
            <w:shd w:fill="E8EEF5"/>
          </w:tcPr>
          <w:p>
            <w:pPr>
              <w:spacing w:after="0"/>
            </w:pPr>
            <w:r>
              <w:rPr>
                <w:rFonts w:ascii="Calibri" w:hAnsi="Calibri"/>
                <w:b/>
                <w:color w:val="0B2545"/>
                <w:sz w:val="18"/>
              </w:rPr>
              <w:t>Output</w:t>
            </w:r>
          </w:p>
        </w:tc>
        <w:tc>
          <w:tcPr>
            <w:tcW w:type="dxa" w:w="7010"/>
            <w:tcMar>
              <w:top w:w="80" w:type="dxa"/>
              <w:start w:w="120" w:type="dxa"/>
              <w:bottom w:w="80" w:type="dxa"/>
              <w:end w:w="120" w:type="dxa"/>
            </w:tcMar>
            <w:shd w:fill="E8EEF5"/>
          </w:tcPr>
          <w:p>
            <w:pPr>
              <w:spacing w:after="0"/>
            </w:pPr>
            <w:r>
              <w:rPr>
                <w:rFonts w:ascii="Calibri" w:hAnsi="Calibri"/>
                <w:b/>
                <w:color w:val="0B2545"/>
                <w:sz w:val="18"/>
              </w:rPr>
              <w:t>How to produce it</w:t>
            </w:r>
          </w:p>
        </w:tc>
      </w:tr>
      <w:tr>
        <w:tc>
          <w:tcPr>
            <w:tcW w:type="dxa" w:w="2350"/>
          </w:tcPr>
          <w:p>
            <w:pPr>
              <w:spacing w:after="0" w:line="269" w:lineRule="auto"/>
            </w:pPr>
            <w:r>
              <w:rPr>
                <w:rFonts w:ascii="Calibri" w:hAnsi="Calibri"/>
                <w:color w:val="202A35"/>
                <w:sz w:val="18"/>
              </w:rPr>
              <w:t>Class probabilities</w:t>
            </w:r>
          </w:p>
        </w:tc>
        <w:tc>
          <w:tcPr>
            <w:tcW w:type="dxa" w:w="7010"/>
          </w:tcPr>
          <w:p>
            <w:pPr>
              <w:spacing w:after="0" w:line="269" w:lineRule="auto"/>
            </w:pPr>
            <w:r>
              <w:rPr>
                <w:rFonts w:ascii="Calibri" w:hAnsi="Calibri"/>
                <w:color w:val="202A35"/>
                <w:sz w:val="18"/>
              </w:rPr>
              <w:t>Calibrated model output for Industrial / Forest / Agricultural / Other / Unknown (or your final taxonomy).</w:t>
            </w:r>
          </w:p>
        </w:tc>
      </w:tr>
      <w:tr>
        <w:tc>
          <w:tcPr>
            <w:tcW w:type="dxa" w:w="2350"/>
          </w:tcPr>
          <w:p>
            <w:pPr>
              <w:spacing w:after="0" w:line="269" w:lineRule="auto"/>
            </w:pPr>
            <w:r>
              <w:rPr>
                <w:rFonts w:ascii="Calibri" w:hAnsi="Calibri"/>
                <w:color w:val="202A35"/>
                <w:sz w:val="18"/>
              </w:rPr>
              <w:t>Final class</w:t>
            </w:r>
          </w:p>
        </w:tc>
        <w:tc>
          <w:tcPr>
            <w:tcW w:type="dxa" w:w="7010"/>
          </w:tcPr>
          <w:p>
            <w:pPr>
              <w:spacing w:after="0" w:line="269" w:lineRule="auto"/>
            </w:pPr>
            <w:r>
              <w:rPr>
                <w:rFonts w:ascii="Calibri" w:hAnsi="Calibri"/>
                <w:color w:val="202A35"/>
                <w:sz w:val="18"/>
              </w:rPr>
              <w:t>Highest eligible class after policy rules; if evidence coverage is weak, allow `Unknown` or downgrade confidence.</w:t>
            </w:r>
          </w:p>
        </w:tc>
      </w:tr>
      <w:tr>
        <w:tc>
          <w:tcPr>
            <w:tcW w:type="dxa" w:w="2350"/>
          </w:tcPr>
          <w:p>
            <w:pPr>
              <w:spacing w:after="0" w:line="269" w:lineRule="auto"/>
            </w:pPr>
            <w:r>
              <w:rPr>
                <w:rFonts w:ascii="Calibri" w:hAnsi="Calibri"/>
                <w:color w:val="202A35"/>
                <w:sz w:val="18"/>
              </w:rPr>
              <w:t>Evidence summary</w:t>
            </w:r>
          </w:p>
        </w:tc>
        <w:tc>
          <w:tcPr>
            <w:tcW w:type="dxa" w:w="7010"/>
          </w:tcPr>
          <w:p>
            <w:pPr>
              <w:spacing w:after="0" w:line="269" w:lineRule="auto"/>
            </w:pPr>
            <w:r>
              <w:rPr>
                <w:rFonts w:ascii="Calibri" w:hAnsi="Calibri"/>
                <w:color w:val="202A35"/>
                <w:sz w:val="18"/>
              </w:rPr>
              <w:t>Top supporting and conflicting evidence: inside official industrial zone, nearest OSM factory distance, persistence count, land cover, imagery date.</w:t>
            </w:r>
          </w:p>
        </w:tc>
      </w:tr>
      <w:tr>
        <w:tc>
          <w:tcPr>
            <w:tcW w:type="dxa" w:w="2350"/>
          </w:tcPr>
          <w:p>
            <w:pPr>
              <w:spacing w:after="0" w:line="269" w:lineRule="auto"/>
            </w:pPr>
            <w:r>
              <w:rPr>
                <w:rFonts w:ascii="Calibri" w:hAnsi="Calibri"/>
                <w:color w:val="202A35"/>
                <w:sz w:val="18"/>
              </w:rPr>
              <w:t>Feature attribution</w:t>
            </w:r>
          </w:p>
        </w:tc>
        <w:tc>
          <w:tcPr>
            <w:tcW w:type="dxa" w:w="7010"/>
          </w:tcPr>
          <w:p>
            <w:pPr>
              <w:spacing w:after="0" w:line="269" w:lineRule="auto"/>
            </w:pPr>
            <w:r>
              <w:rPr>
                <w:rFonts w:ascii="Calibri" w:hAnsi="Calibri"/>
                <w:color w:val="202A35"/>
                <w:sz w:val="18"/>
              </w:rPr>
              <w:t>Use model-appropriate method (coefficients for linear model; SHAP/permutation for tree model) and store top factors.</w:t>
            </w:r>
          </w:p>
        </w:tc>
      </w:tr>
      <w:tr>
        <w:tc>
          <w:tcPr>
            <w:tcW w:type="dxa" w:w="2350"/>
          </w:tcPr>
          <w:p>
            <w:pPr>
              <w:spacing w:after="0" w:line="269" w:lineRule="auto"/>
            </w:pPr>
            <w:r>
              <w:rPr>
                <w:rFonts w:ascii="Calibri" w:hAnsi="Calibri"/>
                <w:color w:val="202A35"/>
                <w:sz w:val="18"/>
              </w:rPr>
              <w:t>Confidence band</w:t>
            </w:r>
          </w:p>
        </w:tc>
        <w:tc>
          <w:tcPr>
            <w:tcW w:type="dxa" w:w="7010"/>
          </w:tcPr>
          <w:p>
            <w:pPr>
              <w:spacing w:after="0" w:line="269" w:lineRule="auto"/>
            </w:pPr>
            <w:r>
              <w:rPr>
                <w:rFonts w:ascii="Calibri" w:hAnsi="Calibri"/>
                <w:color w:val="202A35"/>
                <w:sz w:val="18"/>
              </w:rPr>
              <w:t>Map numeric score to High/Medium/Low with a documented, evaluated threshold table.</w:t>
            </w:r>
          </w:p>
        </w:tc>
      </w:tr>
    </w:tbl>
    <w:p>
      <w:pPr>
        <w:spacing w:after="40"/>
      </w:pP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FF8E8"/>
            <w:vAlign w:val="center"/>
          </w:tcPr>
          <w:p>
            <w:pPr>
              <w:spacing w:after="40"/>
            </w:pPr>
            <w:r>
              <w:rPr>
                <w:rFonts w:ascii="Calibri" w:hAnsi="Calibri"/>
                <w:b/>
                <w:color w:val="7A5A00"/>
                <w:sz w:val="20"/>
              </w:rPr>
              <w:t xml:space="preserve">Manual override policy  </w:t>
            </w:r>
            <w:r>
              <w:rPr>
                <w:rFonts w:ascii="Calibri" w:hAnsi="Calibri"/>
                <w:color w:val="0B2545"/>
                <w:sz w:val="21"/>
              </w:rPr>
              <w:t>Analyst override is allowed for classification, severity, and feature verification. It must include a reason and evidence. Model retraining uses approved override labels only after quality review; a single override does not silently change model logic.</w:t>
            </w:r>
          </w:p>
        </w:tc>
      </w:tr>
    </w:tbl>
    <w:p>
      <w:pPr>
        <w:spacing w:after="40"/>
      </w:pPr>
    </w:p>
    <w:p>
      <w:r>
        <w:br w:type="page"/>
      </w:r>
    </w:p>
    <w:p>
      <w:pPr>
        <w:pStyle w:val="Heading1"/>
        <w:keepNext/>
        <w:spacing w:before="360" w:after="200" w:line="300" w:lineRule="auto"/>
      </w:pPr>
      <w:r>
        <w:rPr>
          <w:rFonts w:ascii="Calibri" w:hAnsi="Calibri"/>
          <w:sz w:val="22"/>
        </w:rPr>
        <w:t>Stage 3 - Backend API and GIS Dashboard</w:t>
      </w:r>
    </w:p>
    <w:p>
      <w:pPr>
        <w:keepNext w:val="0"/>
        <w:spacing w:before="0" w:after="120" w:line="300" w:lineRule="auto"/>
      </w:pPr>
      <w:r>
        <w:rPr>
          <w:rFonts w:ascii="Calibri" w:hAnsi="Calibri"/>
          <w:sz w:val="22"/>
        </w:rPr>
        <w:t>Goal: let analysts find events, understand why the system classified them, inspect source freshness, correct mistakes, and receive actionable alerts.</w:t>
      </w:r>
    </w:p>
    <w:p>
      <w:pPr>
        <w:pStyle w:val="Heading2"/>
        <w:keepNext/>
        <w:spacing w:before="280" w:after="140" w:line="300" w:lineRule="auto"/>
      </w:pPr>
      <w:r>
        <w:rPr>
          <w:rFonts w:ascii="Calibri" w:hAnsi="Calibri"/>
          <w:sz w:val="22"/>
        </w:rPr>
        <w:t>Recipe 3.1 - Backend/API Design</w:t>
      </w:r>
    </w:p>
    <w:tbl>
      <w:tblPr>
        <w:tblStyle w:val="TableGrid"/>
        <w:tblW w:type="dxa" w:w="9360"/>
        <w:jc w:val="left"/>
        <w:tblLayout w:type="fixed"/>
        <w:tblLook w:firstColumn="1" w:firstRow="1" w:lastColumn="0" w:lastRow="0" w:noHBand="0" w:noVBand="1" w:val="04A0"/>
        <w:tblLayout w:type="fixed"/>
        <w:tblInd w:w="120" w:type="dxa"/>
      </w:tblPr>
      <w:tblGrid>
        <w:gridCol w:w="1850"/>
        <w:gridCol w:w="4660"/>
        <w:gridCol w:w="2850"/>
      </w:tblGrid>
      <w:tr>
        <w:trPr>
          <w:tblHeader w:val="true"/>
        </w:trPr>
        <w:tc>
          <w:tcPr>
            <w:tcW w:type="dxa" w:w="1850"/>
            <w:tcMar>
              <w:top w:w="80" w:type="dxa"/>
              <w:start w:w="120" w:type="dxa"/>
              <w:bottom w:w="80" w:type="dxa"/>
              <w:end w:w="120" w:type="dxa"/>
            </w:tcMar>
            <w:shd w:fill="E8EEF5"/>
          </w:tcPr>
          <w:p>
            <w:pPr>
              <w:spacing w:after="0"/>
            </w:pPr>
            <w:r>
              <w:rPr>
                <w:rFonts w:ascii="Calibri" w:hAnsi="Calibri"/>
                <w:b/>
                <w:color w:val="0B2545"/>
                <w:sz w:val="18"/>
              </w:rPr>
              <w:t>Endpoint group</w:t>
            </w:r>
          </w:p>
        </w:tc>
        <w:tc>
          <w:tcPr>
            <w:tcW w:type="dxa" w:w="4660"/>
            <w:tcMar>
              <w:top w:w="80" w:type="dxa"/>
              <w:start w:w="120" w:type="dxa"/>
              <w:bottom w:w="80" w:type="dxa"/>
              <w:end w:w="120" w:type="dxa"/>
            </w:tcMar>
            <w:shd w:fill="E8EEF5"/>
          </w:tcPr>
          <w:p>
            <w:pPr>
              <w:spacing w:after="0"/>
            </w:pPr>
            <w:r>
              <w:rPr>
                <w:rFonts w:ascii="Calibri" w:hAnsi="Calibri"/>
                <w:b/>
                <w:color w:val="0B2545"/>
                <w:sz w:val="18"/>
              </w:rPr>
              <w:t>Key endpoints</w:t>
            </w:r>
          </w:p>
        </w:tc>
        <w:tc>
          <w:tcPr>
            <w:tcW w:type="dxa" w:w="2850"/>
            <w:tcMar>
              <w:top w:w="80" w:type="dxa"/>
              <w:start w:w="120" w:type="dxa"/>
              <w:bottom w:w="80" w:type="dxa"/>
              <w:end w:w="120" w:type="dxa"/>
            </w:tcMar>
            <w:shd w:fill="E8EEF5"/>
          </w:tcPr>
          <w:p>
            <w:pPr>
              <w:spacing w:after="0"/>
            </w:pPr>
            <w:r>
              <w:rPr>
                <w:rFonts w:ascii="Calibri" w:hAnsi="Calibri"/>
                <w:b/>
                <w:color w:val="0B2545"/>
                <w:sz w:val="18"/>
              </w:rPr>
              <w:t>Rules</w:t>
            </w:r>
          </w:p>
        </w:tc>
      </w:tr>
      <w:tr>
        <w:tc>
          <w:tcPr>
            <w:tcW w:type="dxa" w:w="1850"/>
          </w:tcPr>
          <w:p>
            <w:pPr>
              <w:spacing w:after="0" w:line="269" w:lineRule="auto"/>
            </w:pPr>
            <w:r>
              <w:rPr>
                <w:rFonts w:ascii="Calibri" w:hAnsi="Calibri"/>
                <w:color w:val="202A35"/>
                <w:sz w:val="18"/>
              </w:rPr>
              <w:t>Events</w:t>
            </w:r>
          </w:p>
        </w:tc>
        <w:tc>
          <w:tcPr>
            <w:tcW w:type="dxa" w:w="4660"/>
          </w:tcPr>
          <w:p>
            <w:pPr>
              <w:spacing w:after="0" w:line="269" w:lineRule="auto"/>
            </w:pPr>
            <w:r>
              <w:rPr>
                <w:rFonts w:ascii="Calibri" w:hAnsi="Calibri"/>
                <w:color w:val="202A35"/>
                <w:sz w:val="18"/>
              </w:rPr>
              <w:t>GET /events, GET /events/{id}, GET /events/{id}/evidence</w:t>
            </w:r>
          </w:p>
        </w:tc>
        <w:tc>
          <w:tcPr>
            <w:tcW w:type="dxa" w:w="2850"/>
          </w:tcPr>
          <w:p>
            <w:pPr>
              <w:spacing w:after="0" w:line="269" w:lineRule="auto"/>
            </w:pPr>
            <w:r>
              <w:rPr>
                <w:rFonts w:ascii="Calibri" w:hAnsi="Calibri"/>
                <w:color w:val="202A35"/>
                <w:sz w:val="18"/>
              </w:rPr>
              <w:t>Use spatial/time/class/confidence filters; cursor pagination; GeoJSON option.</w:t>
            </w:r>
          </w:p>
        </w:tc>
      </w:tr>
      <w:tr>
        <w:tc>
          <w:tcPr>
            <w:tcW w:type="dxa" w:w="1850"/>
          </w:tcPr>
          <w:p>
            <w:pPr>
              <w:spacing w:after="0" w:line="269" w:lineRule="auto"/>
            </w:pPr>
            <w:r>
              <w:rPr>
                <w:rFonts w:ascii="Calibri" w:hAnsi="Calibri"/>
                <w:color w:val="202A35"/>
                <w:sz w:val="18"/>
              </w:rPr>
              <w:t>Map</w:t>
            </w:r>
          </w:p>
        </w:tc>
        <w:tc>
          <w:tcPr>
            <w:tcW w:type="dxa" w:w="4660"/>
          </w:tcPr>
          <w:p>
            <w:pPr>
              <w:spacing w:after="0" w:line="269" w:lineRule="auto"/>
            </w:pPr>
            <w:r>
              <w:rPr>
                <w:rFonts w:ascii="Calibri" w:hAnsi="Calibri"/>
                <w:color w:val="202A35"/>
                <w:sz w:val="18"/>
              </w:rPr>
              <w:t>GET /map/events, GET /map/clusters, GET /map/reference-features</w:t>
            </w:r>
          </w:p>
        </w:tc>
        <w:tc>
          <w:tcPr>
            <w:tcW w:type="dxa" w:w="2850"/>
          </w:tcPr>
          <w:p>
            <w:pPr>
              <w:spacing w:after="0" w:line="269" w:lineRule="auto"/>
            </w:pPr>
            <w:r>
              <w:rPr>
                <w:rFonts w:ascii="Calibri" w:hAnsi="Calibri"/>
                <w:color w:val="202A35"/>
                <w:sz w:val="18"/>
              </w:rPr>
              <w:t>Return simplified geometry/tiles at map scale; avoid loading all records.</w:t>
            </w:r>
          </w:p>
        </w:tc>
      </w:tr>
      <w:tr>
        <w:tc>
          <w:tcPr>
            <w:tcW w:type="dxa" w:w="1850"/>
          </w:tcPr>
          <w:p>
            <w:pPr>
              <w:spacing w:after="0" w:line="269" w:lineRule="auto"/>
            </w:pPr>
            <w:r>
              <w:rPr>
                <w:rFonts w:ascii="Calibri" w:hAnsi="Calibri"/>
                <w:color w:val="202A35"/>
                <w:sz w:val="18"/>
              </w:rPr>
              <w:t>Analytics</w:t>
            </w:r>
          </w:p>
        </w:tc>
        <w:tc>
          <w:tcPr>
            <w:tcW w:type="dxa" w:w="4660"/>
          </w:tcPr>
          <w:p>
            <w:pPr>
              <w:spacing w:after="0" w:line="269" w:lineRule="auto"/>
            </w:pPr>
            <w:r>
              <w:rPr>
                <w:rFonts w:ascii="Calibri" w:hAnsi="Calibri"/>
                <w:color w:val="202A35"/>
                <w:sz w:val="18"/>
              </w:rPr>
              <w:t>GET /analytics/summary, /timeseries, /hotspots</w:t>
            </w:r>
          </w:p>
        </w:tc>
        <w:tc>
          <w:tcPr>
            <w:tcW w:type="dxa" w:w="2850"/>
          </w:tcPr>
          <w:p>
            <w:pPr>
              <w:spacing w:after="0" w:line="269" w:lineRule="auto"/>
            </w:pPr>
            <w:r>
              <w:rPr>
                <w:rFonts w:ascii="Calibri" w:hAnsi="Calibri"/>
                <w:color w:val="202A35"/>
                <w:sz w:val="18"/>
              </w:rPr>
              <w:t>Pre-aggregate common views; support filters.</w:t>
            </w:r>
          </w:p>
        </w:tc>
      </w:tr>
      <w:tr>
        <w:tc>
          <w:tcPr>
            <w:tcW w:type="dxa" w:w="1850"/>
          </w:tcPr>
          <w:p>
            <w:pPr>
              <w:spacing w:after="0" w:line="269" w:lineRule="auto"/>
            </w:pPr>
            <w:r>
              <w:rPr>
                <w:rFonts w:ascii="Calibri" w:hAnsi="Calibri"/>
                <w:color w:val="202A35"/>
                <w:sz w:val="18"/>
              </w:rPr>
              <w:t>Review</w:t>
            </w:r>
          </w:p>
        </w:tc>
        <w:tc>
          <w:tcPr>
            <w:tcW w:type="dxa" w:w="4660"/>
          </w:tcPr>
          <w:p>
            <w:pPr>
              <w:spacing w:after="0" w:line="269" w:lineRule="auto"/>
            </w:pPr>
            <w:r>
              <w:rPr>
                <w:rFonts w:ascii="Calibri" w:hAnsi="Calibri"/>
                <w:color w:val="202A35"/>
                <w:sz w:val="18"/>
              </w:rPr>
              <w:t>POST /events/{id}/review, POST /overrides, GET /review-queue</w:t>
            </w:r>
          </w:p>
        </w:tc>
        <w:tc>
          <w:tcPr>
            <w:tcW w:type="dxa" w:w="2850"/>
          </w:tcPr>
          <w:p>
            <w:pPr>
              <w:spacing w:after="0" w:line="269" w:lineRule="auto"/>
            </w:pPr>
            <w:r>
              <w:rPr>
                <w:rFonts w:ascii="Calibri" w:hAnsi="Calibri"/>
                <w:color w:val="202A35"/>
                <w:sz w:val="18"/>
              </w:rPr>
              <w:t>Role-based access; append-only audit records and approval state.</w:t>
            </w:r>
          </w:p>
        </w:tc>
      </w:tr>
      <w:tr>
        <w:tc>
          <w:tcPr>
            <w:tcW w:type="dxa" w:w="1850"/>
          </w:tcPr>
          <w:p>
            <w:pPr>
              <w:spacing w:after="0" w:line="269" w:lineRule="auto"/>
            </w:pPr>
            <w:r>
              <w:rPr>
                <w:rFonts w:ascii="Calibri" w:hAnsi="Calibri"/>
                <w:color w:val="202A35"/>
                <w:sz w:val="18"/>
              </w:rPr>
              <w:t>Alerts</w:t>
            </w:r>
          </w:p>
        </w:tc>
        <w:tc>
          <w:tcPr>
            <w:tcW w:type="dxa" w:w="4660"/>
          </w:tcPr>
          <w:p>
            <w:pPr>
              <w:spacing w:after="0" w:line="269" w:lineRule="auto"/>
            </w:pPr>
            <w:r>
              <w:rPr>
                <w:rFonts w:ascii="Calibri" w:hAnsi="Calibri"/>
                <w:color w:val="202A35"/>
                <w:sz w:val="18"/>
              </w:rPr>
              <w:t>GET /alerts, POST /alerts/{id}/acknowledge</w:t>
            </w:r>
          </w:p>
        </w:tc>
        <w:tc>
          <w:tcPr>
            <w:tcW w:type="dxa" w:w="2850"/>
          </w:tcPr>
          <w:p>
            <w:pPr>
              <w:spacing w:after="0" w:line="269" w:lineRule="auto"/>
            </w:pPr>
            <w:r>
              <w:rPr>
                <w:rFonts w:ascii="Calibri" w:hAnsi="Calibri"/>
                <w:color w:val="202A35"/>
                <w:sz w:val="18"/>
              </w:rPr>
              <w:t>Separate alert lifecycle from event lifecycle.</w:t>
            </w:r>
          </w:p>
        </w:tc>
      </w:tr>
      <w:tr>
        <w:tc>
          <w:tcPr>
            <w:tcW w:type="dxa" w:w="1850"/>
          </w:tcPr>
          <w:p>
            <w:pPr>
              <w:spacing w:after="0" w:line="269" w:lineRule="auto"/>
            </w:pPr>
            <w:r>
              <w:rPr>
                <w:rFonts w:ascii="Calibri" w:hAnsi="Calibri"/>
                <w:color w:val="202A35"/>
                <w:sz w:val="18"/>
              </w:rPr>
              <w:t>Operations</w:t>
            </w:r>
          </w:p>
        </w:tc>
        <w:tc>
          <w:tcPr>
            <w:tcW w:type="dxa" w:w="4660"/>
          </w:tcPr>
          <w:p>
            <w:pPr>
              <w:spacing w:after="0" w:line="269" w:lineRule="auto"/>
            </w:pPr>
            <w:r>
              <w:rPr>
                <w:rFonts w:ascii="Calibri" w:hAnsi="Calibri"/>
                <w:color w:val="202A35"/>
                <w:sz w:val="18"/>
              </w:rPr>
              <w:t>GET /sources/health, GET /runs, POST /replay (restricted)</w:t>
            </w:r>
          </w:p>
        </w:tc>
        <w:tc>
          <w:tcPr>
            <w:tcW w:type="dxa" w:w="2850"/>
          </w:tcPr>
          <w:p>
            <w:pPr>
              <w:spacing w:after="0" w:line="269" w:lineRule="auto"/>
            </w:pPr>
            <w:r>
              <w:rPr>
                <w:rFonts w:ascii="Calibri" w:hAnsi="Calibri"/>
                <w:color w:val="202A35"/>
                <w:sz w:val="18"/>
              </w:rPr>
              <w:t>Admin-only; never expose secrets or raw credentials.</w:t>
            </w:r>
          </w:p>
        </w:tc>
      </w:tr>
    </w:tbl>
    <w:p>
      <w:pPr>
        <w:spacing w:after="40"/>
      </w:pPr>
    </w:p>
    <w:p>
      <w:pPr>
        <w:pStyle w:val="Heading3"/>
        <w:keepNext/>
        <w:spacing w:before="200" w:after="100" w:line="300" w:lineRule="auto"/>
      </w:pPr>
      <w:r>
        <w:rPr>
          <w:rFonts w:ascii="Calibri" w:hAnsi="Calibri"/>
          <w:sz w:val="22"/>
        </w:rPr>
        <w:t>Event detail response contract</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event: id, acquisition time, point, signal fields, status</w:t>
              <w:br/>
              <w:t>prediction: class, probabilities, confidence band, model version</w:t>
              <w:br/>
              <w:t>persistence: cluster id, 7/30/90-day counts, status</w:t>
              <w:br/>
              <w:t>evidence: each source, match/distance/inside, source date, coverage state</w:t>
              <w:br/>
              <w:t>explanation: supporting factors, conflicting factors, missing-data notices</w:t>
              <w:br/>
              <w:t>provenance: raw file URI/id, pipeline version, processed time</w:t>
              <w:br/>
              <w:t>review: human label/override history and alert status</w:t>
            </w:r>
          </w:p>
        </w:tc>
      </w:tr>
    </w:tbl>
    <w:p>
      <w:pPr>
        <w:spacing w:after="40"/>
      </w:pPr>
    </w:p>
    <w:p>
      <w:pPr>
        <w:pStyle w:val="Heading2"/>
        <w:keepNext/>
        <w:spacing w:before="280" w:after="140" w:line="300" w:lineRule="auto"/>
      </w:pPr>
      <w:r>
        <w:rPr>
          <w:rFonts w:ascii="Calibri" w:hAnsi="Calibri"/>
          <w:sz w:val="22"/>
        </w:rPr>
        <w:t>Recipe 3.2 - Build the GIS Dashboard in This Order</w:t>
      </w:r>
    </w:p>
    <w:p>
      <w:pPr>
        <w:pStyle w:val="ListNumber"/>
        <w:spacing w:after="80" w:line="300" w:lineRule="auto"/>
      </w:pPr>
      <w:r>
        <w:rPr>
          <w:rFonts w:ascii="Calibri" w:hAnsi="Calibri"/>
          <w:sz w:val="22"/>
        </w:rPr>
        <w:t>Map shell: basemap, event point layer, source/reference overlays, legend, clustering, and visible source freshness indicator.</w:t>
      </w:r>
    </w:p>
    <w:p>
      <w:pPr>
        <w:pStyle w:val="ListNumber"/>
        <w:spacing w:after="80" w:line="300" w:lineRule="auto"/>
      </w:pPr>
      <w:r>
        <w:rPr>
          <w:rFonts w:ascii="Calibri" w:hAnsi="Calibri"/>
          <w:sz w:val="22"/>
        </w:rPr>
        <w:t>Filters: date/time, state/district, class, confidence band, persistence, alert state, source coverage, and review status.</w:t>
      </w:r>
    </w:p>
    <w:p>
      <w:pPr>
        <w:pStyle w:val="ListNumber"/>
        <w:spacing w:after="80" w:line="300" w:lineRule="auto"/>
      </w:pPr>
      <w:r>
        <w:rPr>
          <w:rFonts w:ascii="Calibri" w:hAnsi="Calibri"/>
          <w:sz w:val="22"/>
        </w:rPr>
        <w:t>Event drawer: signal, classification, confidence, persistence, nearby infrastructure, evidence list, imagery preview, and provenance.</w:t>
      </w:r>
    </w:p>
    <w:p>
      <w:pPr>
        <w:pStyle w:val="ListNumber"/>
        <w:spacing w:after="80" w:line="300" w:lineRule="auto"/>
      </w:pPr>
      <w:r>
        <w:rPr>
          <w:rFonts w:ascii="Calibri" w:hAnsi="Calibri"/>
          <w:sz w:val="22"/>
        </w:rPr>
        <w:t>Analytics: event counts over time, class breakdown, hotspot/persistent clusters, source-health status, and alert resolution trend.</w:t>
      </w:r>
    </w:p>
    <w:p>
      <w:pPr>
        <w:pStyle w:val="ListNumber"/>
        <w:spacing w:after="80" w:line="300" w:lineRule="auto"/>
      </w:pPr>
      <w:r>
        <w:rPr>
          <w:rFonts w:ascii="Calibri" w:hAnsi="Calibri"/>
          <w:sz w:val="22"/>
        </w:rPr>
        <w:t>Review tools: mark verified/rejected, add label/override, attach source/evidence link, request approval, and show audit history.</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 xml:space="preserve"> MAP + FILTERS                         EVENT DETAIL DRAWER</w:t>
              <w:br/>
              <w:t xml:space="preserve"> ┌───────────────────┐                  ┌─────────────────────────┐</w:t>
              <w:br/>
              <w:t xml:space="preserve"> │  points / clusters│  click event --&gt; │ class + confidence       │</w:t>
              <w:br/>
              <w:t xml:space="preserve"> │  reference layers │                  │ persistence + signal     │</w:t>
              <w:br/>
              <w:t xml:space="preserve"> │  source freshness │                  │ evidence + imagery       │</w:t>
              <w:br/>
              <w:t xml:space="preserve"> │  time slider      │                  │ provenance + review      │</w:t>
              <w:br/>
              <w:t xml:space="preserve"> └───────────────────┘                  └─────────────────────────┘</w:t>
            </w:r>
          </w:p>
        </w:tc>
      </w:tr>
    </w:tbl>
    <w:p>
      <w:pPr>
        <w:spacing w:after="40"/>
      </w:pPr>
    </w:p>
    <w:p>
      <w:pPr>
        <w:pStyle w:val="Heading2"/>
        <w:keepNext/>
        <w:spacing w:before="280" w:after="140" w:line="300" w:lineRule="auto"/>
      </w:pPr>
      <w:r>
        <w:rPr>
          <w:rFonts w:ascii="Calibri" w:hAnsi="Calibri"/>
          <w:sz w:val="22"/>
        </w:rPr>
        <w:t>Recipe 3.3 - Alerting</w:t>
      </w:r>
    </w:p>
    <w:tbl>
      <w:tblPr>
        <w:tblStyle w:val="TableGrid"/>
        <w:tblW w:type="dxa" w:w="9360"/>
        <w:jc w:val="left"/>
        <w:tblLayout w:type="fixed"/>
        <w:tblLook w:firstColumn="1" w:firstRow="1" w:lastColumn="0" w:lastRow="0" w:noHBand="0" w:noVBand="1" w:val="04A0"/>
        <w:tblLayout w:type="fixed"/>
        <w:tblInd w:w="120" w:type="dxa"/>
      </w:tblPr>
      <w:tblGrid>
        <w:gridCol w:w="1650"/>
        <w:gridCol w:w="4500"/>
        <w:gridCol w:w="3210"/>
      </w:tblGrid>
      <w:tr>
        <w:trPr>
          <w:tblHeader w:val="true"/>
        </w:trPr>
        <w:tc>
          <w:tcPr>
            <w:tcW w:type="dxa" w:w="1650"/>
            <w:tcMar>
              <w:top w:w="80" w:type="dxa"/>
              <w:start w:w="120" w:type="dxa"/>
              <w:bottom w:w="80" w:type="dxa"/>
              <w:end w:w="120" w:type="dxa"/>
            </w:tcMar>
            <w:shd w:fill="E8EEF5"/>
          </w:tcPr>
          <w:p>
            <w:pPr>
              <w:spacing w:after="0"/>
            </w:pPr>
            <w:r>
              <w:rPr>
                <w:rFonts w:ascii="Calibri" w:hAnsi="Calibri"/>
                <w:b/>
                <w:color w:val="0B2545"/>
                <w:sz w:val="18"/>
              </w:rPr>
              <w:t>Step</w:t>
            </w:r>
          </w:p>
        </w:tc>
        <w:tc>
          <w:tcPr>
            <w:tcW w:type="dxa" w:w="4500"/>
            <w:tcMar>
              <w:top w:w="80" w:type="dxa"/>
              <w:start w:w="120" w:type="dxa"/>
              <w:bottom w:w="80" w:type="dxa"/>
              <w:end w:w="120" w:type="dxa"/>
            </w:tcMar>
            <w:shd w:fill="E8EEF5"/>
          </w:tcPr>
          <w:p>
            <w:pPr>
              <w:spacing w:after="0"/>
            </w:pPr>
            <w:r>
              <w:rPr>
                <w:rFonts w:ascii="Calibri" w:hAnsi="Calibri"/>
                <w:b/>
                <w:color w:val="0B2545"/>
                <w:sz w:val="18"/>
              </w:rPr>
              <w:t>Implement</w:t>
            </w:r>
          </w:p>
        </w:tc>
        <w:tc>
          <w:tcPr>
            <w:tcW w:type="dxa" w:w="3210"/>
            <w:tcMar>
              <w:top w:w="80" w:type="dxa"/>
              <w:start w:w="120" w:type="dxa"/>
              <w:bottom w:w="80" w:type="dxa"/>
              <w:end w:w="120" w:type="dxa"/>
            </w:tcMar>
            <w:shd w:fill="E8EEF5"/>
          </w:tcPr>
          <w:p>
            <w:pPr>
              <w:spacing w:after="0"/>
            </w:pPr>
            <w:r>
              <w:rPr>
                <w:rFonts w:ascii="Calibri" w:hAnsi="Calibri"/>
                <w:b/>
                <w:color w:val="0B2545"/>
                <w:sz w:val="18"/>
              </w:rPr>
              <w:t>Safeguard</w:t>
            </w:r>
          </w:p>
        </w:tc>
      </w:tr>
      <w:tr>
        <w:tc>
          <w:tcPr>
            <w:tcW w:type="dxa" w:w="1650"/>
          </w:tcPr>
          <w:p>
            <w:pPr>
              <w:spacing w:after="0" w:line="269" w:lineRule="auto"/>
            </w:pPr>
            <w:r>
              <w:rPr>
                <w:rFonts w:ascii="Calibri" w:hAnsi="Calibri"/>
                <w:color w:val="202A35"/>
                <w:sz w:val="18"/>
              </w:rPr>
              <w:t>Define a policy</w:t>
            </w:r>
          </w:p>
        </w:tc>
        <w:tc>
          <w:tcPr>
            <w:tcW w:type="dxa" w:w="4500"/>
          </w:tcPr>
          <w:p>
            <w:pPr>
              <w:spacing w:after="0" w:line="269" w:lineRule="auto"/>
            </w:pPr>
            <w:r>
              <w:rPr>
                <w:rFonts w:ascii="Calibri" w:hAnsi="Calibri"/>
                <w:color w:val="202A35"/>
                <w:sz w:val="18"/>
              </w:rPr>
              <w:t>Example: high-confidence industrial + persistent + data freshness acceptable.</w:t>
            </w:r>
          </w:p>
        </w:tc>
        <w:tc>
          <w:tcPr>
            <w:tcW w:type="dxa" w:w="3210"/>
          </w:tcPr>
          <w:p>
            <w:pPr>
              <w:spacing w:after="0" w:line="269" w:lineRule="auto"/>
            </w:pPr>
            <w:r>
              <w:rPr>
                <w:rFonts w:ascii="Calibri" w:hAnsi="Calibri"/>
                <w:color w:val="202A35"/>
                <w:sz w:val="18"/>
              </w:rPr>
              <w:t>Policy is versioned/configured, not buried in code.</w:t>
            </w:r>
          </w:p>
        </w:tc>
      </w:tr>
      <w:tr>
        <w:tc>
          <w:tcPr>
            <w:tcW w:type="dxa" w:w="1650"/>
          </w:tcPr>
          <w:p>
            <w:pPr>
              <w:spacing w:after="0" w:line="269" w:lineRule="auto"/>
            </w:pPr>
            <w:r>
              <w:rPr>
                <w:rFonts w:ascii="Calibri" w:hAnsi="Calibri"/>
                <w:color w:val="202A35"/>
                <w:sz w:val="18"/>
              </w:rPr>
              <w:t>Create alert record</w:t>
            </w:r>
          </w:p>
        </w:tc>
        <w:tc>
          <w:tcPr>
            <w:tcW w:type="dxa" w:w="4500"/>
          </w:tcPr>
          <w:p>
            <w:pPr>
              <w:spacing w:after="0" w:line="269" w:lineRule="auto"/>
            </w:pPr>
            <w:r>
              <w:rPr>
                <w:rFonts w:ascii="Calibri" w:hAnsi="Calibri"/>
                <w:color w:val="202A35"/>
                <w:sz w:val="18"/>
              </w:rPr>
              <w:t>Deduplicate by event/cluster and policy version; assign severity and recipient group.</w:t>
            </w:r>
          </w:p>
        </w:tc>
        <w:tc>
          <w:tcPr>
            <w:tcW w:type="dxa" w:w="3210"/>
          </w:tcPr>
          <w:p>
            <w:pPr>
              <w:spacing w:after="0" w:line="269" w:lineRule="auto"/>
            </w:pPr>
            <w:r>
              <w:rPr>
                <w:rFonts w:ascii="Calibri" w:hAnsi="Calibri"/>
                <w:color w:val="202A35"/>
                <w:sz w:val="18"/>
              </w:rPr>
              <w:t>Cooldown avoids repeated alerts for same persistent source.</w:t>
            </w:r>
          </w:p>
        </w:tc>
      </w:tr>
      <w:tr>
        <w:tc>
          <w:tcPr>
            <w:tcW w:type="dxa" w:w="1650"/>
          </w:tcPr>
          <w:p>
            <w:pPr>
              <w:spacing w:after="0" w:line="269" w:lineRule="auto"/>
            </w:pPr>
            <w:r>
              <w:rPr>
                <w:rFonts w:ascii="Calibri" w:hAnsi="Calibri"/>
                <w:color w:val="202A35"/>
                <w:sz w:val="18"/>
              </w:rPr>
              <w:t>Deliver</w:t>
            </w:r>
          </w:p>
        </w:tc>
        <w:tc>
          <w:tcPr>
            <w:tcW w:type="dxa" w:w="4500"/>
          </w:tcPr>
          <w:p>
            <w:pPr>
              <w:spacing w:after="0" w:line="269" w:lineRule="auto"/>
            </w:pPr>
            <w:r>
              <w:rPr>
                <w:rFonts w:ascii="Calibri" w:hAnsi="Calibri"/>
                <w:color w:val="202A35"/>
                <w:sz w:val="18"/>
              </w:rPr>
              <w:t>Dashboard first; add email/webhook only after successful acknowledgement workflow.</w:t>
            </w:r>
          </w:p>
        </w:tc>
        <w:tc>
          <w:tcPr>
            <w:tcW w:type="dxa" w:w="3210"/>
          </w:tcPr>
          <w:p>
            <w:pPr>
              <w:spacing w:after="0" w:line="269" w:lineRule="auto"/>
            </w:pPr>
            <w:r>
              <w:rPr>
                <w:rFonts w:ascii="Calibri" w:hAnsi="Calibri"/>
                <w:color w:val="202A35"/>
                <w:sz w:val="18"/>
              </w:rPr>
              <w:t>Never send an alert without a link to evidence.</w:t>
            </w:r>
          </w:p>
        </w:tc>
      </w:tr>
      <w:tr>
        <w:tc>
          <w:tcPr>
            <w:tcW w:type="dxa" w:w="1650"/>
          </w:tcPr>
          <w:p>
            <w:pPr>
              <w:spacing w:after="0" w:line="269" w:lineRule="auto"/>
            </w:pPr>
            <w:r>
              <w:rPr>
                <w:rFonts w:ascii="Calibri" w:hAnsi="Calibri"/>
                <w:color w:val="202A35"/>
                <w:sz w:val="18"/>
              </w:rPr>
              <w:t>Track lifecycle</w:t>
            </w:r>
          </w:p>
        </w:tc>
        <w:tc>
          <w:tcPr>
            <w:tcW w:type="dxa" w:w="4500"/>
          </w:tcPr>
          <w:p>
            <w:pPr>
              <w:spacing w:after="0" w:line="269" w:lineRule="auto"/>
            </w:pPr>
            <w:r>
              <w:rPr>
                <w:rFonts w:ascii="Calibri" w:hAnsi="Calibri"/>
                <w:color w:val="202A35"/>
                <w:sz w:val="18"/>
              </w:rPr>
              <w:t>new -&gt; acknowledged -&gt; investigating -&gt; resolved/false positive.</w:t>
            </w:r>
          </w:p>
        </w:tc>
        <w:tc>
          <w:tcPr>
            <w:tcW w:type="dxa" w:w="3210"/>
          </w:tcPr>
          <w:p>
            <w:pPr>
              <w:spacing w:after="0" w:line="269" w:lineRule="auto"/>
            </w:pPr>
            <w:r>
              <w:rPr>
                <w:rFonts w:ascii="Calibri" w:hAnsi="Calibri"/>
                <w:color w:val="202A35"/>
                <w:sz w:val="18"/>
              </w:rPr>
              <w:t>Do not delete alerts; preserve resolution reason.</w:t>
            </w:r>
          </w:p>
        </w:tc>
      </w:tr>
    </w:tbl>
    <w:p>
      <w:pPr>
        <w:spacing w:after="40"/>
      </w:pP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DECEC"/>
            <w:vAlign w:val="center"/>
          </w:tcPr>
          <w:p>
            <w:pPr>
              <w:spacing w:after="40"/>
            </w:pPr>
            <w:r>
              <w:rPr>
                <w:rFonts w:ascii="Calibri" w:hAnsi="Calibri"/>
                <w:b/>
                <w:color w:val="9B1C1C"/>
                <w:sz w:val="20"/>
              </w:rPr>
              <w:t xml:space="preserve">UI truthfulness rule  </w:t>
            </w:r>
            <w:r>
              <w:rPr>
                <w:rFonts w:ascii="Calibri" w:hAnsi="Calibri"/>
                <w:color w:val="0B2545"/>
                <w:sz w:val="21"/>
              </w:rPr>
              <w:t>The dashboard must distinguish “no match found” from “source unavailable/coverage unknown,” and must show source snapshot dates. This prevents a clean-looking map from implying coverage that does not exist.</w:t>
            </w:r>
          </w:p>
        </w:tc>
      </w:tr>
    </w:tbl>
    <w:p>
      <w:pPr>
        <w:spacing w:after="40"/>
      </w:pPr>
    </w:p>
    <w:p>
      <w:pPr>
        <w:pStyle w:val="Heading1"/>
        <w:keepNext/>
        <w:spacing w:before="360" w:after="200" w:line="300" w:lineRule="auto"/>
      </w:pPr>
      <w:r>
        <w:rPr>
          <w:rFonts w:ascii="Calibri" w:hAnsi="Calibri"/>
          <w:sz w:val="22"/>
        </w:rPr>
        <w:t>Deployment and Operations</w:t>
      </w:r>
    </w:p>
    <w:p>
      <w:pPr>
        <w:pStyle w:val="Heading2"/>
        <w:keepNext/>
        <w:spacing w:before="280" w:after="140" w:line="300" w:lineRule="auto"/>
      </w:pPr>
      <w:r>
        <w:rPr>
          <w:rFonts w:ascii="Calibri" w:hAnsi="Calibri"/>
          <w:sz w:val="22"/>
        </w:rPr>
        <w:t>Recommended deployment shape</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F7F9FC"/>
          </w:tcPr>
          <w:p>
            <w:pPr>
              <w:spacing w:after="0" w:line="252" w:lineRule="auto"/>
            </w:pPr>
            <w:r>
              <w:rPr>
                <w:rFonts w:ascii="Consolas" w:hAnsi="Consolas"/>
                <w:color w:val="0B2545"/>
                <w:sz w:val="16"/>
              </w:rPr>
              <w:t>Internet/API sources</w:t>
              <w:br/>
              <w:t xml:space="preserve">      |</w:t>
              <w:br/>
              <w:t xml:space="preserve">  Scheduler --&gt; Queue/Broker --&gt; Collectors + Enrichment + Inference workers</w:t>
              <w:br/>
              <w:t xml:space="preserve">      |                                  |                 |</w:t>
              <w:br/>
              <w:t xml:space="preserve">      +--------------------------&gt; Postgres/PostGIS &lt;-------+</w:t>
              <w:br/>
              <w:t xml:space="preserve">                                         |</w:t>
              <w:br/>
              <w:t xml:space="preserve">                                API service + Auth</w:t>
              <w:br/>
              <w:t xml:space="preserve">                                         |</w:t>
              <w:br/>
              <w:t xml:space="preserve">                              Web GIS dashboard</w:t>
              <w:br/>
              <w:br/>
              <w:t>Object storage: raw files, snapshots, imagery, datasets, models</w:t>
              <w:br/>
              <w:t>Observability: logs, metrics, source health, error tracking, backups</w:t>
            </w:r>
          </w:p>
        </w:tc>
      </w:tr>
    </w:tbl>
    <w:p>
      <w:pPr>
        <w:spacing w:after="40"/>
      </w:pPr>
    </w:p>
    <w:tbl>
      <w:tblPr>
        <w:tblStyle w:val="TableGrid"/>
        <w:tblW w:type="dxa" w:w="9360"/>
        <w:jc w:val="left"/>
        <w:tblLayout w:type="fixed"/>
        <w:tblLook w:firstColumn="1" w:firstRow="1" w:lastColumn="0" w:lastRow="0" w:noHBand="0" w:noVBand="1" w:val="04A0"/>
        <w:tblLayout w:type="fixed"/>
        <w:tblInd w:w="120" w:type="dxa"/>
      </w:tblPr>
      <w:tblGrid>
        <w:gridCol w:w="1800"/>
        <w:gridCol w:w="3850"/>
        <w:gridCol w:w="3710"/>
      </w:tblGrid>
      <w:tr>
        <w:trPr>
          <w:tblHeader w:val="true"/>
        </w:trPr>
        <w:tc>
          <w:tcPr>
            <w:tcW w:type="dxa" w:w="1800"/>
            <w:tcMar>
              <w:top w:w="80" w:type="dxa"/>
              <w:start w:w="120" w:type="dxa"/>
              <w:bottom w:w="80" w:type="dxa"/>
              <w:end w:w="120" w:type="dxa"/>
            </w:tcMar>
            <w:shd w:fill="E8EEF5"/>
          </w:tcPr>
          <w:p>
            <w:pPr>
              <w:spacing w:after="0"/>
            </w:pPr>
            <w:r>
              <w:rPr>
                <w:rFonts w:ascii="Calibri" w:hAnsi="Calibri"/>
                <w:b/>
                <w:color w:val="0B2545"/>
                <w:sz w:val="18"/>
              </w:rPr>
              <w:t>Environment</w:t>
            </w:r>
          </w:p>
        </w:tc>
        <w:tc>
          <w:tcPr>
            <w:tcW w:type="dxa" w:w="3850"/>
            <w:tcMar>
              <w:top w:w="80" w:type="dxa"/>
              <w:start w:w="120" w:type="dxa"/>
              <w:bottom w:w="80" w:type="dxa"/>
              <w:end w:w="120" w:type="dxa"/>
            </w:tcMar>
            <w:shd w:fill="E8EEF5"/>
          </w:tcPr>
          <w:p>
            <w:pPr>
              <w:spacing w:after="0"/>
            </w:pPr>
            <w:r>
              <w:rPr>
                <w:rFonts w:ascii="Calibri" w:hAnsi="Calibri"/>
                <w:b/>
                <w:color w:val="0B2545"/>
                <w:sz w:val="18"/>
              </w:rPr>
              <w:t>Purpose</w:t>
            </w:r>
          </w:p>
        </w:tc>
        <w:tc>
          <w:tcPr>
            <w:tcW w:type="dxa" w:w="3710"/>
            <w:tcMar>
              <w:top w:w="80" w:type="dxa"/>
              <w:start w:w="120" w:type="dxa"/>
              <w:bottom w:w="80" w:type="dxa"/>
              <w:end w:w="120" w:type="dxa"/>
            </w:tcMar>
            <w:shd w:fill="E8EEF5"/>
          </w:tcPr>
          <w:p>
            <w:pPr>
              <w:spacing w:after="0"/>
            </w:pPr>
            <w:r>
              <w:rPr>
                <w:rFonts w:ascii="Calibri" w:hAnsi="Calibri"/>
                <w:b/>
                <w:color w:val="0B2545"/>
                <w:sz w:val="18"/>
              </w:rPr>
              <w:t>Minimum controls</w:t>
            </w:r>
          </w:p>
        </w:tc>
      </w:tr>
      <w:tr>
        <w:tc>
          <w:tcPr>
            <w:tcW w:type="dxa" w:w="1800"/>
          </w:tcPr>
          <w:p>
            <w:pPr>
              <w:spacing w:after="0" w:line="269" w:lineRule="auto"/>
            </w:pPr>
            <w:r>
              <w:rPr>
                <w:rFonts w:ascii="Calibri" w:hAnsi="Calibri"/>
                <w:color w:val="202A35"/>
                <w:sz w:val="18"/>
              </w:rPr>
              <w:t>Development</w:t>
            </w:r>
          </w:p>
        </w:tc>
        <w:tc>
          <w:tcPr>
            <w:tcW w:type="dxa" w:w="3850"/>
          </w:tcPr>
          <w:p>
            <w:pPr>
              <w:spacing w:after="0" w:line="269" w:lineRule="auto"/>
            </w:pPr>
            <w:r>
              <w:rPr>
                <w:rFonts w:ascii="Calibri" w:hAnsi="Calibri"/>
                <w:color w:val="202A35"/>
                <w:sz w:val="18"/>
              </w:rPr>
              <w:t>Local adapters, sample data, schema migrations.</w:t>
            </w:r>
          </w:p>
        </w:tc>
        <w:tc>
          <w:tcPr>
            <w:tcW w:type="dxa" w:w="3710"/>
          </w:tcPr>
          <w:p>
            <w:pPr>
              <w:spacing w:after="0" w:line="269" w:lineRule="auto"/>
            </w:pPr>
            <w:r>
              <w:rPr>
                <w:rFonts w:ascii="Calibri" w:hAnsi="Calibri"/>
                <w:color w:val="202A35"/>
                <w:sz w:val="18"/>
              </w:rPr>
              <w:t>Fake/demo secrets; no production keys.</w:t>
            </w:r>
          </w:p>
        </w:tc>
      </w:tr>
      <w:tr>
        <w:tc>
          <w:tcPr>
            <w:tcW w:type="dxa" w:w="1800"/>
          </w:tcPr>
          <w:p>
            <w:pPr>
              <w:spacing w:after="0" w:line="269" w:lineRule="auto"/>
            </w:pPr>
            <w:r>
              <w:rPr>
                <w:rFonts w:ascii="Calibri" w:hAnsi="Calibri"/>
                <w:color w:val="202A35"/>
                <w:sz w:val="18"/>
              </w:rPr>
              <w:t>Staging</w:t>
            </w:r>
          </w:p>
        </w:tc>
        <w:tc>
          <w:tcPr>
            <w:tcW w:type="dxa" w:w="3850"/>
          </w:tcPr>
          <w:p>
            <w:pPr>
              <w:spacing w:after="0" w:line="269" w:lineRule="auto"/>
            </w:pPr>
            <w:r>
              <w:rPr>
                <w:rFonts w:ascii="Calibri" w:hAnsi="Calibri"/>
                <w:color w:val="202A35"/>
                <w:sz w:val="18"/>
              </w:rPr>
              <w:t>End-to-end integration and UI acceptance.</w:t>
            </w:r>
          </w:p>
        </w:tc>
        <w:tc>
          <w:tcPr>
            <w:tcW w:type="dxa" w:w="3710"/>
          </w:tcPr>
          <w:p>
            <w:pPr>
              <w:spacing w:after="0" w:line="269" w:lineRule="auto"/>
            </w:pPr>
            <w:r>
              <w:rPr>
                <w:rFonts w:ascii="Calibri" w:hAnsi="Calibri"/>
                <w:color w:val="202A35"/>
                <w:sz w:val="18"/>
              </w:rPr>
              <w:t>Separate database/bucket; limited provider quota; synthetic alerts.</w:t>
            </w:r>
          </w:p>
        </w:tc>
      </w:tr>
      <w:tr>
        <w:tc>
          <w:tcPr>
            <w:tcW w:type="dxa" w:w="1800"/>
          </w:tcPr>
          <w:p>
            <w:pPr>
              <w:spacing w:after="0" w:line="269" w:lineRule="auto"/>
            </w:pPr>
            <w:r>
              <w:rPr>
                <w:rFonts w:ascii="Calibri" w:hAnsi="Calibri"/>
                <w:color w:val="202A35"/>
                <w:sz w:val="18"/>
              </w:rPr>
              <w:t>Production</w:t>
            </w:r>
          </w:p>
        </w:tc>
        <w:tc>
          <w:tcPr>
            <w:tcW w:type="dxa" w:w="3850"/>
          </w:tcPr>
          <w:p>
            <w:pPr>
              <w:spacing w:after="0" w:line="269" w:lineRule="auto"/>
            </w:pPr>
            <w:r>
              <w:rPr>
                <w:rFonts w:ascii="Calibri" w:hAnsi="Calibri"/>
                <w:color w:val="202A35"/>
                <w:sz w:val="18"/>
              </w:rPr>
              <w:t>Scheduled collection and analyst users.</w:t>
            </w:r>
          </w:p>
        </w:tc>
        <w:tc>
          <w:tcPr>
            <w:tcW w:type="dxa" w:w="3710"/>
          </w:tcPr>
          <w:p>
            <w:pPr>
              <w:spacing w:after="0" w:line="269" w:lineRule="auto"/>
            </w:pPr>
            <w:r>
              <w:rPr>
                <w:rFonts w:ascii="Calibri" w:hAnsi="Calibri"/>
                <w:color w:val="202A35"/>
                <w:sz w:val="18"/>
              </w:rPr>
              <w:t>Secret manager, TLS, backups, least-privilege roles, monitoring, audit retention.</w:t>
            </w:r>
          </w:p>
        </w:tc>
      </w:tr>
    </w:tbl>
    <w:p>
      <w:pPr>
        <w:spacing w:after="40"/>
      </w:pPr>
    </w:p>
    <w:p>
      <w:pPr>
        <w:pStyle w:val="Heading2"/>
        <w:keepNext/>
        <w:spacing w:before="280" w:after="140" w:line="300" w:lineRule="auto"/>
      </w:pPr>
      <w:r>
        <w:rPr>
          <w:rFonts w:ascii="Calibri" w:hAnsi="Calibri"/>
          <w:sz w:val="22"/>
        </w:rPr>
        <w:t>Operational checklist</w:t>
      </w:r>
    </w:p>
    <w:p>
      <w:pPr>
        <w:pStyle w:val="ListBullet"/>
        <w:spacing w:after="80" w:line="300" w:lineRule="auto"/>
      </w:pPr>
      <w:r>
        <w:rPr>
          <w:rFonts w:ascii="Calibri" w:hAnsi="Calibri"/>
          <w:sz w:val="22"/>
        </w:rPr>
        <w:t>Run database migrations before deploying workers that require the new schema; make migrations backward compatible when rolling out gradually.</w:t>
      </w:r>
    </w:p>
    <w:p>
      <w:pPr>
        <w:pStyle w:val="ListBullet"/>
        <w:spacing w:after="80" w:line="300" w:lineRule="auto"/>
      </w:pPr>
      <w:r>
        <w:rPr>
          <w:rFonts w:ascii="Calibri" w:hAnsi="Calibri"/>
          <w:sz w:val="22"/>
        </w:rPr>
        <w:t>Back up Postgres and verify restore periodically; object storage must have versioning/lifecycle retention appropriate to the project.</w:t>
      </w:r>
    </w:p>
    <w:p>
      <w:pPr>
        <w:pStyle w:val="ListBullet"/>
        <w:spacing w:after="80" w:line="300" w:lineRule="auto"/>
      </w:pPr>
      <w:r>
        <w:rPr>
          <w:rFonts w:ascii="Calibri" w:hAnsi="Calibri"/>
          <w:sz w:val="22"/>
        </w:rPr>
        <w:t>Use separate worker queues for fast event enrichment, slow imagery, reference refresh, historical backfill, and alert delivery.</w:t>
      </w:r>
    </w:p>
    <w:p>
      <w:pPr>
        <w:pStyle w:val="ListBullet"/>
        <w:spacing w:after="80" w:line="300" w:lineRule="auto"/>
      </w:pPr>
      <w:r>
        <w:rPr>
          <w:rFonts w:ascii="Calibri" w:hAnsi="Calibri"/>
          <w:sz w:val="22"/>
        </w:rPr>
        <w:t>Expose source-health and run-lag dashboards: last success, last event time, latency, error rate, queue depth, retry/DLQ count, key expiry horizon.</w:t>
      </w:r>
    </w:p>
    <w:p>
      <w:pPr>
        <w:pStyle w:val="ListBullet"/>
        <w:spacing w:after="80" w:line="300" w:lineRule="auto"/>
      </w:pPr>
      <w:r>
        <w:rPr>
          <w:rFonts w:ascii="Calibri" w:hAnsi="Calibri"/>
          <w:sz w:val="22"/>
        </w:rPr>
        <w:t>Keep a controlled `DEMO_MODE` with saved raw snapshots so a live API outage cannot break presentations.</w:t>
      </w:r>
    </w:p>
    <w:p>
      <w:pPr>
        <w:pStyle w:val="Heading1"/>
        <w:keepNext/>
        <w:spacing w:before="360" w:after="200" w:line="300" w:lineRule="auto"/>
      </w:pPr>
      <w:r>
        <w:rPr>
          <w:rFonts w:ascii="Calibri" w:hAnsi="Calibri"/>
          <w:sz w:val="22"/>
        </w:rPr>
        <w:t>Testing and Quality Gates</w:t>
      </w:r>
    </w:p>
    <w:tbl>
      <w:tblPr>
        <w:tblStyle w:val="TableGrid"/>
        <w:tblW w:type="dxa" w:w="9360"/>
        <w:jc w:val="left"/>
        <w:tblLayout w:type="fixed"/>
        <w:tblLook w:firstColumn="1" w:firstRow="1" w:lastColumn="0" w:lastRow="0" w:noHBand="0" w:noVBand="1" w:val="04A0"/>
        <w:tblLayout w:type="fixed"/>
        <w:tblInd w:w="120" w:type="dxa"/>
      </w:tblPr>
      <w:tblGrid>
        <w:gridCol w:w="1450"/>
        <w:gridCol w:w="4700"/>
        <w:gridCol w:w="3210"/>
      </w:tblGrid>
      <w:tr>
        <w:trPr>
          <w:tblHeader w:val="true"/>
        </w:trPr>
        <w:tc>
          <w:tcPr>
            <w:tcW w:type="dxa" w:w="1450"/>
            <w:tcMar>
              <w:top w:w="80" w:type="dxa"/>
              <w:start w:w="120" w:type="dxa"/>
              <w:bottom w:w="80" w:type="dxa"/>
              <w:end w:w="120" w:type="dxa"/>
            </w:tcMar>
            <w:shd w:fill="E8EEF5"/>
          </w:tcPr>
          <w:p>
            <w:pPr>
              <w:spacing w:after="0"/>
            </w:pPr>
            <w:r>
              <w:rPr>
                <w:rFonts w:ascii="Calibri" w:hAnsi="Calibri"/>
                <w:b/>
                <w:color w:val="0B2545"/>
                <w:sz w:val="18"/>
              </w:rPr>
              <w:t>Layer</w:t>
            </w:r>
          </w:p>
        </w:tc>
        <w:tc>
          <w:tcPr>
            <w:tcW w:type="dxa" w:w="4700"/>
            <w:tcMar>
              <w:top w:w="80" w:type="dxa"/>
              <w:start w:w="120" w:type="dxa"/>
              <w:bottom w:w="80" w:type="dxa"/>
              <w:end w:w="120" w:type="dxa"/>
            </w:tcMar>
            <w:shd w:fill="E8EEF5"/>
          </w:tcPr>
          <w:p>
            <w:pPr>
              <w:spacing w:after="0"/>
            </w:pPr>
            <w:r>
              <w:rPr>
                <w:rFonts w:ascii="Calibri" w:hAnsi="Calibri"/>
                <w:b/>
                <w:color w:val="0B2545"/>
                <w:sz w:val="18"/>
              </w:rPr>
              <w:t>Tests to implement</w:t>
            </w:r>
          </w:p>
        </w:tc>
        <w:tc>
          <w:tcPr>
            <w:tcW w:type="dxa" w:w="3210"/>
            <w:tcMar>
              <w:top w:w="80" w:type="dxa"/>
              <w:start w:w="120" w:type="dxa"/>
              <w:bottom w:w="80" w:type="dxa"/>
              <w:end w:w="120" w:type="dxa"/>
            </w:tcMar>
            <w:shd w:fill="E8EEF5"/>
          </w:tcPr>
          <w:p>
            <w:pPr>
              <w:spacing w:after="0"/>
            </w:pPr>
            <w:r>
              <w:rPr>
                <w:rFonts w:ascii="Calibri" w:hAnsi="Calibri"/>
                <w:b/>
                <w:color w:val="0B2545"/>
                <w:sz w:val="18"/>
              </w:rPr>
              <w:t>Pass condition</w:t>
            </w:r>
          </w:p>
        </w:tc>
      </w:tr>
      <w:tr>
        <w:tc>
          <w:tcPr>
            <w:tcW w:type="dxa" w:w="1450"/>
          </w:tcPr>
          <w:p>
            <w:pPr>
              <w:spacing w:after="0" w:line="269" w:lineRule="auto"/>
            </w:pPr>
            <w:r>
              <w:rPr>
                <w:rFonts w:ascii="Calibri" w:hAnsi="Calibri"/>
                <w:color w:val="202A35"/>
                <w:sz w:val="18"/>
              </w:rPr>
              <w:t>Collectors</w:t>
            </w:r>
          </w:p>
        </w:tc>
        <w:tc>
          <w:tcPr>
            <w:tcW w:type="dxa" w:w="4700"/>
          </w:tcPr>
          <w:p>
            <w:pPr>
              <w:spacing w:after="0" w:line="269" w:lineRule="auto"/>
            </w:pPr>
            <w:r>
              <w:rPr>
                <w:rFonts w:ascii="Calibri" w:hAnsi="Calibri"/>
                <w:color w:val="202A35"/>
                <w:sz w:val="18"/>
              </w:rPr>
              <w:t>Recorded fixture parsing, auth failure, pagination, duplicate window, rate-limit retry.</w:t>
            </w:r>
          </w:p>
        </w:tc>
        <w:tc>
          <w:tcPr>
            <w:tcW w:type="dxa" w:w="3210"/>
          </w:tcPr>
          <w:p>
            <w:pPr>
              <w:spacing w:after="0" w:line="269" w:lineRule="auto"/>
            </w:pPr>
            <w:r>
              <w:rPr>
                <w:rFonts w:ascii="Calibri" w:hAnsi="Calibri"/>
                <w:color w:val="202A35"/>
                <w:sz w:val="18"/>
              </w:rPr>
              <w:t>Produces same canonical events idempotently.</w:t>
            </w:r>
          </w:p>
        </w:tc>
      </w:tr>
      <w:tr>
        <w:tc>
          <w:tcPr>
            <w:tcW w:type="dxa" w:w="1450"/>
          </w:tcPr>
          <w:p>
            <w:pPr>
              <w:spacing w:after="0" w:line="269" w:lineRule="auto"/>
            </w:pPr>
            <w:r>
              <w:rPr>
                <w:rFonts w:ascii="Calibri" w:hAnsi="Calibri"/>
                <w:color w:val="202A35"/>
                <w:sz w:val="18"/>
              </w:rPr>
              <w:t>GIS</w:t>
            </w:r>
          </w:p>
        </w:tc>
        <w:tc>
          <w:tcPr>
            <w:tcW w:type="dxa" w:w="4700"/>
          </w:tcPr>
          <w:p>
            <w:pPr>
              <w:spacing w:after="0" w:line="269" w:lineRule="auto"/>
            </w:pPr>
            <w:r>
              <w:rPr>
                <w:rFonts w:ascii="Calibri" w:hAnsi="Calibri"/>
                <w:color w:val="202A35"/>
                <w:sz w:val="18"/>
              </w:rPr>
              <w:t>CRS conversion, distance/containment boundary cases, layer version swap.</w:t>
            </w:r>
          </w:p>
        </w:tc>
        <w:tc>
          <w:tcPr>
            <w:tcW w:type="dxa" w:w="3210"/>
          </w:tcPr>
          <w:p>
            <w:pPr>
              <w:spacing w:after="0" w:line="269" w:lineRule="auto"/>
            </w:pPr>
            <w:r>
              <w:rPr>
                <w:rFonts w:ascii="Calibri" w:hAnsi="Calibri"/>
                <w:color w:val="202A35"/>
                <w:sz w:val="18"/>
              </w:rPr>
              <w:t>Known sample points yield correct matches/distances.</w:t>
            </w:r>
          </w:p>
        </w:tc>
      </w:tr>
      <w:tr>
        <w:tc>
          <w:tcPr>
            <w:tcW w:type="dxa" w:w="1450"/>
          </w:tcPr>
          <w:p>
            <w:pPr>
              <w:spacing w:after="0" w:line="269" w:lineRule="auto"/>
            </w:pPr>
            <w:r>
              <w:rPr>
                <w:rFonts w:ascii="Calibri" w:hAnsi="Calibri"/>
                <w:color w:val="202A35"/>
                <w:sz w:val="18"/>
              </w:rPr>
              <w:t>Pipeline</w:t>
            </w:r>
          </w:p>
        </w:tc>
        <w:tc>
          <w:tcPr>
            <w:tcW w:type="dxa" w:w="4700"/>
          </w:tcPr>
          <w:p>
            <w:pPr>
              <w:spacing w:after="0" w:line="269" w:lineRule="auto"/>
            </w:pPr>
            <w:r>
              <w:rPr>
                <w:rFonts w:ascii="Calibri" w:hAnsi="Calibri"/>
                <w:color w:val="202A35"/>
                <w:sz w:val="18"/>
              </w:rPr>
              <w:t>Replay a raw FIRMS file through archive -&gt; parse -&gt; enrich -&gt; features.</w:t>
            </w:r>
          </w:p>
        </w:tc>
        <w:tc>
          <w:tcPr>
            <w:tcW w:type="dxa" w:w="3210"/>
          </w:tcPr>
          <w:p>
            <w:pPr>
              <w:spacing w:after="0" w:line="269" w:lineRule="auto"/>
            </w:pPr>
            <w:r>
              <w:rPr>
                <w:rFonts w:ascii="Calibri" w:hAnsi="Calibri"/>
                <w:color w:val="202A35"/>
                <w:sz w:val="18"/>
              </w:rPr>
              <w:t>Same input/version produces deterministic output.</w:t>
            </w:r>
          </w:p>
        </w:tc>
      </w:tr>
      <w:tr>
        <w:tc>
          <w:tcPr>
            <w:tcW w:type="dxa" w:w="1450"/>
          </w:tcPr>
          <w:p>
            <w:pPr>
              <w:spacing w:after="0" w:line="269" w:lineRule="auto"/>
            </w:pPr>
            <w:r>
              <w:rPr>
                <w:rFonts w:ascii="Calibri" w:hAnsi="Calibri"/>
                <w:color w:val="202A35"/>
                <w:sz w:val="18"/>
              </w:rPr>
              <w:t>ML</w:t>
            </w:r>
          </w:p>
        </w:tc>
        <w:tc>
          <w:tcPr>
            <w:tcW w:type="dxa" w:w="4700"/>
          </w:tcPr>
          <w:p>
            <w:pPr>
              <w:spacing w:after="0" w:line="269" w:lineRule="auto"/>
            </w:pPr>
            <w:r>
              <w:rPr>
                <w:rFonts w:ascii="Calibri" w:hAnsi="Calibri"/>
                <w:color w:val="202A35"/>
                <w:sz w:val="18"/>
              </w:rPr>
              <w:t>Dataset manifest validation, leakage tests, feature null checks, regression metrics.</w:t>
            </w:r>
          </w:p>
        </w:tc>
        <w:tc>
          <w:tcPr>
            <w:tcW w:type="dxa" w:w="3210"/>
          </w:tcPr>
          <w:p>
            <w:pPr>
              <w:spacing w:after="0" w:line="269" w:lineRule="auto"/>
            </w:pPr>
            <w:r>
              <w:rPr>
                <w:rFonts w:ascii="Calibri" w:hAnsi="Calibri"/>
                <w:color w:val="202A35"/>
                <w:sz w:val="18"/>
              </w:rPr>
              <w:t>Registered model meets gates and explains outputs.</w:t>
            </w:r>
          </w:p>
        </w:tc>
      </w:tr>
      <w:tr>
        <w:tc>
          <w:tcPr>
            <w:tcW w:type="dxa" w:w="1450"/>
          </w:tcPr>
          <w:p>
            <w:pPr>
              <w:spacing w:after="0" w:line="269" w:lineRule="auto"/>
            </w:pPr>
            <w:r>
              <w:rPr>
                <w:rFonts w:ascii="Calibri" w:hAnsi="Calibri"/>
                <w:color w:val="202A35"/>
                <w:sz w:val="18"/>
              </w:rPr>
              <w:t>API</w:t>
            </w:r>
          </w:p>
        </w:tc>
        <w:tc>
          <w:tcPr>
            <w:tcW w:type="dxa" w:w="4700"/>
          </w:tcPr>
          <w:p>
            <w:pPr>
              <w:spacing w:after="0" w:line="269" w:lineRule="auto"/>
            </w:pPr>
            <w:r>
              <w:rPr>
                <w:rFonts w:ascii="Calibri" w:hAnsi="Calibri"/>
                <w:color w:val="202A35"/>
                <w:sz w:val="18"/>
              </w:rPr>
              <w:t>Authorization, filters, pagination, GeoJSON shape, sensitive-field exclusion.</w:t>
            </w:r>
          </w:p>
        </w:tc>
        <w:tc>
          <w:tcPr>
            <w:tcW w:type="dxa" w:w="3210"/>
          </w:tcPr>
          <w:p>
            <w:pPr>
              <w:spacing w:after="0" w:line="269" w:lineRule="auto"/>
            </w:pPr>
            <w:r>
              <w:rPr>
                <w:rFonts w:ascii="Calibri" w:hAnsi="Calibri"/>
                <w:color w:val="202A35"/>
                <w:sz w:val="18"/>
              </w:rPr>
              <w:t>Stable documented contract.</w:t>
            </w:r>
          </w:p>
        </w:tc>
      </w:tr>
      <w:tr>
        <w:tc>
          <w:tcPr>
            <w:tcW w:type="dxa" w:w="1450"/>
          </w:tcPr>
          <w:p>
            <w:pPr>
              <w:spacing w:after="0" w:line="269" w:lineRule="auto"/>
            </w:pPr>
            <w:r>
              <w:rPr>
                <w:rFonts w:ascii="Calibri" w:hAnsi="Calibri"/>
                <w:color w:val="202A35"/>
                <w:sz w:val="18"/>
              </w:rPr>
              <w:t>UI</w:t>
            </w:r>
          </w:p>
        </w:tc>
        <w:tc>
          <w:tcPr>
            <w:tcW w:type="dxa" w:w="4700"/>
          </w:tcPr>
          <w:p>
            <w:pPr>
              <w:spacing w:after="0" w:line="269" w:lineRule="auto"/>
            </w:pPr>
            <w:r>
              <w:rPr>
                <w:rFonts w:ascii="Calibri" w:hAnsi="Calibri"/>
                <w:color w:val="202A35"/>
                <w:sz w:val="18"/>
              </w:rPr>
              <w:t>Filter/map/event drawer/review workflow; source-unknown display.</w:t>
            </w:r>
          </w:p>
        </w:tc>
        <w:tc>
          <w:tcPr>
            <w:tcW w:type="dxa" w:w="3210"/>
          </w:tcPr>
          <w:p>
            <w:pPr>
              <w:spacing w:after="0" w:line="269" w:lineRule="auto"/>
            </w:pPr>
            <w:r>
              <w:rPr>
                <w:rFonts w:ascii="Calibri" w:hAnsi="Calibri"/>
                <w:color w:val="202A35"/>
                <w:sz w:val="18"/>
              </w:rPr>
              <w:t>Analyst completes test scenario without ambiguity.</w:t>
            </w:r>
          </w:p>
        </w:tc>
      </w:tr>
      <w:tr>
        <w:tc>
          <w:tcPr>
            <w:tcW w:type="dxa" w:w="1450"/>
          </w:tcPr>
          <w:p>
            <w:pPr>
              <w:spacing w:after="0" w:line="269" w:lineRule="auto"/>
            </w:pPr>
            <w:r>
              <w:rPr>
                <w:rFonts w:ascii="Calibri" w:hAnsi="Calibri"/>
                <w:color w:val="202A35"/>
                <w:sz w:val="18"/>
              </w:rPr>
              <w:t>Resilience</w:t>
            </w:r>
          </w:p>
        </w:tc>
        <w:tc>
          <w:tcPr>
            <w:tcW w:type="dxa" w:w="4700"/>
          </w:tcPr>
          <w:p>
            <w:pPr>
              <w:spacing w:after="0" w:line="269" w:lineRule="auto"/>
            </w:pPr>
            <w:r>
              <w:rPr>
                <w:rFonts w:ascii="Calibri" w:hAnsi="Calibri"/>
                <w:color w:val="202A35"/>
                <w:sz w:val="18"/>
              </w:rPr>
              <w:t>Provider outage, worker crash, database restart, DLQ replay.</w:t>
            </w:r>
          </w:p>
        </w:tc>
        <w:tc>
          <w:tcPr>
            <w:tcW w:type="dxa" w:w="3210"/>
          </w:tcPr>
          <w:p>
            <w:pPr>
              <w:spacing w:after="0" w:line="269" w:lineRule="auto"/>
            </w:pPr>
            <w:r>
              <w:rPr>
                <w:rFonts w:ascii="Calibri" w:hAnsi="Calibri"/>
                <w:color w:val="202A35"/>
                <w:sz w:val="18"/>
              </w:rPr>
              <w:t>No silent data loss; recovery steps documented.</w:t>
            </w:r>
          </w:p>
        </w:tc>
      </w:tr>
    </w:tbl>
    <w:p>
      <w:pPr>
        <w:spacing w:after="40"/>
      </w:pPr>
    </w:p>
    <w:p>
      <w:pPr>
        <w:pStyle w:val="Heading1"/>
        <w:keepNext/>
        <w:spacing w:before="360" w:after="200" w:line="300" w:lineRule="auto"/>
      </w:pPr>
      <w:r>
        <w:rPr>
          <w:rFonts w:ascii="Calibri" w:hAnsi="Calibri"/>
          <w:sz w:val="22"/>
        </w:rPr>
        <w:t>Failure Handling Playbooks</w:t>
      </w:r>
    </w:p>
    <w:tbl>
      <w:tblPr>
        <w:tblStyle w:val="TableGrid"/>
        <w:tblW w:type="dxa" w:w="9360"/>
        <w:jc w:val="left"/>
        <w:tblLayout w:type="fixed"/>
        <w:tblLook w:firstColumn="1" w:firstRow="1" w:lastColumn="0" w:lastRow="0" w:noHBand="0" w:noVBand="1" w:val="04A0"/>
        <w:tblLayout w:type="fixed"/>
        <w:tblInd w:w="120" w:type="dxa"/>
      </w:tblPr>
      <w:tblGrid>
        <w:gridCol w:w="1750"/>
        <w:gridCol w:w="4160"/>
        <w:gridCol w:w="3450"/>
      </w:tblGrid>
      <w:tr>
        <w:trPr>
          <w:tblHeader w:val="true"/>
        </w:trPr>
        <w:tc>
          <w:tcPr>
            <w:tcW w:type="dxa" w:w="1750"/>
            <w:tcMar>
              <w:top w:w="80" w:type="dxa"/>
              <w:start w:w="120" w:type="dxa"/>
              <w:bottom w:w="80" w:type="dxa"/>
              <w:end w:w="120" w:type="dxa"/>
            </w:tcMar>
            <w:shd w:fill="E8EEF5"/>
          </w:tcPr>
          <w:p>
            <w:pPr>
              <w:spacing w:after="0"/>
            </w:pPr>
            <w:r>
              <w:rPr>
                <w:rFonts w:ascii="Calibri" w:hAnsi="Calibri"/>
                <w:b/>
                <w:color w:val="0B2545"/>
                <w:sz w:val="18"/>
              </w:rPr>
              <w:t>Symptom</w:t>
            </w:r>
          </w:p>
        </w:tc>
        <w:tc>
          <w:tcPr>
            <w:tcW w:type="dxa" w:w="4160"/>
            <w:tcMar>
              <w:top w:w="80" w:type="dxa"/>
              <w:start w:w="120" w:type="dxa"/>
              <w:bottom w:w="80" w:type="dxa"/>
              <w:end w:w="120" w:type="dxa"/>
            </w:tcMar>
            <w:shd w:fill="E8EEF5"/>
          </w:tcPr>
          <w:p>
            <w:pPr>
              <w:spacing w:after="0"/>
            </w:pPr>
            <w:r>
              <w:rPr>
                <w:rFonts w:ascii="Calibri" w:hAnsi="Calibri"/>
                <w:b/>
                <w:color w:val="0B2545"/>
                <w:sz w:val="18"/>
              </w:rPr>
              <w:t>Immediate action</w:t>
            </w:r>
          </w:p>
        </w:tc>
        <w:tc>
          <w:tcPr>
            <w:tcW w:type="dxa" w:w="3450"/>
            <w:tcMar>
              <w:top w:w="80" w:type="dxa"/>
              <w:start w:w="120" w:type="dxa"/>
              <w:bottom w:w="80" w:type="dxa"/>
              <w:end w:w="120" w:type="dxa"/>
            </w:tcMar>
            <w:shd w:fill="E8EEF5"/>
          </w:tcPr>
          <w:p>
            <w:pPr>
              <w:spacing w:after="0"/>
            </w:pPr>
            <w:r>
              <w:rPr>
                <w:rFonts w:ascii="Calibri" w:hAnsi="Calibri"/>
                <w:b/>
                <w:color w:val="0B2545"/>
                <w:sz w:val="18"/>
              </w:rPr>
              <w:t>Recovery / prevention</w:t>
            </w:r>
          </w:p>
        </w:tc>
      </w:tr>
      <w:tr>
        <w:tc>
          <w:tcPr>
            <w:tcW w:type="dxa" w:w="1750"/>
          </w:tcPr>
          <w:p>
            <w:pPr>
              <w:spacing w:after="0" w:line="269" w:lineRule="auto"/>
            </w:pPr>
            <w:r>
              <w:rPr>
                <w:rFonts w:ascii="Calibri" w:hAnsi="Calibri"/>
                <w:color w:val="202A35"/>
                <w:sz w:val="18"/>
              </w:rPr>
              <w:t>Events stop arriving</w:t>
            </w:r>
          </w:p>
        </w:tc>
        <w:tc>
          <w:tcPr>
            <w:tcW w:type="dxa" w:w="4160"/>
          </w:tcPr>
          <w:p>
            <w:pPr>
              <w:spacing w:after="0" w:line="269" w:lineRule="auto"/>
            </w:pPr>
            <w:r>
              <w:rPr>
                <w:rFonts w:ascii="Calibri" w:hAnsi="Calibri"/>
                <w:color w:val="202A35"/>
                <w:sz w:val="18"/>
              </w:rPr>
              <w:t>Check FIRMS run ledger, source health, credential expiry, queue depth. Mark data lag in UI.</w:t>
            </w:r>
          </w:p>
        </w:tc>
        <w:tc>
          <w:tcPr>
            <w:tcW w:type="dxa" w:w="3450"/>
          </w:tcPr>
          <w:p>
            <w:pPr>
              <w:spacing w:after="0" w:line="269" w:lineRule="auto"/>
            </w:pPr>
            <w:r>
              <w:rPr>
                <w:rFonts w:ascii="Calibri" w:hAnsi="Calibri"/>
                <w:color w:val="202A35"/>
                <w:sz w:val="18"/>
              </w:rPr>
              <w:t>Replay missed window with overlap; validate dedupe; improve alert threshold.</w:t>
            </w:r>
          </w:p>
        </w:tc>
      </w:tr>
      <w:tr>
        <w:tc>
          <w:tcPr>
            <w:tcW w:type="dxa" w:w="1750"/>
          </w:tcPr>
          <w:p>
            <w:pPr>
              <w:spacing w:after="0" w:line="269" w:lineRule="auto"/>
            </w:pPr>
            <w:r>
              <w:rPr>
                <w:rFonts w:ascii="Calibri" w:hAnsi="Calibri"/>
                <w:color w:val="202A35"/>
                <w:sz w:val="18"/>
              </w:rPr>
              <w:t>Many duplicates</w:t>
            </w:r>
          </w:p>
        </w:tc>
        <w:tc>
          <w:tcPr>
            <w:tcW w:type="dxa" w:w="4160"/>
          </w:tcPr>
          <w:p>
            <w:pPr>
              <w:spacing w:after="0" w:line="269" w:lineRule="auto"/>
            </w:pPr>
            <w:r>
              <w:rPr>
                <w:rFonts w:ascii="Calibri" w:hAnsi="Calibri"/>
                <w:color w:val="202A35"/>
                <w:sz w:val="18"/>
              </w:rPr>
              <w:t>Stop downstream alerting; inspect source key and polling overlap.</w:t>
            </w:r>
          </w:p>
        </w:tc>
        <w:tc>
          <w:tcPr>
            <w:tcW w:type="dxa" w:w="3450"/>
          </w:tcPr>
          <w:p>
            <w:pPr>
              <w:spacing w:after="0" w:line="269" w:lineRule="auto"/>
            </w:pPr>
            <w:r>
              <w:rPr>
                <w:rFonts w:ascii="Calibri" w:hAnsi="Calibri"/>
                <w:color w:val="202A35"/>
                <w:sz w:val="18"/>
              </w:rPr>
              <w:t>Fix idempotency key/index; replay safely.</w:t>
            </w:r>
          </w:p>
        </w:tc>
      </w:tr>
      <w:tr>
        <w:tc>
          <w:tcPr>
            <w:tcW w:type="dxa" w:w="1750"/>
          </w:tcPr>
          <w:p>
            <w:pPr>
              <w:spacing w:after="0" w:line="269" w:lineRule="auto"/>
            </w:pPr>
            <w:r>
              <w:rPr>
                <w:rFonts w:ascii="Calibri" w:hAnsi="Calibri"/>
                <w:color w:val="202A35"/>
                <w:sz w:val="18"/>
              </w:rPr>
              <w:t>GIS enrichment slow</w:t>
            </w:r>
          </w:p>
        </w:tc>
        <w:tc>
          <w:tcPr>
            <w:tcW w:type="dxa" w:w="4160"/>
          </w:tcPr>
          <w:p>
            <w:pPr>
              <w:spacing w:after="0" w:line="269" w:lineRule="auto"/>
            </w:pPr>
            <w:r>
              <w:rPr>
                <w:rFonts w:ascii="Calibri" w:hAnsi="Calibri"/>
                <w:color w:val="202A35"/>
                <w:sz w:val="18"/>
              </w:rPr>
              <w:t>Serve last processed result; move remote calls out of API path.</w:t>
            </w:r>
          </w:p>
        </w:tc>
        <w:tc>
          <w:tcPr>
            <w:tcW w:type="dxa" w:w="3450"/>
          </w:tcPr>
          <w:p>
            <w:pPr>
              <w:spacing w:after="0" w:line="269" w:lineRule="auto"/>
            </w:pPr>
            <w:r>
              <w:rPr>
                <w:rFonts w:ascii="Calibri" w:hAnsi="Calibri"/>
                <w:color w:val="202A35"/>
                <w:sz w:val="18"/>
              </w:rPr>
              <w:t>Refresh local layer/cache; optimize GiST indexes and query limits.</w:t>
            </w:r>
          </w:p>
        </w:tc>
      </w:tr>
      <w:tr>
        <w:tc>
          <w:tcPr>
            <w:tcW w:type="dxa" w:w="1750"/>
          </w:tcPr>
          <w:p>
            <w:pPr>
              <w:spacing w:after="0" w:line="269" w:lineRule="auto"/>
            </w:pPr>
            <w:r>
              <w:rPr>
                <w:rFonts w:ascii="Calibri" w:hAnsi="Calibri"/>
                <w:color w:val="202A35"/>
                <w:sz w:val="18"/>
              </w:rPr>
              <w:t>Bad source schema</w:t>
            </w:r>
          </w:p>
        </w:tc>
        <w:tc>
          <w:tcPr>
            <w:tcW w:type="dxa" w:w="4160"/>
          </w:tcPr>
          <w:p>
            <w:pPr>
              <w:spacing w:after="0" w:line="269" w:lineRule="auto"/>
            </w:pPr>
            <w:r>
              <w:rPr>
                <w:rFonts w:ascii="Calibri" w:hAnsi="Calibri"/>
                <w:color w:val="202A35"/>
                <w:sz w:val="18"/>
              </w:rPr>
              <w:t>Quarantine raw file and parser error; do not coerce silently.</w:t>
            </w:r>
          </w:p>
        </w:tc>
        <w:tc>
          <w:tcPr>
            <w:tcW w:type="dxa" w:w="3450"/>
          </w:tcPr>
          <w:p>
            <w:pPr>
              <w:spacing w:after="0" w:line="269" w:lineRule="auto"/>
            </w:pPr>
            <w:r>
              <w:rPr>
                <w:rFonts w:ascii="Calibri" w:hAnsi="Calibri"/>
                <w:color w:val="202A35"/>
                <w:sz w:val="18"/>
              </w:rPr>
              <w:t>Version parser; add fixture; reprocess archived payload.</w:t>
            </w:r>
          </w:p>
        </w:tc>
      </w:tr>
      <w:tr>
        <w:tc>
          <w:tcPr>
            <w:tcW w:type="dxa" w:w="1750"/>
          </w:tcPr>
          <w:p>
            <w:pPr>
              <w:spacing w:after="0" w:line="269" w:lineRule="auto"/>
            </w:pPr>
            <w:r>
              <w:rPr>
                <w:rFonts w:ascii="Calibri" w:hAnsi="Calibri"/>
                <w:color w:val="202A35"/>
                <w:sz w:val="18"/>
              </w:rPr>
              <w:t>Model regression</w:t>
            </w:r>
          </w:p>
        </w:tc>
        <w:tc>
          <w:tcPr>
            <w:tcW w:type="dxa" w:w="4160"/>
          </w:tcPr>
          <w:p>
            <w:pPr>
              <w:spacing w:after="0" w:line="269" w:lineRule="auto"/>
            </w:pPr>
            <w:r>
              <w:rPr>
                <w:rFonts w:ascii="Calibri" w:hAnsi="Calibri"/>
                <w:color w:val="202A35"/>
                <w:sz w:val="18"/>
              </w:rPr>
              <w:t>Rollback registry pointer to prior approved model.</w:t>
            </w:r>
          </w:p>
        </w:tc>
        <w:tc>
          <w:tcPr>
            <w:tcW w:type="dxa" w:w="3450"/>
          </w:tcPr>
          <w:p>
            <w:pPr>
              <w:spacing w:after="0" w:line="269" w:lineRule="auto"/>
            </w:pPr>
            <w:r>
              <w:rPr>
                <w:rFonts w:ascii="Calibri" w:hAnsi="Calibri"/>
                <w:color w:val="202A35"/>
                <w:sz w:val="18"/>
              </w:rPr>
              <w:t>Open review; compare dataset/feature drift; retrain only with signed-off data.</w:t>
            </w:r>
          </w:p>
        </w:tc>
      </w:tr>
      <w:tr>
        <w:tc>
          <w:tcPr>
            <w:tcW w:type="dxa" w:w="1750"/>
          </w:tcPr>
          <w:p>
            <w:pPr>
              <w:spacing w:after="0" w:line="269" w:lineRule="auto"/>
            </w:pPr>
            <w:r>
              <w:rPr>
                <w:rFonts w:ascii="Calibri" w:hAnsi="Calibri"/>
                <w:color w:val="202A35"/>
                <w:sz w:val="18"/>
              </w:rPr>
              <w:t>Incorrect analyst override</w:t>
            </w:r>
          </w:p>
        </w:tc>
        <w:tc>
          <w:tcPr>
            <w:tcW w:type="dxa" w:w="4160"/>
          </w:tcPr>
          <w:p>
            <w:pPr>
              <w:spacing w:after="0" w:line="269" w:lineRule="auto"/>
            </w:pPr>
            <w:r>
              <w:rPr>
                <w:rFonts w:ascii="Calibri" w:hAnsi="Calibri"/>
                <w:color w:val="202A35"/>
                <w:sz w:val="18"/>
              </w:rPr>
              <w:t>Supersede with a new correction; never delete audit history.</w:t>
            </w:r>
          </w:p>
        </w:tc>
        <w:tc>
          <w:tcPr>
            <w:tcW w:type="dxa" w:w="3450"/>
          </w:tcPr>
          <w:p>
            <w:pPr>
              <w:spacing w:after="0" w:line="269" w:lineRule="auto"/>
            </w:pPr>
            <w:r>
              <w:rPr>
                <w:rFonts w:ascii="Calibri" w:hAnsi="Calibri"/>
                <w:color w:val="202A35"/>
                <w:sz w:val="18"/>
              </w:rPr>
              <w:t>Clarify rubric/approval rule.</w:t>
            </w:r>
          </w:p>
        </w:tc>
      </w:tr>
    </w:tbl>
    <w:p>
      <w:pPr>
        <w:spacing w:after="40"/>
      </w:pPr>
    </w:p>
    <w:p>
      <w:pPr>
        <w:pStyle w:val="Heading2"/>
        <w:keepNext/>
        <w:spacing w:before="280" w:after="140" w:line="300" w:lineRule="auto"/>
      </w:pPr>
      <w:r>
        <w:rPr>
          <w:rFonts w:ascii="Calibri" w:hAnsi="Calibri"/>
          <w:sz w:val="22"/>
        </w:rPr>
        <w:t>Manual Procedures Summary</w:t>
      </w:r>
    </w:p>
    <w:tbl>
      <w:tblPr>
        <w:tblStyle w:val="TableGrid"/>
        <w:tblW w:type="dxa" w:w="9360"/>
        <w:jc w:val="left"/>
        <w:tblLayout w:type="fixed"/>
        <w:tblLook w:firstColumn="1" w:firstRow="1" w:lastColumn="0" w:lastRow="0" w:noHBand="0" w:noVBand="1" w:val="04A0"/>
        <w:tblLayout w:type="fixed"/>
        <w:tblInd w:w="120" w:type="dxa"/>
      </w:tblPr>
      <w:tblGrid>
        <w:gridCol w:w="3900"/>
        <w:gridCol w:w="1600"/>
        <w:gridCol w:w="3860"/>
      </w:tblGrid>
      <w:tr>
        <w:trPr>
          <w:tblHeader w:val="true"/>
        </w:trPr>
        <w:tc>
          <w:tcPr>
            <w:tcW w:type="dxa" w:w="3900"/>
            <w:tcMar>
              <w:top w:w="80" w:type="dxa"/>
              <w:start w:w="120" w:type="dxa"/>
              <w:bottom w:w="80" w:type="dxa"/>
              <w:end w:w="120" w:type="dxa"/>
            </w:tcMar>
            <w:shd w:fill="E8EEF5"/>
          </w:tcPr>
          <w:p>
            <w:pPr>
              <w:spacing w:after="0"/>
            </w:pPr>
            <w:r>
              <w:rPr>
                <w:rFonts w:ascii="Calibri" w:hAnsi="Calibri"/>
                <w:b/>
                <w:color w:val="0B2545"/>
                <w:sz w:val="18"/>
              </w:rPr>
              <w:t>Procedure</w:t>
            </w:r>
          </w:p>
        </w:tc>
        <w:tc>
          <w:tcPr>
            <w:tcW w:type="dxa" w:w="1600"/>
            <w:tcMar>
              <w:top w:w="80" w:type="dxa"/>
              <w:start w:w="120" w:type="dxa"/>
              <w:bottom w:w="80" w:type="dxa"/>
              <w:end w:w="120" w:type="dxa"/>
            </w:tcMar>
            <w:shd w:fill="E8EEF5"/>
          </w:tcPr>
          <w:p>
            <w:pPr>
              <w:spacing w:after="0"/>
            </w:pPr>
            <w:r>
              <w:rPr>
                <w:rFonts w:ascii="Calibri" w:hAnsi="Calibri"/>
                <w:b/>
                <w:color w:val="0B2545"/>
                <w:sz w:val="18"/>
              </w:rPr>
              <w:t>Owner</w:t>
            </w:r>
          </w:p>
        </w:tc>
        <w:tc>
          <w:tcPr>
            <w:tcW w:type="dxa" w:w="3860"/>
            <w:tcMar>
              <w:top w:w="80" w:type="dxa"/>
              <w:start w:w="120" w:type="dxa"/>
              <w:bottom w:w="80" w:type="dxa"/>
              <w:end w:w="120" w:type="dxa"/>
            </w:tcMar>
            <w:shd w:fill="E8EEF5"/>
          </w:tcPr>
          <w:p>
            <w:pPr>
              <w:spacing w:after="0"/>
            </w:pPr>
            <w:r>
              <w:rPr>
                <w:rFonts w:ascii="Calibri" w:hAnsi="Calibri"/>
                <w:b/>
                <w:color w:val="0B2545"/>
                <w:sz w:val="18"/>
              </w:rPr>
              <w:t>Frequency / trigger</w:t>
            </w:r>
          </w:p>
        </w:tc>
      </w:tr>
      <w:tr>
        <w:tc>
          <w:tcPr>
            <w:tcW w:type="dxa" w:w="3900"/>
          </w:tcPr>
          <w:p>
            <w:pPr>
              <w:spacing w:after="0" w:line="269" w:lineRule="auto"/>
            </w:pPr>
            <w:r>
              <w:rPr>
                <w:rFonts w:ascii="Calibri" w:hAnsi="Calibri"/>
                <w:color w:val="202A35"/>
                <w:sz w:val="18"/>
              </w:rPr>
              <w:t>Verify provider credentials and source registry</w:t>
            </w:r>
          </w:p>
        </w:tc>
        <w:tc>
          <w:tcPr>
            <w:tcW w:type="dxa" w:w="1600"/>
          </w:tcPr>
          <w:p>
            <w:pPr>
              <w:spacing w:after="0" w:line="269" w:lineRule="auto"/>
            </w:pPr>
            <w:r>
              <w:rPr>
                <w:rFonts w:ascii="Calibri" w:hAnsi="Calibri"/>
                <w:color w:val="202A35"/>
                <w:sz w:val="18"/>
              </w:rPr>
              <w:t>Data owner</w:t>
            </w:r>
          </w:p>
        </w:tc>
        <w:tc>
          <w:tcPr>
            <w:tcW w:type="dxa" w:w="3860"/>
          </w:tcPr>
          <w:p>
            <w:pPr>
              <w:spacing w:after="0" w:line="269" w:lineRule="auto"/>
            </w:pPr>
            <w:r>
              <w:rPr>
                <w:rFonts w:ascii="Calibri" w:hAnsi="Calibri"/>
                <w:color w:val="202A35"/>
                <w:sz w:val="18"/>
              </w:rPr>
              <w:t>Monthly; and 30/14/7 days before expiry.</w:t>
            </w:r>
          </w:p>
        </w:tc>
      </w:tr>
      <w:tr>
        <w:tc>
          <w:tcPr>
            <w:tcW w:type="dxa" w:w="3900"/>
          </w:tcPr>
          <w:p>
            <w:pPr>
              <w:spacing w:after="0" w:line="269" w:lineRule="auto"/>
            </w:pPr>
            <w:r>
              <w:rPr>
                <w:rFonts w:ascii="Calibri" w:hAnsi="Calibri"/>
                <w:color w:val="202A35"/>
                <w:sz w:val="18"/>
              </w:rPr>
              <w:t>Import/approve government GIS snapshot</w:t>
            </w:r>
          </w:p>
        </w:tc>
        <w:tc>
          <w:tcPr>
            <w:tcW w:type="dxa" w:w="1600"/>
          </w:tcPr>
          <w:p>
            <w:pPr>
              <w:spacing w:after="0" w:line="269" w:lineRule="auto"/>
            </w:pPr>
            <w:r>
              <w:rPr>
                <w:rFonts w:ascii="Calibri" w:hAnsi="Calibri"/>
                <w:color w:val="202A35"/>
                <w:sz w:val="18"/>
              </w:rPr>
              <w:t>GIS data steward</w:t>
            </w:r>
          </w:p>
        </w:tc>
        <w:tc>
          <w:tcPr>
            <w:tcW w:type="dxa" w:w="3860"/>
          </w:tcPr>
          <w:p>
            <w:pPr>
              <w:spacing w:after="0" w:line="269" w:lineRule="auto"/>
            </w:pPr>
            <w:r>
              <w:rPr>
                <w:rFonts w:ascii="Calibri" w:hAnsi="Calibri"/>
                <w:color w:val="202A35"/>
                <w:sz w:val="18"/>
              </w:rPr>
              <w:t>Per source update or when source health changes.</w:t>
            </w:r>
          </w:p>
        </w:tc>
      </w:tr>
      <w:tr>
        <w:tc>
          <w:tcPr>
            <w:tcW w:type="dxa" w:w="3900"/>
          </w:tcPr>
          <w:p>
            <w:pPr>
              <w:spacing w:after="0" w:line="269" w:lineRule="auto"/>
            </w:pPr>
            <w:r>
              <w:rPr>
                <w:rFonts w:ascii="Calibri" w:hAnsi="Calibri"/>
                <w:color w:val="202A35"/>
                <w:sz w:val="18"/>
              </w:rPr>
              <w:t>Review uncertain/high-impact classifications</w:t>
            </w:r>
          </w:p>
        </w:tc>
        <w:tc>
          <w:tcPr>
            <w:tcW w:type="dxa" w:w="1600"/>
          </w:tcPr>
          <w:p>
            <w:pPr>
              <w:spacing w:after="0" w:line="269" w:lineRule="auto"/>
            </w:pPr>
            <w:r>
              <w:rPr>
                <w:rFonts w:ascii="Calibri" w:hAnsi="Calibri"/>
                <w:color w:val="202A35"/>
                <w:sz w:val="18"/>
              </w:rPr>
              <w:t>Analyst + approver</w:t>
            </w:r>
          </w:p>
        </w:tc>
        <w:tc>
          <w:tcPr>
            <w:tcW w:type="dxa" w:w="3860"/>
          </w:tcPr>
          <w:p>
            <w:pPr>
              <w:spacing w:after="0" w:line="269" w:lineRule="auto"/>
            </w:pPr>
            <w:r>
              <w:rPr>
                <w:rFonts w:ascii="Calibri" w:hAnsi="Calibri"/>
                <w:color w:val="202A35"/>
                <w:sz w:val="18"/>
              </w:rPr>
              <w:t>Daily queue; before external action.</w:t>
            </w:r>
          </w:p>
        </w:tc>
      </w:tr>
      <w:tr>
        <w:tc>
          <w:tcPr>
            <w:tcW w:type="dxa" w:w="3900"/>
          </w:tcPr>
          <w:p>
            <w:pPr>
              <w:spacing w:after="0" w:line="269" w:lineRule="auto"/>
            </w:pPr>
            <w:r>
              <w:rPr>
                <w:rFonts w:ascii="Calibri" w:hAnsi="Calibri"/>
                <w:color w:val="202A35"/>
                <w:sz w:val="18"/>
              </w:rPr>
              <w:t>Approve training labels/model promotion</w:t>
            </w:r>
          </w:p>
        </w:tc>
        <w:tc>
          <w:tcPr>
            <w:tcW w:type="dxa" w:w="1600"/>
          </w:tcPr>
          <w:p>
            <w:pPr>
              <w:spacing w:after="0" w:line="269" w:lineRule="auto"/>
            </w:pPr>
            <w:r>
              <w:rPr>
                <w:rFonts w:ascii="Calibri" w:hAnsi="Calibri"/>
                <w:color w:val="202A35"/>
                <w:sz w:val="18"/>
              </w:rPr>
              <w:t>ML lead + domain reviewer</w:t>
            </w:r>
          </w:p>
        </w:tc>
        <w:tc>
          <w:tcPr>
            <w:tcW w:type="dxa" w:w="3860"/>
          </w:tcPr>
          <w:p>
            <w:pPr>
              <w:spacing w:after="0" w:line="269" w:lineRule="auto"/>
            </w:pPr>
            <w:r>
              <w:rPr>
                <w:rFonts w:ascii="Calibri" w:hAnsi="Calibri"/>
                <w:color w:val="202A35"/>
                <w:sz w:val="18"/>
              </w:rPr>
              <w:t>At each dataset/model release.</w:t>
            </w:r>
          </w:p>
        </w:tc>
      </w:tr>
      <w:tr>
        <w:tc>
          <w:tcPr>
            <w:tcW w:type="dxa" w:w="3900"/>
          </w:tcPr>
          <w:p>
            <w:pPr>
              <w:spacing w:after="0" w:line="269" w:lineRule="auto"/>
            </w:pPr>
            <w:r>
              <w:rPr>
                <w:rFonts w:ascii="Calibri" w:hAnsi="Calibri"/>
                <w:color w:val="202A35"/>
                <w:sz w:val="18"/>
              </w:rPr>
              <w:t>Exercise outage replay and restore</w:t>
            </w:r>
          </w:p>
        </w:tc>
        <w:tc>
          <w:tcPr>
            <w:tcW w:type="dxa" w:w="1600"/>
          </w:tcPr>
          <w:p>
            <w:pPr>
              <w:spacing w:after="0" w:line="269" w:lineRule="auto"/>
            </w:pPr>
            <w:r>
              <w:rPr>
                <w:rFonts w:ascii="Calibri" w:hAnsi="Calibri"/>
                <w:color w:val="202A35"/>
                <w:sz w:val="18"/>
              </w:rPr>
              <w:t>Platform lead</w:t>
            </w:r>
          </w:p>
        </w:tc>
        <w:tc>
          <w:tcPr>
            <w:tcW w:type="dxa" w:w="3860"/>
          </w:tcPr>
          <w:p>
            <w:pPr>
              <w:spacing w:after="0" w:line="269" w:lineRule="auto"/>
            </w:pPr>
            <w:r>
              <w:rPr>
                <w:rFonts w:ascii="Calibri" w:hAnsi="Calibri"/>
                <w:color w:val="202A35"/>
                <w:sz w:val="18"/>
              </w:rPr>
              <w:t>Before release; then quarterly/at milestones.</w:t>
            </w:r>
          </w:p>
        </w:tc>
      </w:tr>
      <w:tr>
        <w:tc>
          <w:tcPr>
            <w:tcW w:type="dxa" w:w="3900"/>
          </w:tcPr>
          <w:p>
            <w:pPr>
              <w:spacing w:after="0" w:line="269" w:lineRule="auto"/>
            </w:pPr>
            <w:r>
              <w:rPr>
                <w:rFonts w:ascii="Calibri" w:hAnsi="Calibri"/>
                <w:color w:val="202A35"/>
                <w:sz w:val="18"/>
              </w:rPr>
              <w:t>Refresh demo snapshot</w:t>
            </w:r>
          </w:p>
        </w:tc>
        <w:tc>
          <w:tcPr>
            <w:tcW w:type="dxa" w:w="1600"/>
          </w:tcPr>
          <w:p>
            <w:pPr>
              <w:spacing w:after="0" w:line="269" w:lineRule="auto"/>
            </w:pPr>
            <w:r>
              <w:rPr>
                <w:rFonts w:ascii="Calibri" w:hAnsi="Calibri"/>
                <w:color w:val="202A35"/>
                <w:sz w:val="18"/>
              </w:rPr>
              <w:t>Project lead</w:t>
            </w:r>
          </w:p>
        </w:tc>
        <w:tc>
          <w:tcPr>
            <w:tcW w:type="dxa" w:w="3860"/>
          </w:tcPr>
          <w:p>
            <w:pPr>
              <w:spacing w:after="0" w:line="269" w:lineRule="auto"/>
            </w:pPr>
            <w:r>
              <w:rPr>
                <w:rFonts w:ascii="Calibri" w:hAnsi="Calibri"/>
                <w:color w:val="202A35"/>
                <w:sz w:val="18"/>
              </w:rPr>
              <w:t>Before demo day.</w:t>
            </w:r>
          </w:p>
        </w:tc>
      </w:tr>
    </w:tbl>
    <w:p>
      <w:pPr>
        <w:spacing w:after="40"/>
      </w:pPr>
    </w:p>
    <w:p>
      <w:pPr>
        <w:pStyle w:val="Heading1"/>
        <w:keepNext/>
        <w:spacing w:before="360" w:after="200" w:line="300" w:lineRule="auto"/>
      </w:pPr>
      <w:r>
        <w:rPr>
          <w:rFonts w:ascii="Calibri" w:hAnsi="Calibri"/>
          <w:sz w:val="22"/>
        </w:rPr>
        <w:t>Definition of Done</w:t>
      </w:r>
    </w:p>
    <w:p>
      <w:pPr>
        <w:pStyle w:val="ListBullet"/>
        <w:spacing w:after="80" w:line="300" w:lineRule="auto"/>
      </w:pPr>
      <w:r>
        <w:rPr>
          <w:rFonts w:ascii="Calibri" w:hAnsi="Calibri"/>
          <w:sz w:val="22"/>
        </w:rPr>
        <w:t>Stage 1: A FIRMS event is collected on schedule, raw data is retained, duplicates do not trigger repeated work, enrichment attaches versioned evidence, and outage/replay works.</w:t>
      </w:r>
    </w:p>
    <w:p>
      <w:pPr>
        <w:pStyle w:val="ListBullet"/>
        <w:spacing w:after="80" w:line="300" w:lineRule="auto"/>
      </w:pPr>
      <w:r>
        <w:rPr>
          <w:rFonts w:ascii="Calibri" w:hAnsi="Calibri"/>
          <w:sz w:val="22"/>
        </w:rPr>
        <w:t>Stage 2: A versioned dataset and label rubric exist; the baseline model beats a rule baseline on held-out data; persistence is calculated separately; every prediction has confidence and explanation.</w:t>
      </w:r>
    </w:p>
    <w:p>
      <w:pPr>
        <w:pStyle w:val="ListBullet"/>
        <w:spacing w:after="80" w:line="300" w:lineRule="auto"/>
      </w:pPr>
      <w:r>
        <w:rPr>
          <w:rFonts w:ascii="Calibri" w:hAnsi="Calibri"/>
          <w:sz w:val="22"/>
        </w:rPr>
        <w:t>Stage 3: An authenticated dashboard can filter and map events, show full evidence/provenance, support analyst review/override, and issue deduplicated alerts with a lifecycle.</w:t>
      </w:r>
    </w:p>
    <w:p>
      <w:pPr>
        <w:pStyle w:val="ListBullet"/>
        <w:spacing w:after="80" w:line="300" w:lineRule="auto"/>
      </w:pPr>
      <w:r>
        <w:rPr>
          <w:rFonts w:ascii="Calibri" w:hAnsi="Calibri"/>
          <w:sz w:val="22"/>
        </w:rPr>
        <w:t>Operations: The team can see data freshness and source health, rotate keys, restore data, replay failed jobs, and run the demo from recorded snapshots if live services fail.</w:t>
      </w:r>
    </w:p>
    <w:tbl>
      <w:tblPr>
        <w:tblW w:type="dxa" w:w="9360"/>
        <w:jc w:val="left"/>
        <w:tblLayout w:type="fixed"/>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shd w:fill="E8EEF5"/>
            <w:vAlign w:val="center"/>
          </w:tcPr>
          <w:p>
            <w:pPr>
              <w:spacing w:after="40"/>
            </w:pPr>
            <w:r>
              <w:rPr>
                <w:rFonts w:ascii="Calibri" w:hAnsi="Calibri"/>
                <w:b/>
                <w:color w:val="0B2545"/>
                <w:sz w:val="20"/>
              </w:rPr>
              <w:t xml:space="preserve">Final build principle  </w:t>
            </w:r>
            <w:r>
              <w:rPr>
                <w:rFonts w:ascii="Calibri" w:hAnsi="Calibri"/>
                <w:color w:val="0B2545"/>
                <w:sz w:val="21"/>
              </w:rPr>
              <w:t>Make every automated decision traceable and every manual decision controlled. The value of SIH26162 is not merely detecting a hotspot; it is showing a credible, reviewable explanation of what the hotspot likely represents and why.</w:t>
            </w:r>
          </w:p>
        </w:tc>
      </w:tr>
    </w:tbl>
    <w:p>
      <w:pPr>
        <w:spacing w:after="40"/>
      </w:pPr>
    </w:p>
    <w:p>
      <w:pPr>
        <w:pStyle w:val="Heading1"/>
        <w:keepNext/>
        <w:spacing w:before="360" w:after="200" w:line="300" w:lineRule="auto"/>
      </w:pPr>
      <w:r>
        <w:rPr>
          <w:rFonts w:ascii="Calibri" w:hAnsi="Calibri"/>
          <w:sz w:val="22"/>
        </w:rPr>
        <w:t>Appendix A - Practical First Sprint Backlog</w:t>
      </w:r>
    </w:p>
    <w:tbl>
      <w:tblPr>
        <w:tblStyle w:val="TableGrid"/>
        <w:tblW w:type="dxa" w:w="9360"/>
        <w:jc w:val="left"/>
        <w:tblLayout w:type="fixed"/>
        <w:tblLook w:firstColumn="1" w:firstRow="1" w:lastColumn="0" w:lastRow="0" w:noHBand="0" w:noVBand="1" w:val="04A0"/>
        <w:tblLayout w:type="fixed"/>
        <w:tblInd w:w="120" w:type="dxa"/>
      </w:tblPr>
      <w:tblGrid>
        <w:gridCol w:w="1650"/>
        <w:gridCol w:w="4550"/>
        <w:gridCol w:w="3160"/>
      </w:tblGrid>
      <w:tr>
        <w:trPr>
          <w:tblHeader w:val="true"/>
        </w:trPr>
        <w:tc>
          <w:tcPr>
            <w:tcW w:type="dxa" w:w="1650"/>
            <w:tcMar>
              <w:top w:w="80" w:type="dxa"/>
              <w:start w:w="120" w:type="dxa"/>
              <w:bottom w:w="80" w:type="dxa"/>
              <w:end w:w="120" w:type="dxa"/>
            </w:tcMar>
            <w:shd w:fill="E8EEF5"/>
          </w:tcPr>
          <w:p>
            <w:pPr>
              <w:spacing w:after="0"/>
            </w:pPr>
            <w:r>
              <w:rPr>
                <w:rFonts w:ascii="Calibri" w:hAnsi="Calibri"/>
                <w:b/>
                <w:color w:val="0B2545"/>
                <w:sz w:val="18"/>
              </w:rPr>
              <w:t>Sprint order</w:t>
            </w:r>
          </w:p>
        </w:tc>
        <w:tc>
          <w:tcPr>
            <w:tcW w:type="dxa" w:w="4550"/>
            <w:tcMar>
              <w:top w:w="80" w:type="dxa"/>
              <w:start w:w="120" w:type="dxa"/>
              <w:bottom w:w="80" w:type="dxa"/>
              <w:end w:w="120" w:type="dxa"/>
            </w:tcMar>
            <w:shd w:fill="E8EEF5"/>
          </w:tcPr>
          <w:p>
            <w:pPr>
              <w:spacing w:after="0"/>
            </w:pPr>
            <w:r>
              <w:rPr>
                <w:rFonts w:ascii="Calibri" w:hAnsi="Calibri"/>
                <w:b/>
                <w:color w:val="0B2545"/>
                <w:sz w:val="18"/>
              </w:rPr>
              <w:t>Deliverable</w:t>
            </w:r>
          </w:p>
        </w:tc>
        <w:tc>
          <w:tcPr>
            <w:tcW w:type="dxa" w:w="3160"/>
            <w:tcMar>
              <w:top w:w="80" w:type="dxa"/>
              <w:start w:w="120" w:type="dxa"/>
              <w:bottom w:w="80" w:type="dxa"/>
              <w:end w:w="120" w:type="dxa"/>
            </w:tcMar>
            <w:shd w:fill="E8EEF5"/>
          </w:tcPr>
          <w:p>
            <w:pPr>
              <w:spacing w:after="0"/>
            </w:pPr>
            <w:r>
              <w:rPr>
                <w:rFonts w:ascii="Calibri" w:hAnsi="Calibri"/>
                <w:b/>
                <w:color w:val="0B2545"/>
                <w:sz w:val="18"/>
              </w:rPr>
              <w:t>Proof</w:t>
            </w:r>
          </w:p>
        </w:tc>
      </w:tr>
      <w:tr>
        <w:tc>
          <w:tcPr>
            <w:tcW w:type="dxa" w:w="1650"/>
          </w:tcPr>
          <w:p>
            <w:pPr>
              <w:spacing w:after="0" w:line="269" w:lineRule="auto"/>
            </w:pPr>
            <w:r>
              <w:rPr>
                <w:rFonts w:ascii="Calibri" w:hAnsi="Calibri"/>
                <w:color w:val="202A35"/>
                <w:sz w:val="18"/>
              </w:rPr>
              <w:t>1. Foundation</w:t>
            </w:r>
          </w:p>
        </w:tc>
        <w:tc>
          <w:tcPr>
            <w:tcW w:type="dxa" w:w="4550"/>
          </w:tcPr>
          <w:p>
            <w:pPr>
              <w:spacing w:after="0" w:line="269" w:lineRule="auto"/>
            </w:pPr>
            <w:r>
              <w:rPr>
                <w:rFonts w:ascii="Calibri" w:hAnsi="Calibri"/>
                <w:color w:val="202A35"/>
                <w:sz w:val="18"/>
              </w:rPr>
              <w:t>PostGIS, object storage, configuration, run ledger, local Compose/deployment setup.</w:t>
            </w:r>
          </w:p>
        </w:tc>
        <w:tc>
          <w:tcPr>
            <w:tcW w:type="dxa" w:w="3160"/>
          </w:tcPr>
          <w:p>
            <w:pPr>
              <w:spacing w:after="0" w:line="269" w:lineRule="auto"/>
            </w:pPr>
            <w:r>
              <w:rPr>
                <w:rFonts w:ascii="Calibri" w:hAnsi="Calibri"/>
                <w:color w:val="202A35"/>
                <w:sz w:val="18"/>
              </w:rPr>
              <w:t>Database migration and a health endpoint pass.</w:t>
            </w:r>
          </w:p>
        </w:tc>
      </w:tr>
      <w:tr>
        <w:tc>
          <w:tcPr>
            <w:tcW w:type="dxa" w:w="1650"/>
          </w:tcPr>
          <w:p>
            <w:pPr>
              <w:spacing w:after="0" w:line="269" w:lineRule="auto"/>
            </w:pPr>
            <w:r>
              <w:rPr>
                <w:rFonts w:ascii="Calibri" w:hAnsi="Calibri"/>
                <w:color w:val="202A35"/>
                <w:sz w:val="18"/>
              </w:rPr>
              <w:t>2. FIRMS vertical slice</w:t>
            </w:r>
          </w:p>
        </w:tc>
        <w:tc>
          <w:tcPr>
            <w:tcW w:type="dxa" w:w="4550"/>
          </w:tcPr>
          <w:p>
            <w:pPr>
              <w:spacing w:after="0" w:line="269" w:lineRule="auto"/>
            </w:pPr>
            <w:r>
              <w:rPr>
                <w:rFonts w:ascii="Calibri" w:hAnsi="Calibri"/>
                <w:color w:val="202A35"/>
                <w:sz w:val="18"/>
              </w:rPr>
              <w:t>One poller -&gt; raw archive -&gt; canonical event -&gt; map endpoint.</w:t>
            </w:r>
          </w:p>
        </w:tc>
        <w:tc>
          <w:tcPr>
            <w:tcW w:type="dxa" w:w="3160"/>
          </w:tcPr>
          <w:p>
            <w:pPr>
              <w:spacing w:after="0" w:line="269" w:lineRule="auto"/>
            </w:pPr>
            <w:r>
              <w:rPr>
                <w:rFonts w:ascii="Calibri" w:hAnsi="Calibri"/>
                <w:color w:val="202A35"/>
                <w:sz w:val="18"/>
              </w:rPr>
              <w:t>Replay fixture without duplicates.</w:t>
            </w:r>
          </w:p>
        </w:tc>
      </w:tr>
      <w:tr>
        <w:tc>
          <w:tcPr>
            <w:tcW w:type="dxa" w:w="1650"/>
          </w:tcPr>
          <w:p>
            <w:pPr>
              <w:spacing w:after="0" w:line="269" w:lineRule="auto"/>
            </w:pPr>
            <w:r>
              <w:rPr>
                <w:rFonts w:ascii="Calibri" w:hAnsi="Calibri"/>
                <w:color w:val="202A35"/>
                <w:sz w:val="18"/>
              </w:rPr>
              <w:t>3. Context baseline</w:t>
            </w:r>
          </w:p>
        </w:tc>
        <w:tc>
          <w:tcPr>
            <w:tcW w:type="dxa" w:w="4550"/>
          </w:tcPr>
          <w:p>
            <w:pPr>
              <w:spacing w:after="0" w:line="269" w:lineRule="auto"/>
            </w:pPr>
            <w:r>
              <w:rPr>
                <w:rFonts w:ascii="Calibri" w:hAnsi="Calibri"/>
                <w:color w:val="202A35"/>
                <w:sz w:val="18"/>
              </w:rPr>
              <w:t>OSM import/query and one government/land-cover snapshot.</w:t>
            </w:r>
          </w:p>
        </w:tc>
        <w:tc>
          <w:tcPr>
            <w:tcW w:type="dxa" w:w="3160"/>
          </w:tcPr>
          <w:p>
            <w:pPr>
              <w:spacing w:after="0" w:line="269" w:lineRule="auto"/>
            </w:pPr>
            <w:r>
              <w:rPr>
                <w:rFonts w:ascii="Calibri" w:hAnsi="Calibri"/>
                <w:color w:val="202A35"/>
                <w:sz w:val="18"/>
              </w:rPr>
              <w:t>Event detail returns evidence/distances.</w:t>
            </w:r>
          </w:p>
        </w:tc>
      </w:tr>
      <w:tr>
        <w:tc>
          <w:tcPr>
            <w:tcW w:type="dxa" w:w="1650"/>
          </w:tcPr>
          <w:p>
            <w:pPr>
              <w:spacing w:after="0" w:line="269" w:lineRule="auto"/>
            </w:pPr>
            <w:r>
              <w:rPr>
                <w:rFonts w:ascii="Calibri" w:hAnsi="Calibri"/>
                <w:color w:val="202A35"/>
                <w:sz w:val="18"/>
              </w:rPr>
              <w:t>4. Worker reliability</w:t>
            </w:r>
          </w:p>
        </w:tc>
        <w:tc>
          <w:tcPr>
            <w:tcW w:type="dxa" w:w="4550"/>
          </w:tcPr>
          <w:p>
            <w:pPr>
              <w:spacing w:after="0" w:line="269" w:lineRule="auto"/>
            </w:pPr>
            <w:r>
              <w:rPr>
                <w:rFonts w:ascii="Calibri" w:hAnsi="Calibri"/>
                <w:color w:val="202A35"/>
                <w:sz w:val="18"/>
              </w:rPr>
              <w:t>Queue, retry, cache, DLQ, source health, manual import.</w:t>
            </w:r>
          </w:p>
        </w:tc>
        <w:tc>
          <w:tcPr>
            <w:tcW w:type="dxa" w:w="3160"/>
          </w:tcPr>
          <w:p>
            <w:pPr>
              <w:spacing w:after="0" w:line="269" w:lineRule="auto"/>
            </w:pPr>
            <w:r>
              <w:rPr>
                <w:rFonts w:ascii="Calibri" w:hAnsi="Calibri"/>
                <w:color w:val="202A35"/>
                <w:sz w:val="18"/>
              </w:rPr>
              <w:t>Simulated outage recovers via replay.</w:t>
            </w:r>
          </w:p>
        </w:tc>
      </w:tr>
      <w:tr>
        <w:tc>
          <w:tcPr>
            <w:tcW w:type="dxa" w:w="1650"/>
          </w:tcPr>
          <w:p>
            <w:pPr>
              <w:spacing w:after="0" w:line="269" w:lineRule="auto"/>
            </w:pPr>
            <w:r>
              <w:rPr>
                <w:rFonts w:ascii="Calibri" w:hAnsi="Calibri"/>
                <w:color w:val="202A35"/>
                <w:sz w:val="18"/>
              </w:rPr>
              <w:t>5. Historical intelligence</w:t>
            </w:r>
          </w:p>
        </w:tc>
        <w:tc>
          <w:tcPr>
            <w:tcW w:type="dxa" w:w="4550"/>
          </w:tcPr>
          <w:p>
            <w:pPr>
              <w:spacing w:after="0" w:line="269" w:lineRule="auto"/>
            </w:pPr>
            <w:r>
              <w:rPr>
                <w:rFonts w:ascii="Calibri" w:hAnsi="Calibri"/>
                <w:color w:val="202A35"/>
                <w:sz w:val="18"/>
              </w:rPr>
              <w:t>Dataset manifest, labels, persistence analytics, baseline model.</w:t>
            </w:r>
          </w:p>
        </w:tc>
        <w:tc>
          <w:tcPr>
            <w:tcW w:type="dxa" w:w="3160"/>
          </w:tcPr>
          <w:p>
            <w:pPr>
              <w:spacing w:after="0" w:line="269" w:lineRule="auto"/>
            </w:pPr>
            <w:r>
              <w:rPr>
                <w:rFonts w:ascii="Calibri" w:hAnsi="Calibri"/>
                <w:color w:val="202A35"/>
                <w:sz w:val="18"/>
              </w:rPr>
              <w:t>Held-out metrics + explanation generated.</w:t>
            </w:r>
          </w:p>
        </w:tc>
      </w:tr>
      <w:tr>
        <w:tc>
          <w:tcPr>
            <w:tcW w:type="dxa" w:w="1650"/>
          </w:tcPr>
          <w:p>
            <w:pPr>
              <w:spacing w:after="0" w:line="269" w:lineRule="auto"/>
            </w:pPr>
            <w:r>
              <w:rPr>
                <w:rFonts w:ascii="Calibri" w:hAnsi="Calibri"/>
                <w:color w:val="202A35"/>
                <w:sz w:val="18"/>
              </w:rPr>
              <w:t>6. Dashboard + review</w:t>
            </w:r>
          </w:p>
        </w:tc>
        <w:tc>
          <w:tcPr>
            <w:tcW w:type="dxa" w:w="4550"/>
          </w:tcPr>
          <w:p>
            <w:pPr>
              <w:spacing w:after="0" w:line="269" w:lineRule="auto"/>
            </w:pPr>
            <w:r>
              <w:rPr>
                <w:rFonts w:ascii="Calibri" w:hAnsi="Calibri"/>
                <w:color w:val="202A35"/>
                <w:sz w:val="18"/>
              </w:rPr>
              <w:t>Map/filter/detail/analytics/override/alerts.</w:t>
            </w:r>
          </w:p>
        </w:tc>
        <w:tc>
          <w:tcPr>
            <w:tcW w:type="dxa" w:w="3160"/>
          </w:tcPr>
          <w:p>
            <w:pPr>
              <w:spacing w:after="0" w:line="269" w:lineRule="auto"/>
            </w:pPr>
            <w:r>
              <w:rPr>
                <w:rFonts w:ascii="Calibri" w:hAnsi="Calibri"/>
                <w:color w:val="202A35"/>
                <w:sz w:val="18"/>
              </w:rPr>
              <w:t>Analyst completes scenario end to end.</w:t>
            </w:r>
          </w:p>
        </w:tc>
      </w:tr>
    </w:tbl>
    <w:p>
      <w:pPr>
        <w:spacing w:after="40"/>
      </w:pPr>
    </w:p>
    <w:p>
      <w:pPr>
        <w:pStyle w:val="Heading1"/>
        <w:keepNext/>
        <w:spacing w:before="360" w:after="200" w:line="300" w:lineRule="auto"/>
      </w:pPr>
      <w:r>
        <w:rPr>
          <w:rFonts w:ascii="Calibri" w:hAnsi="Calibri"/>
          <w:sz w:val="22"/>
        </w:rPr>
        <w:t>Appendix B - Evidence Display Template</w:t>
      </w:r>
    </w:p>
    <w:tbl>
      <w:tblPr>
        <w:tblStyle w:val="TableGrid"/>
        <w:tblW w:type="dxa" w:w="9360"/>
        <w:jc w:val="left"/>
        <w:tblLayout w:type="fixed"/>
        <w:tblLook w:firstColumn="1" w:firstRow="1" w:lastColumn="0" w:lastRow="0" w:noHBand="0" w:noVBand="1" w:val="04A0"/>
        <w:tblLayout w:type="fixed"/>
        <w:tblInd w:w="120" w:type="dxa"/>
      </w:tblPr>
      <w:tblGrid>
        <w:gridCol w:w="2500"/>
        <w:gridCol w:w="6860"/>
      </w:tblGrid>
      <w:tr>
        <w:trPr>
          <w:tblHeader w:val="true"/>
        </w:trPr>
        <w:tc>
          <w:tcPr>
            <w:tcW w:type="dxa" w:w="2500"/>
            <w:tcMar>
              <w:top w:w="80" w:type="dxa"/>
              <w:start w:w="120" w:type="dxa"/>
              <w:bottom w:w="80" w:type="dxa"/>
              <w:end w:w="120" w:type="dxa"/>
            </w:tcMar>
            <w:shd w:fill="E8EEF5"/>
          </w:tcPr>
          <w:p>
            <w:pPr>
              <w:spacing w:after="0"/>
            </w:pPr>
            <w:r>
              <w:rPr>
                <w:rFonts w:ascii="Calibri" w:hAnsi="Calibri"/>
                <w:b/>
                <w:color w:val="0B2545"/>
                <w:sz w:val="18"/>
              </w:rPr>
              <w:t>Event evidence item</w:t>
            </w:r>
          </w:p>
        </w:tc>
        <w:tc>
          <w:tcPr>
            <w:tcW w:type="dxa" w:w="6860"/>
            <w:tcMar>
              <w:top w:w="80" w:type="dxa"/>
              <w:start w:w="120" w:type="dxa"/>
              <w:bottom w:w="80" w:type="dxa"/>
              <w:end w:w="120" w:type="dxa"/>
            </w:tcMar>
            <w:shd w:fill="E8EEF5"/>
          </w:tcPr>
          <w:p>
            <w:pPr>
              <w:spacing w:after="0"/>
            </w:pPr>
            <w:r>
              <w:rPr>
                <w:rFonts w:ascii="Calibri" w:hAnsi="Calibri"/>
                <w:b/>
                <w:color w:val="0B2545"/>
                <w:sz w:val="18"/>
              </w:rPr>
              <w:t>What the UI must show</w:t>
            </w:r>
          </w:p>
        </w:tc>
      </w:tr>
      <w:tr>
        <w:tc>
          <w:tcPr>
            <w:tcW w:type="dxa" w:w="2500"/>
          </w:tcPr>
          <w:p>
            <w:pPr>
              <w:spacing w:after="0" w:line="269" w:lineRule="auto"/>
            </w:pPr>
            <w:r>
              <w:rPr>
                <w:rFonts w:ascii="Calibri" w:hAnsi="Calibri"/>
                <w:color w:val="202A35"/>
                <w:sz w:val="18"/>
              </w:rPr>
              <w:t>FIRMS</w:t>
            </w:r>
          </w:p>
        </w:tc>
        <w:tc>
          <w:tcPr>
            <w:tcW w:type="dxa" w:w="6860"/>
          </w:tcPr>
          <w:p>
            <w:pPr>
              <w:spacing w:after="0" w:line="269" w:lineRule="auto"/>
            </w:pPr>
            <w:r>
              <w:rPr>
                <w:rFonts w:ascii="Calibri" w:hAnsi="Calibri"/>
                <w:color w:val="202A35"/>
                <w:sz w:val="18"/>
              </w:rPr>
              <w:t>Acquisition time (UTC/local), satellite/product, confidence, FRP/brightness, raw record link/id.</w:t>
            </w:r>
          </w:p>
        </w:tc>
      </w:tr>
      <w:tr>
        <w:tc>
          <w:tcPr>
            <w:tcW w:type="dxa" w:w="2500"/>
          </w:tcPr>
          <w:p>
            <w:pPr>
              <w:spacing w:after="0" w:line="269" w:lineRule="auto"/>
            </w:pPr>
            <w:r>
              <w:rPr>
                <w:rFonts w:ascii="Calibri" w:hAnsi="Calibri"/>
                <w:color w:val="202A35"/>
                <w:sz w:val="18"/>
              </w:rPr>
              <w:t>Industrial reference</w:t>
            </w:r>
          </w:p>
        </w:tc>
        <w:tc>
          <w:tcPr>
            <w:tcW w:type="dxa" w:w="6860"/>
          </w:tcPr>
          <w:p>
            <w:pPr>
              <w:spacing w:after="0" w:line="269" w:lineRule="auto"/>
            </w:pPr>
            <w:r>
              <w:rPr>
                <w:rFonts w:ascii="Calibri" w:hAnsi="Calibri"/>
                <w:color w:val="202A35"/>
                <w:sz w:val="18"/>
              </w:rPr>
              <w:t>Source name, feature name/type, inside/distance, source snapshot date, coverage status.</w:t>
            </w:r>
          </w:p>
        </w:tc>
      </w:tr>
      <w:tr>
        <w:tc>
          <w:tcPr>
            <w:tcW w:type="dxa" w:w="2500"/>
          </w:tcPr>
          <w:p>
            <w:pPr>
              <w:spacing w:after="0" w:line="269" w:lineRule="auto"/>
            </w:pPr>
            <w:r>
              <w:rPr>
                <w:rFonts w:ascii="Calibri" w:hAnsi="Calibri"/>
                <w:color w:val="202A35"/>
                <w:sz w:val="18"/>
              </w:rPr>
              <w:t>OSM</w:t>
            </w:r>
          </w:p>
        </w:tc>
        <w:tc>
          <w:tcPr>
            <w:tcW w:type="dxa" w:w="6860"/>
          </w:tcPr>
          <w:p>
            <w:pPr>
              <w:spacing w:after="0" w:line="269" w:lineRule="auto"/>
            </w:pPr>
            <w:r>
              <w:rPr>
                <w:rFonts w:ascii="Calibri" w:hAnsi="Calibri"/>
                <w:color w:val="202A35"/>
                <w:sz w:val="18"/>
              </w:rPr>
              <w:t>Matched feature/tags, distance, OSM snapshot/query time.</w:t>
            </w:r>
          </w:p>
        </w:tc>
      </w:tr>
      <w:tr>
        <w:tc>
          <w:tcPr>
            <w:tcW w:type="dxa" w:w="2500"/>
          </w:tcPr>
          <w:p>
            <w:pPr>
              <w:spacing w:after="0" w:line="269" w:lineRule="auto"/>
            </w:pPr>
            <w:r>
              <w:rPr>
                <w:rFonts w:ascii="Calibri" w:hAnsi="Calibri"/>
                <w:color w:val="202A35"/>
                <w:sz w:val="18"/>
              </w:rPr>
              <w:t>Land cover</w:t>
            </w:r>
          </w:p>
        </w:tc>
        <w:tc>
          <w:tcPr>
            <w:tcW w:type="dxa" w:w="6860"/>
          </w:tcPr>
          <w:p>
            <w:pPr>
              <w:spacing w:after="0" w:line="269" w:lineRule="auto"/>
            </w:pPr>
            <w:r>
              <w:rPr>
                <w:rFonts w:ascii="Calibri" w:hAnsi="Calibri"/>
                <w:color w:val="202A35"/>
                <w:sz w:val="18"/>
              </w:rPr>
              <w:t>Class, source, acquisition/version date, unknown/missing state.</w:t>
            </w:r>
          </w:p>
        </w:tc>
      </w:tr>
      <w:tr>
        <w:tc>
          <w:tcPr>
            <w:tcW w:type="dxa" w:w="2500"/>
          </w:tcPr>
          <w:p>
            <w:pPr>
              <w:spacing w:after="0" w:line="269" w:lineRule="auto"/>
            </w:pPr>
            <w:r>
              <w:rPr>
                <w:rFonts w:ascii="Calibri" w:hAnsi="Calibri"/>
                <w:color w:val="202A35"/>
                <w:sz w:val="18"/>
              </w:rPr>
              <w:t>Persistence</w:t>
            </w:r>
          </w:p>
        </w:tc>
        <w:tc>
          <w:tcPr>
            <w:tcW w:type="dxa" w:w="6860"/>
          </w:tcPr>
          <w:p>
            <w:pPr>
              <w:spacing w:after="0" w:line="269" w:lineRule="auto"/>
            </w:pPr>
            <w:r>
              <w:rPr>
                <w:rFonts w:ascii="Calibri" w:hAnsi="Calibri"/>
                <w:color w:val="202A35"/>
                <w:sz w:val="18"/>
              </w:rPr>
              <w:t>Cluster/cell, configured threshold, 7/30/90-day counts, first/last seen.</w:t>
            </w:r>
          </w:p>
        </w:tc>
      </w:tr>
      <w:tr>
        <w:tc>
          <w:tcPr>
            <w:tcW w:type="dxa" w:w="2500"/>
          </w:tcPr>
          <w:p>
            <w:pPr>
              <w:spacing w:after="0" w:line="269" w:lineRule="auto"/>
            </w:pPr>
            <w:r>
              <w:rPr>
                <w:rFonts w:ascii="Calibri" w:hAnsi="Calibri"/>
                <w:color w:val="202A35"/>
                <w:sz w:val="18"/>
              </w:rPr>
              <w:t>Model</w:t>
            </w:r>
          </w:p>
        </w:tc>
        <w:tc>
          <w:tcPr>
            <w:tcW w:type="dxa" w:w="6860"/>
          </w:tcPr>
          <w:p>
            <w:pPr>
              <w:spacing w:after="0" w:line="269" w:lineRule="auto"/>
            </w:pPr>
            <w:r>
              <w:rPr>
                <w:rFonts w:ascii="Calibri" w:hAnsi="Calibri"/>
                <w:color w:val="202A35"/>
                <w:sz w:val="18"/>
              </w:rPr>
              <w:t>Model version, class probabilities, confidence band, top supporting/conflicting factors.</w:t>
            </w:r>
          </w:p>
        </w:tc>
      </w:tr>
      <w:tr>
        <w:tc>
          <w:tcPr>
            <w:tcW w:type="dxa" w:w="2500"/>
          </w:tcPr>
          <w:p>
            <w:pPr>
              <w:spacing w:after="0" w:line="269" w:lineRule="auto"/>
            </w:pPr>
            <w:r>
              <w:rPr>
                <w:rFonts w:ascii="Calibri" w:hAnsi="Calibri"/>
                <w:color w:val="202A35"/>
                <w:sz w:val="18"/>
              </w:rPr>
              <w:t>Human review</w:t>
            </w:r>
          </w:p>
        </w:tc>
        <w:tc>
          <w:tcPr>
            <w:tcW w:type="dxa" w:w="6860"/>
          </w:tcPr>
          <w:p>
            <w:pPr>
              <w:spacing w:after="0" w:line="269" w:lineRule="auto"/>
            </w:pPr>
            <w:r>
              <w:rPr>
                <w:rFonts w:ascii="Calibri" w:hAnsi="Calibri"/>
                <w:color w:val="202A35"/>
                <w:sz w:val="18"/>
              </w:rPr>
              <w:t>Reviewer decision, reason, evidence link, approval status, timestamp.</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Internal build guide | Version 1.0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SIH26162 | Implementation Recipe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SIH26162 Implementation Recipe Book</dc:title>
  <dc:subject>Practical implementation documentation for the thermal event intelligence platform</dc:subject>
  <dc:creator>SIH26162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