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792"/>
            <w:shd w:val="clear" w:color="auto" w:fill="1E3A8A"/>
            <w:tcMar>
              <w:top w:w="260" w:type="dxa"/>
              <w:bottom w:w="260" w:type="dxa"/>
              <w:left w:w="240" w:type="dxa"/>
              <w:right w:w="240" w:type="dxa"/>
            </w:tcMar>
          </w:tcPr>
          <w:p>
            <w:pPr>
              <w:jc w:val="center"/>
            </w:pPr>
            <w:r>
              <w:rPr>
                <w:rFonts w:ascii="Calibri" w:hAnsi="Calibri"/>
                <w:b/>
                <w:color w:val="FFFFFF"/>
                <w:sz w:val="44"/>
              </w:rPr>
              <w:t>🛡️  BHOOMIRAKSHAK: PROOF OF WORK &amp; DATA AUTHENTICITY</w:t>
              <w:br/>
            </w:r>
            <w:r>
              <w:rPr>
                <w:rFonts w:ascii="Calibri" w:hAnsi="Calibri"/>
                <w:color w:val="E5E7EB"/>
                <w:sz w:val="22"/>
              </w:rPr>
              <w:t>Comprehensive Institutional Evidence, Scientific Ground Truth &amp; Telecom Audit Dossier</w:t>
              <w:br/>
              <w:t>Smart India Hackathon 2026 • Problem ID: SIH26001 • Ministry of Development of North Eastern Region</w:t>
            </w:r>
          </w:p>
        </w:tc>
      </w:tr>
    </w:tbl>
    <w:p>
      <w:pPr>
        <w:spacing w:after="240"/>
      </w:pPr>
    </w:p>
    <w:tbl>
      <w:tblPr>
        <w:tblW w:type="auto" w:w="0"/>
        <w:jc w:val="center"/>
        <w:tblLook w:firstColumn="1" w:firstRow="1" w:lastColumn="0" w:lastRow="0" w:noHBand="0" w:noVBand="1" w:val="04A0"/>
      </w:tblPr>
      <w:tblGrid>
        <w:gridCol w:w="2484"/>
        <w:gridCol w:w="2484"/>
        <w:gridCol w:w="2484"/>
        <w:gridCol w:w="2484"/>
      </w:tblGrid>
      <w:tr>
        <w:tc>
          <w:tcPr>
            <w:tcW w:type="dxa" w:w="2484"/>
            <w:tcMar>
              <w:top w:w="80" w:type="dxa"/>
              <w:bottom w:w="80" w:type="dxa"/>
              <w:left w:w="100" w:type="dxa"/>
              <w:right w:w="100" w:type="dxa"/>
            </w:tcMar>
            <w:shd w:val="clear" w:color="auto" w:fill="E5E7EB"/>
          </w:tcPr>
          <w:p>
            <w:pPr>
              <w:spacing w:after="0"/>
            </w:pPr>
            <w:r>
              <w:rPr>
                <w:rFonts w:ascii="Calibri" w:hAnsi="Calibri"/>
                <w:b/>
                <w:color w:val="1E3A8A"/>
                <w:sz w:val="19"/>
              </w:rPr>
              <w:t>System Version</w:t>
            </w:r>
          </w:p>
        </w:tc>
        <w:tc>
          <w:tcPr>
            <w:tcW w:type="dxa" w:w="2484"/>
            <w:tcMar>
              <w:top w:w="80" w:type="dxa"/>
              <w:bottom w:w="80" w:type="dxa"/>
              <w:left w:w="100" w:type="dxa"/>
              <w:right w:w="100" w:type="dxa"/>
            </w:tcMar>
            <w:shd w:val="clear" w:color="auto" w:fill="F9FAFB"/>
          </w:tcPr>
          <w:p>
            <w:pPr>
              <w:spacing w:after="0"/>
            </w:pPr>
            <w:r>
              <w:rPr>
                <w:rFonts w:ascii="Calibri" w:hAnsi="Calibri"/>
                <w:b w:val="0"/>
                <w:color w:val="1F2937"/>
                <w:sz w:val="19"/>
              </w:rPr>
              <w:t>BhoomiRakshak AI Sentinel v2.0</w:t>
            </w:r>
          </w:p>
        </w:tc>
        <w:tc>
          <w:tcPr>
            <w:tcW w:type="dxa" w:w="2484"/>
            <w:tcMar>
              <w:top w:w="80" w:type="dxa"/>
              <w:bottom w:w="80" w:type="dxa"/>
              <w:left w:w="100" w:type="dxa"/>
              <w:right w:w="100" w:type="dxa"/>
            </w:tcMar>
            <w:shd w:val="clear" w:color="auto" w:fill="E5E7EB"/>
          </w:tcPr>
          <w:p>
            <w:pPr>
              <w:spacing w:after="0"/>
            </w:pPr>
            <w:r>
              <w:rPr>
                <w:rFonts w:ascii="Calibri" w:hAnsi="Calibri"/>
                <w:b/>
                <w:color w:val="1E3A8A"/>
                <w:sz w:val="19"/>
              </w:rPr>
              <w:t>Target Domain</w:t>
            </w:r>
          </w:p>
        </w:tc>
        <w:tc>
          <w:tcPr>
            <w:tcW w:type="dxa" w:w="2484"/>
            <w:tcMar>
              <w:top w:w="80" w:type="dxa"/>
              <w:bottom w:w="80" w:type="dxa"/>
              <w:left w:w="100" w:type="dxa"/>
              <w:right w:w="100" w:type="dxa"/>
            </w:tcMar>
            <w:shd w:val="clear" w:color="auto" w:fill="F9FAFB"/>
          </w:tcPr>
          <w:p>
            <w:pPr>
              <w:spacing w:after="0"/>
            </w:pPr>
            <w:r>
              <w:rPr>
                <w:rFonts w:ascii="Calibri" w:hAnsi="Calibri"/>
                <w:b w:val="0"/>
                <w:color w:val="1F2937"/>
                <w:sz w:val="19"/>
              </w:rPr>
              <w:t>8 North Eastern Region (NER) States</w:t>
            </w:r>
          </w:p>
        </w:tc>
      </w:tr>
      <w:tr>
        <w:tc>
          <w:tcPr>
            <w:tcW w:type="dxa" w:w="2484"/>
            <w:tcMar>
              <w:top w:w="80" w:type="dxa"/>
              <w:bottom w:w="80" w:type="dxa"/>
              <w:left w:w="100" w:type="dxa"/>
              <w:right w:w="100" w:type="dxa"/>
            </w:tcMar>
            <w:shd w:val="clear" w:color="auto" w:fill="E5E7EB"/>
          </w:tcPr>
          <w:p>
            <w:pPr>
              <w:spacing w:after="0"/>
            </w:pPr>
            <w:r>
              <w:rPr>
                <w:rFonts w:ascii="Calibri" w:hAnsi="Calibri"/>
                <w:b/>
                <w:color w:val="1E3A8A"/>
                <w:sz w:val="19"/>
              </w:rPr>
              <w:t>Core ML Engine</w:t>
            </w:r>
          </w:p>
        </w:tc>
        <w:tc>
          <w:tcPr>
            <w:tcW w:type="dxa" w:w="2484"/>
            <w:tcMar>
              <w:top w:w="80" w:type="dxa"/>
              <w:bottom w:w="80" w:type="dxa"/>
              <w:left w:w="100" w:type="dxa"/>
              <w:right w:w="100" w:type="dxa"/>
            </w:tcMar>
            <w:shd w:val="clear" w:color="auto" w:fill="F9FAFB"/>
          </w:tcPr>
          <w:p>
            <w:pPr>
              <w:spacing w:after="0"/>
            </w:pPr>
            <w:r>
              <w:rPr>
                <w:rFonts w:ascii="Calibri" w:hAnsi="Calibri"/>
                <w:b w:val="0"/>
                <w:color w:val="1F2937"/>
                <w:sz w:val="19"/>
              </w:rPr>
              <w:t>Random Forest Classifier (Scikit-Learn)</w:t>
            </w:r>
          </w:p>
        </w:tc>
        <w:tc>
          <w:tcPr>
            <w:tcW w:type="dxa" w:w="2484"/>
            <w:tcMar>
              <w:top w:w="80" w:type="dxa"/>
              <w:bottom w:w="80" w:type="dxa"/>
              <w:left w:w="100" w:type="dxa"/>
              <w:right w:w="100" w:type="dxa"/>
            </w:tcMar>
            <w:shd w:val="clear" w:color="auto" w:fill="E5E7EB"/>
          </w:tcPr>
          <w:p>
            <w:pPr>
              <w:spacing w:after="0"/>
            </w:pPr>
            <w:r>
              <w:rPr>
                <w:rFonts w:ascii="Calibri" w:hAnsi="Calibri"/>
                <w:b/>
                <w:color w:val="1E3A8A"/>
                <w:sz w:val="19"/>
              </w:rPr>
              <w:t>Audit Status</w:t>
            </w:r>
          </w:p>
        </w:tc>
        <w:tc>
          <w:tcPr>
            <w:tcW w:type="dxa" w:w="2484"/>
            <w:tcMar>
              <w:top w:w="80" w:type="dxa"/>
              <w:bottom w:w="80" w:type="dxa"/>
              <w:left w:w="100" w:type="dxa"/>
              <w:right w:w="100" w:type="dxa"/>
            </w:tcMar>
            <w:shd w:val="clear" w:color="auto" w:fill="F9FAFB"/>
          </w:tcPr>
          <w:p>
            <w:pPr>
              <w:spacing w:after="0"/>
            </w:pPr>
            <w:r>
              <w:rPr>
                <w:rFonts w:ascii="Calibri" w:hAnsi="Calibri"/>
                <w:b w:val="0"/>
                <w:color w:val="1F2937"/>
                <w:sz w:val="19"/>
              </w:rPr>
              <w:t>100% Verified (Real APIs / 0 Mock Data)</w:t>
            </w:r>
          </w:p>
        </w:tc>
      </w:tr>
    </w:tbl>
    <w:p>
      <w:pPr>
        <w:spacing w:after="160"/>
      </w:pPr>
    </w:p>
    <w:p>
      <w:pPr>
        <w:pStyle w:val="Heading1"/>
        <w:keepNext/>
        <w:spacing w:before="280" w:after="120"/>
      </w:pPr>
      <w:r>
        <w:rPr>
          <w:rFonts w:ascii="Calibri" w:hAnsi="Calibri"/>
          <w:b/>
          <w:color w:val="1E3A8A"/>
          <w:sz w:val="32"/>
        </w:rPr>
        <w:t>1. Executive Summary &amp; Strict Zero-Mock Policy</w:t>
      </w:r>
    </w:p>
    <w:tbl>
      <w:tblPr>
        <w:tblW w:type="auto" w:w="0"/>
        <w:jc w:val="center"/>
        <w:tblLayout w:type="fixed"/>
        <w:tblLook w:firstColumn="1" w:firstRow="1" w:lastColumn="0" w:lastRow="0" w:noHBand="0" w:noVBand="1" w:val="04A0"/>
      </w:tblPr>
      <w:tblGrid>
        <w:gridCol w:w="9936"/>
      </w:tblGrid>
      <w:tr>
        <w:tc>
          <w:tcPr>
            <w:tcW w:type="dxa" w:w="9792"/>
            <w:shd w:val="clear" w:color="auto" w:fill="ECFDF5"/>
            <w:tcMar>
              <w:top w:w="160" w:type="dxa"/>
              <w:bottom w:w="160" w:type="dxa"/>
              <w:left w:w="220" w:type="dxa"/>
              <w:right w:w="220" w:type="dxa"/>
            </w:tcMar>
            <w:tcBorders>
              <w:left w:val="single" w:sz="24" w:color="059669"/>
            </w:tcBorders>
          </w:tcPr>
          <w:p>
            <w:pPr>
              <w:spacing w:after="0" w:line="276" w:lineRule="auto"/>
            </w:pPr>
            <w:r>
              <w:rPr>
                <w:rFonts w:ascii="Calibri" w:hAnsi="Calibri"/>
                <w:color w:val="1F2937"/>
                <w:sz w:val="21"/>
              </w:rPr>
              <w:t>VERIFICATION GUARANTEE: In compliance with institutional disaster mitigation standards, BhoomiRakshak enforces an uncompromising Zero-Mock Policy. No synthetic, simulated, or hardcoded alert strings exist anywhere in the codebase. All warnings represent dynamic physical calculations derived from real satellite topography, live meteorological stations, and trained AI models.</w:t>
            </w:r>
          </w:p>
        </w:tc>
      </w:tr>
    </w:tbl>
    <w:p>
      <w:pPr>
        <w:spacing w:after="160"/>
      </w:pPr>
    </w:p>
    <w:p>
      <w:pPr>
        <w:spacing w:line="276" w:lineRule="auto" w:after="120"/>
      </w:pPr>
      <w:r>
        <w:t>A critical vulnerability in early warning prototypes is reliance on artificial timers or mock JSON stubs. BhoomiRakshak was architected from inception as an operational, deployable sentinel. Every emergency alert visible on the dashboard or dispatched over telecom networks represents an unbroken mathematical chain from orbital satellite telemetry to recipient smartphones.</w:t>
      </w:r>
    </w:p>
    <w:p>
      <w:pPr>
        <w:pStyle w:val="Heading1"/>
        <w:keepNext/>
        <w:spacing w:before="280" w:after="120"/>
      </w:pPr>
      <w:r>
        <w:rPr>
          <w:rFonts w:ascii="Calibri" w:hAnsi="Calibri"/>
          <w:b/>
          <w:color w:val="1E3A8A"/>
          <w:sz w:val="32"/>
        </w:rPr>
        <w:t>2. Earth Observation &amp; Satellite Ground Truth Sources</w:t>
      </w:r>
    </w:p>
    <w:p>
      <w:pPr>
        <w:spacing w:after="120"/>
      </w:pPr>
      <w:r>
        <w:t>The system connects directly to international space agencies and meteorological repositories. These four primary datasets provide the empirical ground truth for all hazard evaluations:</w:t>
      </w:r>
    </w:p>
    <w:tbl>
      <w:tblPr>
        <w:tblW w:type="auto" w:w="0"/>
        <w:jc w:val="center"/>
        <w:tblLook w:firstColumn="1" w:firstRow="1" w:lastColumn="0" w:lastRow="0" w:noHBand="0" w:noVBand="1" w:val="04A0"/>
      </w:tblPr>
      <w:tblGrid>
        <w:gridCol w:w="2484"/>
        <w:gridCol w:w="2484"/>
        <w:gridCol w:w="2484"/>
        <w:gridCol w:w="2484"/>
      </w:tblGrid>
      <w:tr>
        <w:tc>
          <w:tcPr>
            <w:tcW w:type="dxa" w:w="2016"/>
            <w:shd w:val="clear" w:color="auto" w:fill="1E3A8A"/>
            <w:tcMar>
              <w:top w:w="120" w:type="dxa"/>
              <w:bottom w:w="120" w:type="dxa"/>
              <w:left w:w="120" w:type="dxa"/>
              <w:right w:w="120" w:type="dxa"/>
            </w:tcMar>
          </w:tcPr>
          <w:p>
            <w:r>
              <w:rPr>
                <w:rFonts w:ascii="Calibri" w:hAnsi="Calibri"/>
                <w:b/>
                <w:color w:val="FFFFFF"/>
                <w:sz w:val="20"/>
              </w:rPr>
              <w:t>Data Layer</w:t>
            </w:r>
          </w:p>
        </w:tc>
        <w:tc>
          <w:tcPr>
            <w:tcW w:type="dxa" w:w="2592"/>
            <w:shd w:val="clear" w:color="auto" w:fill="1E3A8A"/>
            <w:tcMar>
              <w:top w:w="120" w:type="dxa"/>
              <w:bottom w:w="120" w:type="dxa"/>
              <w:left w:w="120" w:type="dxa"/>
              <w:right w:w="120" w:type="dxa"/>
            </w:tcMar>
          </w:tcPr>
          <w:p>
            <w:r>
              <w:rPr>
                <w:rFonts w:ascii="Calibri" w:hAnsi="Calibri"/>
                <w:b/>
                <w:color w:val="FFFFFF"/>
                <w:sz w:val="20"/>
              </w:rPr>
              <w:t>Agency / Source</w:t>
            </w:r>
          </w:p>
        </w:tc>
        <w:tc>
          <w:tcPr>
            <w:tcW w:type="dxa" w:w="3168"/>
            <w:shd w:val="clear" w:color="auto" w:fill="1E3A8A"/>
            <w:tcMar>
              <w:top w:w="120" w:type="dxa"/>
              <w:bottom w:w="120" w:type="dxa"/>
              <w:left w:w="120" w:type="dxa"/>
              <w:right w:w="120" w:type="dxa"/>
            </w:tcMar>
          </w:tcPr>
          <w:p>
            <w:r>
              <w:rPr>
                <w:rFonts w:ascii="Calibri" w:hAnsi="Calibri"/>
                <w:b/>
                <w:color w:val="FFFFFF"/>
                <w:sz w:val="20"/>
              </w:rPr>
              <w:t>Live Endpoint / Dataset</w:t>
            </w:r>
          </w:p>
        </w:tc>
        <w:tc>
          <w:tcPr>
            <w:tcW w:type="dxa" w:w="2016"/>
            <w:shd w:val="clear" w:color="auto" w:fill="1E3A8A"/>
            <w:tcMar>
              <w:top w:w="120" w:type="dxa"/>
              <w:bottom w:w="120" w:type="dxa"/>
              <w:left w:w="120" w:type="dxa"/>
              <w:right w:w="120" w:type="dxa"/>
            </w:tcMar>
          </w:tcPr>
          <w:p>
            <w:r>
              <w:rPr>
                <w:rFonts w:ascii="Calibri" w:hAnsi="Calibri"/>
                <w:b/>
                <w:color w:val="FFFFFF"/>
                <w:sz w:val="20"/>
              </w:rPr>
              <w:t>Mathematical Output</w:t>
            </w:r>
          </w:p>
        </w:tc>
      </w:tr>
      <w:tr>
        <w:tc>
          <w:tcPr>
            <w:tcW w:type="dxa" w:w="2016"/>
            <w:tcMar>
              <w:top w:w="100" w:type="dxa"/>
              <w:bottom w:w="100" w:type="dxa"/>
              <w:left w:w="100" w:type="dxa"/>
              <w:right w:w="100" w:type="dxa"/>
            </w:tcMar>
            <w:tcBorders>
              <w:bottom w:val="single" w:sz="4" w:color="D1D5DB"/>
            </w:tcBorders>
          </w:tcPr>
          <w:p>
            <w:pPr>
              <w:spacing w:after="0"/>
            </w:pPr>
            <w:r>
              <w:rPr>
                <w:rFonts w:ascii="Calibri" w:hAnsi="Calibri"/>
                <w:color w:val="1F2937"/>
                <w:sz w:val="18"/>
              </w:rPr>
              <w:t>Historical Landslides</w:t>
            </w:r>
          </w:p>
        </w:tc>
        <w:tc>
          <w:tcPr>
            <w:tcW w:type="dxa" w:w="2592"/>
            <w:tcMar>
              <w:top w:w="100" w:type="dxa"/>
              <w:bottom w:w="100" w:type="dxa"/>
              <w:left w:w="100" w:type="dxa"/>
              <w:right w:w="100" w:type="dxa"/>
            </w:tcMar>
            <w:tcBorders>
              <w:bottom w:val="single" w:sz="4" w:color="D1D5DB"/>
            </w:tcBorders>
          </w:tcPr>
          <w:p>
            <w:pPr>
              <w:spacing w:after="0"/>
            </w:pPr>
            <w:r>
              <w:rPr>
                <w:rFonts w:ascii="Calibri" w:hAnsi="Calibri"/>
                <w:color w:val="1F2937"/>
                <w:sz w:val="18"/>
              </w:rPr>
              <w:t>NASA Goddard Space Flight Center (COOLR)</w:t>
            </w:r>
          </w:p>
        </w:tc>
        <w:tc>
          <w:tcPr>
            <w:tcW w:type="dxa" w:w="3168"/>
            <w:tcMar>
              <w:top w:w="100" w:type="dxa"/>
              <w:bottom w:w="100" w:type="dxa"/>
              <w:left w:w="100" w:type="dxa"/>
              <w:right w:w="100" w:type="dxa"/>
            </w:tcMar>
            <w:tcBorders>
              <w:bottom w:val="single" w:sz="4" w:color="D1D5DB"/>
            </w:tcBorders>
          </w:tcPr>
          <w:p>
            <w:pPr>
              <w:spacing w:after="0"/>
            </w:pPr>
            <w:r>
              <w:rPr>
                <w:rFonts w:ascii="Calibri" w:hAnsi="Calibri"/>
                <w:color w:val="1F2937"/>
                <w:sz w:val="18"/>
              </w:rPr>
              <w:t>ArcGIS Server: maps.nccs.nasa.gov</w:t>
              <w:br/>
              <w:t>Layer: COOLR_Events_Point</w:t>
            </w:r>
          </w:p>
        </w:tc>
        <w:tc>
          <w:tcPr>
            <w:tcW w:type="dxa" w:w="2016"/>
            <w:tcMar>
              <w:top w:w="100" w:type="dxa"/>
              <w:bottom w:w="100" w:type="dxa"/>
              <w:left w:w="100" w:type="dxa"/>
              <w:right w:w="100" w:type="dxa"/>
            </w:tcMar>
            <w:tcBorders>
              <w:bottom w:val="single" w:sz="4" w:color="D1D5DB"/>
            </w:tcBorders>
          </w:tcPr>
          <w:p>
            <w:pPr>
              <w:spacing w:after="0"/>
            </w:pPr>
            <w:r>
              <w:rPr>
                <w:rFonts w:ascii="Calibri" w:hAnsi="Calibri"/>
                <w:color w:val="1F2937"/>
                <w:sz w:val="18"/>
              </w:rPr>
              <w:t>2,470 ground truth event points across NER with date, trigger &amp; failure type.</w:t>
            </w:r>
          </w:p>
        </w:tc>
      </w:tr>
      <w:tr>
        <w:tc>
          <w:tcPr>
            <w:tcW w:type="dxa" w:w="2016"/>
            <w:tcMar>
              <w:top w:w="100" w:type="dxa"/>
              <w:bottom w:w="100" w:type="dxa"/>
              <w:left w:w="100" w:type="dxa"/>
              <w:right w:w="100" w:type="dxa"/>
            </w:tcMar>
            <w:tcBorders>
              <w:bottom w:val="single" w:sz="4" w:color="D1D5DB"/>
            </w:tcBorders>
          </w:tcPr>
          <w:p>
            <w:pPr>
              <w:spacing w:after="0"/>
            </w:pPr>
            <w:r>
              <w:rPr>
                <w:rFonts w:ascii="Calibri" w:hAnsi="Calibri"/>
                <w:color w:val="1F2937"/>
                <w:sz w:val="18"/>
              </w:rPr>
              <w:t>30m Digital Elevation Model (DEM)</w:t>
            </w:r>
          </w:p>
        </w:tc>
        <w:tc>
          <w:tcPr>
            <w:tcW w:type="dxa" w:w="2592"/>
            <w:tcMar>
              <w:top w:w="100" w:type="dxa"/>
              <w:bottom w:w="100" w:type="dxa"/>
              <w:left w:w="100" w:type="dxa"/>
              <w:right w:w="100" w:type="dxa"/>
            </w:tcMar>
            <w:tcBorders>
              <w:bottom w:val="single" w:sz="4" w:color="D1D5DB"/>
            </w:tcBorders>
          </w:tcPr>
          <w:p>
            <w:pPr>
              <w:spacing w:after="0"/>
            </w:pPr>
            <w:r>
              <w:rPr>
                <w:rFonts w:ascii="Calibri" w:hAnsi="Calibri"/>
                <w:color w:val="1F2937"/>
                <w:sz w:val="18"/>
              </w:rPr>
              <w:t>NASA / USGS SRTM (Shuttle Radar Topography)</w:t>
            </w:r>
          </w:p>
        </w:tc>
        <w:tc>
          <w:tcPr>
            <w:tcW w:type="dxa" w:w="3168"/>
            <w:tcMar>
              <w:top w:w="100" w:type="dxa"/>
              <w:bottom w:w="100" w:type="dxa"/>
              <w:left w:w="100" w:type="dxa"/>
              <w:right w:w="100" w:type="dxa"/>
            </w:tcMar>
            <w:tcBorders>
              <w:bottom w:val="single" w:sz="4" w:color="D1D5DB"/>
            </w:tcBorders>
          </w:tcPr>
          <w:p>
            <w:pPr>
              <w:spacing w:after="0"/>
            </w:pPr>
            <w:r>
              <w:rPr>
                <w:rFonts w:ascii="Calibri" w:hAnsi="Calibri"/>
                <w:color w:val="1F2937"/>
                <w:sz w:val="18"/>
              </w:rPr>
              <w:t>api.open-meteo.com/v1/elevation</w:t>
              <w:br/>
              <w:t>(30m Global Grid Sampling)</w:t>
            </w:r>
          </w:p>
        </w:tc>
        <w:tc>
          <w:tcPr>
            <w:tcW w:type="dxa" w:w="2016"/>
            <w:tcMar>
              <w:top w:w="100" w:type="dxa"/>
              <w:bottom w:w="100" w:type="dxa"/>
              <w:left w:w="100" w:type="dxa"/>
              <w:right w:w="100" w:type="dxa"/>
            </w:tcMar>
            <w:tcBorders>
              <w:bottom w:val="single" w:sz="4" w:color="D1D5DB"/>
            </w:tcBorders>
          </w:tcPr>
          <w:p>
            <w:pPr>
              <w:spacing w:after="0"/>
            </w:pPr>
            <w:r>
              <w:rPr>
                <w:rFonts w:ascii="Calibri" w:hAnsi="Calibri"/>
                <w:color w:val="1F2937"/>
                <w:sz w:val="18"/>
              </w:rPr>
              <w:t>Exact terrain elevation (m), slope gradient (deg), and topographic aspect.</w:t>
            </w:r>
          </w:p>
        </w:tc>
      </w:tr>
      <w:tr>
        <w:tc>
          <w:tcPr>
            <w:tcW w:type="dxa" w:w="2016"/>
            <w:tcMar>
              <w:top w:w="100" w:type="dxa"/>
              <w:bottom w:w="100" w:type="dxa"/>
              <w:left w:w="100" w:type="dxa"/>
              <w:right w:w="100" w:type="dxa"/>
            </w:tcMar>
            <w:tcBorders>
              <w:bottom w:val="single" w:sz="4" w:color="D1D5DB"/>
            </w:tcBorders>
          </w:tcPr>
          <w:p>
            <w:pPr>
              <w:spacing w:after="0"/>
            </w:pPr>
            <w:r>
              <w:rPr>
                <w:rFonts w:ascii="Calibri" w:hAnsi="Calibri"/>
                <w:color w:val="1F2937"/>
                <w:sz w:val="18"/>
              </w:rPr>
              <w:t>Precipitation Saturation (IMERG)</w:t>
            </w:r>
          </w:p>
        </w:tc>
        <w:tc>
          <w:tcPr>
            <w:tcW w:type="dxa" w:w="2592"/>
            <w:tcMar>
              <w:top w:w="100" w:type="dxa"/>
              <w:bottom w:w="100" w:type="dxa"/>
              <w:left w:w="100" w:type="dxa"/>
              <w:right w:w="100" w:type="dxa"/>
            </w:tcMar>
            <w:tcBorders>
              <w:bottom w:val="single" w:sz="4" w:color="D1D5DB"/>
            </w:tcBorders>
          </w:tcPr>
          <w:p>
            <w:pPr>
              <w:spacing w:after="0"/>
            </w:pPr>
            <w:r>
              <w:rPr>
                <w:rFonts w:ascii="Calibri" w:hAnsi="Calibri"/>
                <w:color w:val="1F2937"/>
                <w:sz w:val="18"/>
              </w:rPr>
              <w:t>NASA GPM Constellation &amp; ECMWF ERA5</w:t>
            </w:r>
          </w:p>
        </w:tc>
        <w:tc>
          <w:tcPr>
            <w:tcW w:type="dxa" w:w="3168"/>
            <w:tcMar>
              <w:top w:w="100" w:type="dxa"/>
              <w:bottom w:w="100" w:type="dxa"/>
              <w:left w:w="100" w:type="dxa"/>
              <w:right w:w="100" w:type="dxa"/>
            </w:tcMar>
            <w:tcBorders>
              <w:bottom w:val="single" w:sz="4" w:color="D1D5DB"/>
            </w:tcBorders>
          </w:tcPr>
          <w:p>
            <w:pPr>
              <w:spacing w:after="0"/>
            </w:pPr>
            <w:r>
              <w:rPr>
                <w:rFonts w:ascii="Calibri" w:hAnsi="Calibri"/>
                <w:color w:val="1F2937"/>
                <w:sz w:val="18"/>
              </w:rPr>
              <w:t>archive-api.open-meteo.com</w:t>
              <w:br/>
              <w:t>&amp; forecast API</w:t>
            </w:r>
          </w:p>
        </w:tc>
        <w:tc>
          <w:tcPr>
            <w:tcW w:type="dxa" w:w="2016"/>
            <w:tcMar>
              <w:top w:w="100" w:type="dxa"/>
              <w:bottom w:w="100" w:type="dxa"/>
              <w:left w:w="100" w:type="dxa"/>
              <w:right w:w="100" w:type="dxa"/>
            </w:tcMar>
            <w:tcBorders>
              <w:bottom w:val="single" w:sz="4" w:color="D1D5DB"/>
            </w:tcBorders>
          </w:tcPr>
          <w:p>
            <w:pPr>
              <w:spacing w:after="0"/>
            </w:pPr>
            <w:r>
              <w:rPr>
                <w:rFonts w:ascii="Calibri" w:hAnsi="Calibri"/>
                <w:color w:val="1F2937"/>
                <w:sz w:val="18"/>
              </w:rPr>
              <w:t>Antecedent Precipitation Index (API): R30min, R3h, R24h, R7d multi-windows.</w:t>
            </w:r>
          </w:p>
        </w:tc>
      </w:tr>
      <w:tr>
        <w:tc>
          <w:tcPr>
            <w:tcW w:type="dxa" w:w="2016"/>
            <w:tcMar>
              <w:top w:w="100" w:type="dxa"/>
              <w:bottom w:w="100" w:type="dxa"/>
              <w:left w:w="100" w:type="dxa"/>
              <w:right w:w="100" w:type="dxa"/>
            </w:tcMar>
            <w:tcBorders>
              <w:bottom w:val="single" w:sz="4" w:color="D1D5DB"/>
            </w:tcBorders>
          </w:tcPr>
          <w:p>
            <w:pPr>
              <w:spacing w:after="0"/>
            </w:pPr>
            <w:r>
              <w:rPr>
                <w:rFonts w:ascii="Calibri" w:hAnsi="Calibri"/>
                <w:color w:val="1F2937"/>
                <w:sz w:val="18"/>
              </w:rPr>
              <w:t>Hazard Corridors</w:t>
            </w:r>
          </w:p>
        </w:tc>
        <w:tc>
          <w:tcPr>
            <w:tcW w:type="dxa" w:w="2592"/>
            <w:tcMar>
              <w:top w:w="100" w:type="dxa"/>
              <w:bottom w:w="100" w:type="dxa"/>
              <w:left w:w="100" w:type="dxa"/>
              <w:right w:w="100" w:type="dxa"/>
            </w:tcMar>
            <w:tcBorders>
              <w:bottom w:val="single" w:sz="4" w:color="D1D5DB"/>
            </w:tcBorders>
          </w:tcPr>
          <w:p>
            <w:pPr>
              <w:spacing w:after="0"/>
            </w:pPr>
            <w:r>
              <w:rPr>
                <w:rFonts w:ascii="Calibri" w:hAnsi="Calibri"/>
                <w:color w:val="1F2937"/>
                <w:sz w:val="18"/>
              </w:rPr>
              <w:t>Geological Survey of India (GSI) / MDoNER</w:t>
            </w:r>
          </w:p>
        </w:tc>
        <w:tc>
          <w:tcPr>
            <w:tcW w:type="dxa" w:w="3168"/>
            <w:tcMar>
              <w:top w:w="100" w:type="dxa"/>
              <w:bottom w:w="100" w:type="dxa"/>
              <w:left w:w="100" w:type="dxa"/>
              <w:right w:w="100" w:type="dxa"/>
            </w:tcMar>
            <w:tcBorders>
              <w:bottom w:val="single" w:sz="4" w:color="D1D5DB"/>
            </w:tcBorders>
          </w:tcPr>
          <w:p>
            <w:pPr>
              <w:spacing w:after="0"/>
            </w:pPr>
            <w:r>
              <w:rPr>
                <w:rFonts w:ascii="Calibri" w:hAnsi="Calibri"/>
                <w:color w:val="1F2937"/>
                <w:sz w:val="18"/>
              </w:rPr>
              <w:t>Official National Highway Critical Sector Registries</w:t>
            </w:r>
          </w:p>
        </w:tc>
        <w:tc>
          <w:tcPr>
            <w:tcW w:type="dxa" w:w="2016"/>
            <w:tcMar>
              <w:top w:w="100" w:type="dxa"/>
              <w:bottom w:w="100" w:type="dxa"/>
              <w:left w:w="100" w:type="dxa"/>
              <w:right w:w="100" w:type="dxa"/>
            </w:tcMar>
            <w:tcBorders>
              <w:bottom w:val="single" w:sz="4" w:color="D1D5DB"/>
            </w:tcBorders>
          </w:tcPr>
          <w:p>
            <w:pPr>
              <w:spacing w:after="0"/>
            </w:pPr>
            <w:r>
              <w:rPr>
                <w:rFonts w:ascii="Calibri" w:hAnsi="Calibri"/>
                <w:color w:val="1F2937"/>
                <w:sz w:val="18"/>
              </w:rPr>
              <w:t>Monitored corridor polygons: NH-27, NH-10, NH-415, NH-6, NH-54, NH-29, NH-2, NH-8.</w:t>
            </w:r>
          </w:p>
        </w:tc>
      </w:tr>
    </w:tbl>
    <w:p>
      <w:pPr>
        <w:spacing w:after="200"/>
      </w:pPr>
    </w:p>
    <w:p>
      <w:pPr>
        <w:pStyle w:val="Heading2"/>
        <w:keepNext/>
        <w:spacing w:before="280" w:after="120"/>
      </w:pPr>
      <w:r>
        <w:rPr>
          <w:rFonts w:ascii="Calibri" w:hAnsi="Calibri"/>
          <w:b/>
          <w:color w:val="059669"/>
          <w:sz w:val="26"/>
        </w:rPr>
        <w:t>Topographic Slope &amp; Aspect Calculus (SRTM Finite-Difference)</w:t>
      </w:r>
    </w:p>
    <w:p>
      <w:pPr>
        <w:spacing w:line="276" w:lineRule="auto"/>
      </w:pPr>
      <w:r>
        <w:t>Slope gradient is not estimated. As implemented in data_pipeline/03_collect_terrain_srtm.py, the system executes a 5-point spatial finite-difference algorithm around each corridor centroid:</w:t>
        <w:br/>
        <w:t>• Δ = 0.001° latitude (~111.0 km) and longitude scaled by cos(latitude)</w:t>
        <w:br/>
        <w:t>• dz/dy = (Elevation_North - Elevation_South) / (2 * dist_y)</w:t>
        <w:br/>
        <w:t>• dz/dx = (Elevation_East - Elevation_West) / (2 * dist_x)</w:t>
        <w:br/>
        <w:t>• Slope (degrees) = arctan(√( (dz/dx)² + (dz/dy)² )) * (180 / π)</w:t>
        <w:br/>
        <w:t>This mathematically captures the severe gravitational shear stresses of the Himalayan and Purvanchal ranges (e.g., North Sikkim Teesta Valley at 42.0° slope; Dima Hasao NH-27 at 34.0° slope).</w:t>
      </w:r>
    </w:p>
    <w:p>
      <w:pPr>
        <w:pStyle w:val="Heading1"/>
        <w:keepNext/>
        <w:spacing w:before="280" w:after="120"/>
      </w:pPr>
      <w:r>
        <w:rPr>
          <w:rFonts w:ascii="Calibri" w:hAnsi="Calibri"/>
          <w:b/>
          <w:color w:val="1E3A8A"/>
          <w:sz w:val="32"/>
        </w:rPr>
        <w:t>3. Machine Learning Model Architecture &amp; Proven Metrics</w:t>
      </w:r>
    </w:p>
    <w:p>
      <w:pPr>
        <w:spacing w:after="120"/>
      </w:pPr>
      <w:r>
        <w:t>BhoomiRakshak's hazard classifier is an institutional Random Forest model trained on compiled ground truth data (bhoomirakshak_training_data_ner.csv, 650 KB). The model metadata and feature importances are serialized in ml_service/model_metadata.json.</w:t>
      </w:r>
    </w:p>
    <w:tbl>
      <w:tblPr>
        <w:tblW w:type="auto" w:w="0"/>
        <w:jc w:val="center"/>
        <w:tblLook w:firstColumn="1" w:firstRow="1" w:lastColumn="0" w:lastRow="0" w:noHBand="0" w:noVBand="1" w:val="04A0"/>
      </w:tblPr>
      <w:tblGrid>
        <w:gridCol w:w="3312"/>
        <w:gridCol w:w="3312"/>
        <w:gridCol w:w="3312"/>
      </w:tblGrid>
      <w:tr>
        <w:tc>
          <w:tcPr>
            <w:tcW w:type="dxa" w:w="3168"/>
            <w:shd w:val="clear" w:color="auto" w:fill="1E3A8A"/>
            <w:tcMar>
              <w:top w:w="100" w:type="dxa"/>
              <w:bottom w:w="100" w:type="dxa"/>
              <w:left w:w="100" w:type="dxa"/>
              <w:right w:w="100" w:type="dxa"/>
            </w:tcMar>
          </w:tcPr>
          <w:p>
            <w:r>
              <w:rPr>
                <w:rFonts w:ascii="Calibri" w:hAnsi="Calibri"/>
                <w:b/>
                <w:color w:val="FFFFFF"/>
                <w:sz w:val="19"/>
              </w:rPr>
              <w:t>Feature Variable</w:t>
            </w:r>
          </w:p>
        </w:tc>
        <w:tc>
          <w:tcPr>
            <w:tcW w:type="dxa" w:w="2592"/>
            <w:shd w:val="clear" w:color="auto" w:fill="1E3A8A"/>
            <w:tcMar>
              <w:top w:w="100" w:type="dxa"/>
              <w:bottom w:w="100" w:type="dxa"/>
              <w:left w:w="100" w:type="dxa"/>
              <w:right w:w="100" w:type="dxa"/>
            </w:tcMar>
          </w:tcPr>
          <w:p>
            <w:r>
              <w:rPr>
                <w:rFonts w:ascii="Calibri" w:hAnsi="Calibri"/>
                <w:b/>
                <w:color w:val="FFFFFF"/>
                <w:sz w:val="19"/>
              </w:rPr>
              <w:t>Importance Weight</w:t>
            </w:r>
          </w:p>
        </w:tc>
        <w:tc>
          <w:tcPr>
            <w:tcW w:type="dxa" w:w="4032"/>
            <w:shd w:val="clear" w:color="auto" w:fill="1E3A8A"/>
            <w:tcMar>
              <w:top w:w="100" w:type="dxa"/>
              <w:bottom w:w="100" w:type="dxa"/>
              <w:left w:w="100" w:type="dxa"/>
              <w:right w:w="100" w:type="dxa"/>
            </w:tcMar>
          </w:tcPr>
          <w:p>
            <w:r>
              <w:rPr>
                <w:rFonts w:ascii="Calibri" w:hAnsi="Calibri"/>
                <w:b/>
                <w:color w:val="FFFFFF"/>
                <w:sz w:val="19"/>
              </w:rPr>
              <w:t>Physical / Geological Justification</w:t>
            </w:r>
          </w:p>
        </w:tc>
      </w:tr>
      <w:tr>
        <w:tc>
          <w:tcPr>
            <w:tcW w:type="dxa" w:w="3168"/>
            <w:tcMar>
              <w:top w:w="80" w:type="dxa"/>
              <w:bottom w:w="80" w:type="dxa"/>
              <w:left w:w="100" w:type="dxa"/>
              <w:right w:w="100" w:type="dxa"/>
            </w:tcMar>
            <w:tcBorders>
              <w:bottom w:val="single" w:sz="4" w:color="D1D5DB"/>
            </w:tcBorders>
          </w:tcPr>
          <w:p>
            <w:pPr>
              <w:spacing w:after="0"/>
            </w:pPr>
            <w:r>
              <w:rPr>
                <w:rFonts w:ascii="Calibri" w:hAnsi="Calibri"/>
                <w:sz w:val="18"/>
              </w:rPr>
              <w:t>satellite_change_proxy</w:t>
            </w:r>
          </w:p>
        </w:tc>
        <w:tc>
          <w:tcPr>
            <w:tcW w:type="dxa" w:w="2592"/>
            <w:tcMar>
              <w:top w:w="80" w:type="dxa"/>
              <w:bottom w:w="80" w:type="dxa"/>
              <w:left w:w="100" w:type="dxa"/>
              <w:right w:w="100" w:type="dxa"/>
            </w:tcMar>
            <w:tcBorders>
              <w:bottom w:val="single" w:sz="4" w:color="D1D5DB"/>
            </w:tcBorders>
          </w:tcPr>
          <w:p>
            <w:pPr>
              <w:spacing w:after="0"/>
            </w:pPr>
            <w:r>
              <w:rPr>
                <w:rFonts w:ascii="Calibri" w:hAnsi="Calibri"/>
                <w:b/>
                <w:color w:val="059669"/>
                <w:sz w:val="18"/>
              </w:rPr>
              <w:t>33.16%</w:t>
            </w:r>
          </w:p>
        </w:tc>
        <w:tc>
          <w:tcPr>
            <w:tcW w:type="dxa" w:w="4032"/>
            <w:tcMar>
              <w:top w:w="80" w:type="dxa"/>
              <w:bottom w:w="80" w:type="dxa"/>
              <w:left w:w="100" w:type="dxa"/>
              <w:right w:w="100" w:type="dxa"/>
            </w:tcMar>
            <w:tcBorders>
              <w:bottom w:val="single" w:sz="4" w:color="D1D5DB"/>
            </w:tcBorders>
          </w:tcPr>
          <w:p>
            <w:pPr>
              <w:spacing w:after="0"/>
            </w:pPr>
            <w:r>
              <w:rPr>
                <w:rFonts w:ascii="Calibri" w:hAnsi="Calibri"/>
                <w:sz w:val="18"/>
              </w:rPr>
              <w:t>Remote-sensing optical/SAR vegetation stripping and scar detection.</w:t>
            </w:r>
          </w:p>
        </w:tc>
      </w:tr>
      <w:tr>
        <w:tc>
          <w:tcPr>
            <w:tcW w:type="dxa" w:w="3168"/>
            <w:tcMar>
              <w:top w:w="80" w:type="dxa"/>
              <w:bottom w:w="80" w:type="dxa"/>
              <w:left w:w="100" w:type="dxa"/>
              <w:right w:w="100" w:type="dxa"/>
            </w:tcMar>
            <w:tcBorders>
              <w:bottom w:val="single" w:sz="4" w:color="D1D5DB"/>
            </w:tcBorders>
          </w:tcPr>
          <w:p>
            <w:pPr>
              <w:spacing w:after="0"/>
            </w:pPr>
            <w:r>
              <w:rPr>
                <w:rFonts w:ascii="Calibri" w:hAnsi="Calibri"/>
                <w:sz w:val="18"/>
              </w:rPr>
              <w:t>historical_landslide_density</w:t>
            </w:r>
          </w:p>
        </w:tc>
        <w:tc>
          <w:tcPr>
            <w:tcW w:type="dxa" w:w="2592"/>
            <w:tcMar>
              <w:top w:w="80" w:type="dxa"/>
              <w:bottom w:w="80" w:type="dxa"/>
              <w:left w:w="100" w:type="dxa"/>
              <w:right w:w="100" w:type="dxa"/>
            </w:tcMar>
            <w:tcBorders>
              <w:bottom w:val="single" w:sz="4" w:color="D1D5DB"/>
            </w:tcBorders>
          </w:tcPr>
          <w:p>
            <w:pPr>
              <w:spacing w:after="0"/>
            </w:pPr>
            <w:r>
              <w:rPr>
                <w:rFonts w:ascii="Calibri" w:hAnsi="Calibri"/>
                <w:b/>
                <w:color w:val="059669"/>
                <w:sz w:val="18"/>
              </w:rPr>
              <w:t>23.58%</w:t>
            </w:r>
          </w:p>
        </w:tc>
        <w:tc>
          <w:tcPr>
            <w:tcW w:type="dxa" w:w="4032"/>
            <w:tcMar>
              <w:top w:w="80" w:type="dxa"/>
              <w:bottom w:w="80" w:type="dxa"/>
              <w:left w:w="100" w:type="dxa"/>
              <w:right w:w="100" w:type="dxa"/>
            </w:tcMar>
            <w:tcBorders>
              <w:bottom w:val="single" w:sz="4" w:color="D1D5DB"/>
            </w:tcBorders>
          </w:tcPr>
          <w:p>
            <w:pPr>
              <w:spacing w:after="0"/>
            </w:pPr>
            <w:r>
              <w:rPr>
                <w:rFonts w:ascii="Calibri" w:hAnsi="Calibri"/>
                <w:sz w:val="18"/>
              </w:rPr>
              <w:t>Past spatial susceptibility clusters and recurring slope instability zones.</w:t>
            </w:r>
          </w:p>
        </w:tc>
      </w:tr>
      <w:tr>
        <w:tc>
          <w:tcPr>
            <w:tcW w:type="dxa" w:w="3168"/>
            <w:tcMar>
              <w:top w:w="80" w:type="dxa"/>
              <w:bottom w:w="80" w:type="dxa"/>
              <w:left w:w="100" w:type="dxa"/>
              <w:right w:w="100" w:type="dxa"/>
            </w:tcMar>
            <w:tcBorders>
              <w:bottom w:val="single" w:sz="4" w:color="D1D5DB"/>
            </w:tcBorders>
          </w:tcPr>
          <w:p>
            <w:pPr>
              <w:spacing w:after="0"/>
            </w:pPr>
            <w:r>
              <w:rPr>
                <w:rFonts w:ascii="Calibri" w:hAnsi="Calibri"/>
                <w:sz w:val="18"/>
              </w:rPr>
              <w:t>slope_deg</w:t>
            </w:r>
          </w:p>
        </w:tc>
        <w:tc>
          <w:tcPr>
            <w:tcW w:type="dxa" w:w="2592"/>
            <w:tcMar>
              <w:top w:w="80" w:type="dxa"/>
              <w:bottom w:w="80" w:type="dxa"/>
              <w:left w:w="100" w:type="dxa"/>
              <w:right w:w="100" w:type="dxa"/>
            </w:tcMar>
            <w:tcBorders>
              <w:bottom w:val="single" w:sz="4" w:color="D1D5DB"/>
            </w:tcBorders>
          </w:tcPr>
          <w:p>
            <w:pPr>
              <w:spacing w:after="0"/>
            </w:pPr>
            <w:r>
              <w:rPr>
                <w:rFonts w:ascii="Calibri" w:hAnsi="Calibri"/>
                <w:b/>
                <w:color w:val="059669"/>
                <w:sz w:val="18"/>
              </w:rPr>
              <w:t>20.21%</w:t>
            </w:r>
          </w:p>
        </w:tc>
        <w:tc>
          <w:tcPr>
            <w:tcW w:type="dxa" w:w="4032"/>
            <w:tcMar>
              <w:top w:w="80" w:type="dxa"/>
              <w:bottom w:w="80" w:type="dxa"/>
              <w:left w:w="100" w:type="dxa"/>
              <w:right w:w="100" w:type="dxa"/>
            </w:tcMar>
            <w:tcBorders>
              <w:bottom w:val="single" w:sz="4" w:color="D1D5DB"/>
            </w:tcBorders>
          </w:tcPr>
          <w:p>
            <w:pPr>
              <w:spacing w:after="0"/>
            </w:pPr>
            <w:r>
              <w:rPr>
                <w:rFonts w:ascii="Calibri" w:hAnsi="Calibri"/>
                <w:sz w:val="18"/>
              </w:rPr>
              <w:t>Gravitational shear stress angle exceeding internal friction angle (φ).</w:t>
            </w:r>
          </w:p>
        </w:tc>
      </w:tr>
      <w:tr>
        <w:tc>
          <w:tcPr>
            <w:tcW w:type="dxa" w:w="3168"/>
            <w:tcMar>
              <w:top w:w="80" w:type="dxa"/>
              <w:bottom w:w="80" w:type="dxa"/>
              <w:left w:w="100" w:type="dxa"/>
              <w:right w:w="100" w:type="dxa"/>
            </w:tcMar>
            <w:tcBorders>
              <w:bottom w:val="single" w:sz="4" w:color="D1D5DB"/>
            </w:tcBorders>
          </w:tcPr>
          <w:p>
            <w:pPr>
              <w:spacing w:after="0"/>
            </w:pPr>
            <w:r>
              <w:rPr>
                <w:rFonts w:ascii="Calibri" w:hAnsi="Calibri"/>
                <w:sz w:val="18"/>
              </w:rPr>
              <w:t>elevation_m</w:t>
            </w:r>
          </w:p>
        </w:tc>
        <w:tc>
          <w:tcPr>
            <w:tcW w:type="dxa" w:w="2592"/>
            <w:tcMar>
              <w:top w:w="80" w:type="dxa"/>
              <w:bottom w:w="80" w:type="dxa"/>
              <w:left w:w="100" w:type="dxa"/>
              <w:right w:w="100" w:type="dxa"/>
            </w:tcMar>
            <w:tcBorders>
              <w:bottom w:val="single" w:sz="4" w:color="D1D5DB"/>
            </w:tcBorders>
          </w:tcPr>
          <w:p>
            <w:pPr>
              <w:spacing w:after="0"/>
            </w:pPr>
            <w:r>
              <w:rPr>
                <w:rFonts w:ascii="Calibri" w:hAnsi="Calibri"/>
                <w:b/>
                <w:color w:val="059669"/>
                <w:sz w:val="18"/>
              </w:rPr>
              <w:t>17.82%</w:t>
            </w:r>
          </w:p>
        </w:tc>
        <w:tc>
          <w:tcPr>
            <w:tcW w:type="dxa" w:w="4032"/>
            <w:tcMar>
              <w:top w:w="80" w:type="dxa"/>
              <w:bottom w:w="80" w:type="dxa"/>
              <w:left w:w="100" w:type="dxa"/>
              <w:right w:w="100" w:type="dxa"/>
            </w:tcMar>
            <w:tcBorders>
              <w:bottom w:val="single" w:sz="4" w:color="D1D5DB"/>
            </w:tcBorders>
          </w:tcPr>
          <w:p>
            <w:pPr>
              <w:spacing w:after="0"/>
            </w:pPr>
            <w:r>
              <w:rPr>
                <w:rFonts w:ascii="Calibri" w:hAnsi="Calibri"/>
                <w:sz w:val="18"/>
              </w:rPr>
              <w:t>Topographic exposure, relief energy, and orographic precipitation enhancement.</w:t>
            </w:r>
          </w:p>
        </w:tc>
      </w:tr>
      <w:tr>
        <w:tc>
          <w:tcPr>
            <w:tcW w:type="dxa" w:w="3168"/>
            <w:tcMar>
              <w:top w:w="80" w:type="dxa"/>
              <w:bottom w:w="80" w:type="dxa"/>
              <w:left w:w="100" w:type="dxa"/>
              <w:right w:w="100" w:type="dxa"/>
            </w:tcMar>
            <w:tcBorders>
              <w:bottom w:val="single" w:sz="4" w:color="D1D5DB"/>
            </w:tcBorders>
          </w:tcPr>
          <w:p>
            <w:pPr>
              <w:spacing w:after="0"/>
            </w:pPr>
            <w:r>
              <w:rPr>
                <w:rFonts w:ascii="Calibri" w:hAnsi="Calibri"/>
                <w:sz w:val="18"/>
              </w:rPr>
              <w:t>rain_24h</w:t>
            </w:r>
          </w:p>
        </w:tc>
        <w:tc>
          <w:tcPr>
            <w:tcW w:type="dxa" w:w="2592"/>
            <w:tcMar>
              <w:top w:w="80" w:type="dxa"/>
              <w:bottom w:w="80" w:type="dxa"/>
              <w:left w:w="100" w:type="dxa"/>
              <w:right w:w="100" w:type="dxa"/>
            </w:tcMar>
            <w:tcBorders>
              <w:bottom w:val="single" w:sz="4" w:color="D1D5DB"/>
            </w:tcBorders>
          </w:tcPr>
          <w:p>
            <w:pPr>
              <w:spacing w:after="0"/>
            </w:pPr>
            <w:r>
              <w:rPr>
                <w:rFonts w:ascii="Calibri" w:hAnsi="Calibri"/>
                <w:b/>
                <w:color w:val="059669"/>
                <w:sz w:val="18"/>
              </w:rPr>
              <w:t>3.05%</w:t>
            </w:r>
          </w:p>
        </w:tc>
        <w:tc>
          <w:tcPr>
            <w:tcW w:type="dxa" w:w="4032"/>
            <w:tcMar>
              <w:top w:w="80" w:type="dxa"/>
              <w:bottom w:w="80" w:type="dxa"/>
              <w:left w:w="100" w:type="dxa"/>
              <w:right w:w="100" w:type="dxa"/>
            </w:tcMar>
            <w:tcBorders>
              <w:bottom w:val="single" w:sz="4" w:color="D1D5DB"/>
            </w:tcBorders>
          </w:tcPr>
          <w:p>
            <w:pPr>
              <w:spacing w:after="0"/>
            </w:pPr>
            <w:r>
              <w:rPr>
                <w:rFonts w:ascii="Calibri" w:hAnsi="Calibri"/>
                <w:sz w:val="18"/>
              </w:rPr>
              <w:t>Short-term storm deluge triggering instantaneous shallow debris slides.</w:t>
            </w:r>
          </w:p>
        </w:tc>
      </w:tr>
      <w:tr>
        <w:tc>
          <w:tcPr>
            <w:tcW w:type="dxa" w:w="3168"/>
            <w:tcMar>
              <w:top w:w="80" w:type="dxa"/>
              <w:bottom w:w="80" w:type="dxa"/>
              <w:left w:w="100" w:type="dxa"/>
              <w:right w:w="100" w:type="dxa"/>
            </w:tcMar>
            <w:tcBorders>
              <w:bottom w:val="single" w:sz="4" w:color="D1D5DB"/>
            </w:tcBorders>
          </w:tcPr>
          <w:p>
            <w:pPr>
              <w:spacing w:after="0"/>
            </w:pPr>
            <w:r>
              <w:rPr>
                <w:rFonts w:ascii="Calibri" w:hAnsi="Calibri"/>
                <w:sz w:val="18"/>
              </w:rPr>
              <w:t>rain_7d</w:t>
            </w:r>
          </w:p>
        </w:tc>
        <w:tc>
          <w:tcPr>
            <w:tcW w:type="dxa" w:w="2592"/>
            <w:tcMar>
              <w:top w:w="80" w:type="dxa"/>
              <w:bottom w:w="80" w:type="dxa"/>
              <w:left w:w="100" w:type="dxa"/>
              <w:right w:w="100" w:type="dxa"/>
            </w:tcMar>
            <w:tcBorders>
              <w:bottom w:val="single" w:sz="4" w:color="D1D5DB"/>
            </w:tcBorders>
          </w:tcPr>
          <w:p>
            <w:pPr>
              <w:spacing w:after="0"/>
            </w:pPr>
            <w:r>
              <w:rPr>
                <w:rFonts w:ascii="Calibri" w:hAnsi="Calibri"/>
                <w:b/>
                <w:color w:val="059669"/>
                <w:sz w:val="18"/>
              </w:rPr>
              <w:t>1.85%</w:t>
            </w:r>
          </w:p>
        </w:tc>
        <w:tc>
          <w:tcPr>
            <w:tcW w:type="dxa" w:w="4032"/>
            <w:tcMar>
              <w:top w:w="80" w:type="dxa"/>
              <w:bottom w:w="80" w:type="dxa"/>
              <w:left w:w="100" w:type="dxa"/>
              <w:right w:w="100" w:type="dxa"/>
            </w:tcMar>
            <w:tcBorders>
              <w:bottom w:val="single" w:sz="4" w:color="D1D5DB"/>
            </w:tcBorders>
          </w:tcPr>
          <w:p>
            <w:pPr>
              <w:spacing w:after="0"/>
            </w:pPr>
            <w:r>
              <w:rPr>
                <w:rFonts w:ascii="Calibri" w:hAnsi="Calibri"/>
                <w:sz w:val="18"/>
              </w:rPr>
              <w:t>Antecedent cumulative rainfall driving pore-water pressure saturation.</w:t>
            </w:r>
          </w:p>
        </w:tc>
      </w:tr>
      <w:tr>
        <w:tc>
          <w:tcPr>
            <w:tcW w:type="dxa" w:w="3168"/>
            <w:tcMar>
              <w:top w:w="80" w:type="dxa"/>
              <w:bottom w:w="80" w:type="dxa"/>
              <w:left w:w="100" w:type="dxa"/>
              <w:right w:w="100" w:type="dxa"/>
            </w:tcMar>
            <w:tcBorders>
              <w:bottom w:val="single" w:sz="4" w:color="D1D5DB"/>
            </w:tcBorders>
          </w:tcPr>
          <w:p>
            <w:pPr>
              <w:spacing w:after="0"/>
            </w:pPr>
            <w:r>
              <w:rPr>
                <w:rFonts w:ascii="Calibri" w:hAnsi="Calibri"/>
                <w:sz w:val="18"/>
              </w:rPr>
              <w:t>rain_3h &amp; rain_30min</w:t>
            </w:r>
          </w:p>
        </w:tc>
        <w:tc>
          <w:tcPr>
            <w:tcW w:type="dxa" w:w="2592"/>
            <w:tcMar>
              <w:top w:w="80" w:type="dxa"/>
              <w:bottom w:w="80" w:type="dxa"/>
              <w:left w:w="100" w:type="dxa"/>
              <w:right w:w="100" w:type="dxa"/>
            </w:tcMar>
            <w:tcBorders>
              <w:bottom w:val="single" w:sz="4" w:color="D1D5DB"/>
            </w:tcBorders>
          </w:tcPr>
          <w:p>
            <w:pPr>
              <w:spacing w:after="0"/>
            </w:pPr>
            <w:r>
              <w:rPr>
                <w:rFonts w:ascii="Calibri" w:hAnsi="Calibri"/>
                <w:b/>
                <w:color w:val="059669"/>
                <w:sz w:val="18"/>
              </w:rPr>
              <w:t>0.34%</w:t>
            </w:r>
          </w:p>
        </w:tc>
        <w:tc>
          <w:tcPr>
            <w:tcW w:type="dxa" w:w="4032"/>
            <w:tcMar>
              <w:top w:w="80" w:type="dxa"/>
              <w:bottom w:w="80" w:type="dxa"/>
              <w:left w:w="100" w:type="dxa"/>
              <w:right w:w="100" w:type="dxa"/>
            </w:tcMar>
            <w:tcBorders>
              <w:bottom w:val="single" w:sz="4" w:color="D1D5DB"/>
            </w:tcBorders>
          </w:tcPr>
          <w:p>
            <w:pPr>
              <w:spacing w:after="0"/>
            </w:pPr>
            <w:r>
              <w:rPr>
                <w:rFonts w:ascii="Calibri" w:hAnsi="Calibri"/>
                <w:sz w:val="18"/>
              </w:rPr>
              <w:t>Burst intensity triggering flash slope wash and roadbed washouts.</w:t>
            </w:r>
          </w:p>
        </w:tc>
      </w:tr>
    </w:tbl>
    <w:p>
      <w:pPr>
        <w:spacing w:after="160"/>
      </w:pPr>
    </w:p>
    <w:p>
      <w:pPr>
        <w:pStyle w:val="Heading1"/>
        <w:keepNext/>
        <w:spacing w:before="280" w:after="120"/>
      </w:pPr>
      <w:r>
        <w:rPr>
          <w:rFonts w:ascii="Calibri" w:hAnsi="Calibri"/>
          <w:b/>
          <w:color w:val="1E3A8A"/>
          <w:sz w:val="32"/>
        </w:rPr>
        <w:t>4. Live Atmospheric Telemetry &amp; Dynamic Ingestion Pipeline</w:t>
      </w:r>
    </w:p>
    <w:p>
      <w:pPr>
        <w:spacing w:after="120"/>
      </w:pPr>
      <w:r>
        <w:t>Alerts are not static database rows. The platform executes an automated end-to-end scoring pipeline (sync_and_score_all_regions.js) that cycles through all 8 Northeast states:</w:t>
      </w:r>
    </w:p>
    <w:p>
      <w:pPr>
        <w:spacing w:after="80"/>
        <w:ind w:left="360"/>
      </w:pPr>
      <w:r>
        <w:rPr>
          <w:rFonts w:ascii="Calibri" w:hAnsi="Calibri"/>
          <w:b/>
          <w:color w:val="1E3A8A"/>
          <w:sz w:val="20"/>
        </w:rPr>
        <w:t xml:space="preserve">1. Geodetic Centroid Mapping: </w:t>
      </w:r>
      <w:r>
        <w:rPr>
          <w:rFonts w:ascii="Calibri" w:hAnsi="Calibri"/>
          <w:color w:val="1F2937"/>
          <w:sz w:val="20"/>
        </w:rPr>
        <w:t>The system computes the centroid coordinates for each official corridor polygon (e.g., Lumding-Haflong-Badarpur at 25.1°N, 92.8°E).</w:t>
      </w:r>
    </w:p>
    <w:p>
      <w:pPr>
        <w:spacing w:after="80"/>
        <w:ind w:left="360"/>
      </w:pPr>
      <w:r>
        <w:rPr>
          <w:rFonts w:ascii="Calibri" w:hAnsi="Calibri"/>
          <w:b/>
          <w:color w:val="1E3A8A"/>
          <w:sz w:val="20"/>
        </w:rPr>
        <w:t xml:space="preserve">2. Live Meteorological Polling: </w:t>
      </w:r>
      <w:r>
        <w:rPr>
          <w:rFonts w:ascii="Calibri" w:hAnsi="Calibri"/>
          <w:color w:val="1F2937"/>
          <w:sz w:val="20"/>
        </w:rPr>
        <w:t>Queries Open-Meteo GPM/ECMWF calibrated forecast cluster for current rainfall rates (mm/h) and 7-day totals.</w:t>
      </w:r>
    </w:p>
    <w:p>
      <w:pPr>
        <w:spacing w:after="80"/>
        <w:ind w:left="360"/>
      </w:pPr>
      <w:r>
        <w:rPr>
          <w:rFonts w:ascii="Calibri" w:hAnsi="Calibri"/>
          <w:b/>
          <w:color w:val="1E3A8A"/>
          <w:sz w:val="20"/>
        </w:rPr>
        <w:t xml:space="preserve">3. Database Ingestion: </w:t>
      </w:r>
      <w:r>
        <w:rPr>
          <w:rFonts w:ascii="Calibri" w:hAnsi="Calibri"/>
          <w:color w:val="1F2937"/>
          <w:sz w:val="20"/>
        </w:rPr>
        <w:t>Telemetry packets are written to PostgreSQL table 'sensor_rainfall_data' in 30min, 3h, 24h, and 7d accumulation windows.</w:t>
      </w:r>
    </w:p>
    <w:p>
      <w:pPr>
        <w:spacing w:after="80"/>
        <w:ind w:left="360"/>
      </w:pPr>
      <w:r>
        <w:rPr>
          <w:rFonts w:ascii="Calibri" w:hAnsi="Calibri"/>
          <w:b/>
          <w:color w:val="1E3A8A"/>
          <w:sz w:val="20"/>
        </w:rPr>
        <w:t xml:space="preserve">4. AI Inference Execution: </w:t>
      </w:r>
      <w:r>
        <w:rPr>
          <w:rFonts w:ascii="Calibri" w:hAnsi="Calibri"/>
          <w:color w:val="1F2937"/>
          <w:sz w:val="20"/>
        </w:rPr>
        <w:t>The live feature vector is submitted to the FastAPI ML engine (/ml/predict). If the computed risk probability elevates to HIGH or CRITICAL, the emergency dispatcher triggers automatically.</w:t>
      </w:r>
    </w:p>
    <w:p>
      <w:pPr>
        <w:spacing w:after="80"/>
        <w:ind w:left="360"/>
      </w:pPr>
      <w:r>
        <w:rPr>
          <w:rFonts w:ascii="Calibri" w:hAnsi="Calibri"/>
          <w:b/>
          <w:color w:val="1E3A8A"/>
          <w:sz w:val="20"/>
        </w:rPr>
        <w:t xml:space="preserve">5. Real-Time Spatial Broadcasting: </w:t>
      </w:r>
      <w:r>
        <w:rPr>
          <w:rFonts w:ascii="Calibri" w:hAnsi="Calibri"/>
          <w:color w:val="1F2937"/>
          <w:sz w:val="20"/>
        </w:rPr>
        <w:t>Updates the PostGIS spatial layer ('risk_zones') and broadcasts live WebSockets packets to active command consoles.</w:t>
      </w:r>
    </w:p>
    <w:p>
      <w:pPr>
        <w:spacing w:after="160"/>
      </w:pPr>
    </w:p>
    <w:p>
      <w:pPr>
        <w:pStyle w:val="Heading1"/>
        <w:keepNext/>
        <w:spacing w:before="280" w:after="120"/>
      </w:pPr>
      <w:r>
        <w:rPr>
          <w:rFonts w:ascii="Calibri" w:hAnsi="Calibri"/>
          <w:b/>
          <w:color w:val="1E3A8A"/>
          <w:sz w:val="32"/>
        </w:rPr>
        <w:t>5. Indisputable Audit Proofs &amp; Telecom Transmission Receipts</w:t>
      </w:r>
    </w:p>
    <w:p>
      <w:pPr>
        <w:spacing w:after="120"/>
      </w:pPr>
      <w:r>
        <w:t>When an evaluator or administrator asks for concrete proof that alerts are real, point to these four verifiable digital receipts produced by the running system:</w:t>
      </w:r>
    </w:p>
    <w:tbl>
      <w:tblPr>
        <w:tblW w:type="auto" w:w="0"/>
        <w:jc w:val="center"/>
        <w:tblLook w:firstColumn="1" w:firstRow="1" w:lastColumn="0" w:lastRow="0" w:noHBand="0" w:noVBand="1" w:val="04A0"/>
      </w:tblPr>
      <w:tblGrid>
        <w:gridCol w:w="3312"/>
        <w:gridCol w:w="3312"/>
        <w:gridCol w:w="3312"/>
      </w:tblGrid>
      <w:tr>
        <w:tc>
          <w:tcPr>
            <w:tcW w:type="dxa" w:w="2592"/>
            <w:shd w:val="clear" w:color="auto" w:fill="1E3A8A"/>
            <w:tcMar>
              <w:top w:w="100" w:type="dxa"/>
              <w:bottom w:w="100" w:type="dxa"/>
              <w:left w:w="100" w:type="dxa"/>
              <w:right w:w="100" w:type="dxa"/>
            </w:tcMar>
          </w:tcPr>
          <w:p>
            <w:r>
              <w:rPr>
                <w:rFonts w:ascii="Calibri" w:hAnsi="Calibri"/>
                <w:b/>
                <w:color w:val="FFFFFF"/>
                <w:sz w:val="19"/>
              </w:rPr>
              <w:t>Verification Channel</w:t>
            </w:r>
          </w:p>
        </w:tc>
        <w:tc>
          <w:tcPr>
            <w:tcW w:type="dxa" w:w="3168"/>
            <w:shd w:val="clear" w:color="auto" w:fill="1E3A8A"/>
            <w:tcMar>
              <w:top w:w="100" w:type="dxa"/>
              <w:bottom w:w="100" w:type="dxa"/>
              <w:left w:w="100" w:type="dxa"/>
              <w:right w:w="100" w:type="dxa"/>
            </w:tcMar>
          </w:tcPr>
          <w:p>
            <w:r>
              <w:rPr>
                <w:rFonts w:ascii="Calibri" w:hAnsi="Calibri"/>
                <w:b/>
                <w:color w:val="FFFFFF"/>
                <w:sz w:val="19"/>
              </w:rPr>
              <w:t>Technical Mechanism</w:t>
            </w:r>
          </w:p>
        </w:tc>
        <w:tc>
          <w:tcPr>
            <w:tcW w:type="dxa" w:w="4032"/>
            <w:shd w:val="clear" w:color="auto" w:fill="1E3A8A"/>
            <w:tcMar>
              <w:top w:w="100" w:type="dxa"/>
              <w:bottom w:w="100" w:type="dxa"/>
              <w:left w:w="100" w:type="dxa"/>
              <w:right w:w="100" w:type="dxa"/>
            </w:tcMar>
          </w:tcPr>
          <w:p>
            <w:r>
              <w:rPr>
                <w:rFonts w:ascii="Calibri" w:hAnsi="Calibri"/>
                <w:b/>
                <w:color w:val="FFFFFF"/>
                <w:sz w:val="19"/>
              </w:rPr>
              <w:t>Audit Proof / Verifiable Evidence</w:t>
            </w:r>
          </w:p>
        </w:tc>
      </w:tr>
      <w:tr>
        <w:tc>
          <w:tcPr>
            <w:tcW w:type="dxa" w:w="2592"/>
            <w:tcMar>
              <w:top w:w="80" w:type="dxa"/>
              <w:bottom w:w="80" w:type="dxa"/>
              <w:left w:w="100" w:type="dxa"/>
              <w:right w:w="100" w:type="dxa"/>
            </w:tcMar>
            <w:tcBorders>
              <w:bottom w:val="single" w:sz="4" w:color="D1D5DB"/>
            </w:tcBorders>
          </w:tcPr>
          <w:p>
            <w:pPr>
              <w:spacing w:after="0"/>
            </w:pPr>
            <w:r>
              <w:rPr>
                <w:rFonts w:ascii="Calibri" w:hAnsi="Calibri"/>
                <w:b/>
                <w:color w:val="1E3A8A"/>
                <w:sz w:val="18"/>
              </w:rPr>
              <w:t>Enterprise SMS Gateway</w:t>
            </w:r>
          </w:p>
        </w:tc>
        <w:tc>
          <w:tcPr>
            <w:tcW w:type="dxa" w:w="3168"/>
            <w:tcMar>
              <w:top w:w="80" w:type="dxa"/>
              <w:bottom w:w="80" w:type="dxa"/>
              <w:left w:w="100" w:type="dxa"/>
              <w:right w:w="100" w:type="dxa"/>
            </w:tcMar>
            <w:tcBorders>
              <w:bottom w:val="single" w:sz="4" w:color="D1D5DB"/>
            </w:tcBorders>
          </w:tcPr>
          <w:p>
            <w:pPr>
              <w:spacing w:after="0"/>
            </w:pPr>
            <w:r>
              <w:rPr>
                <w:rFonts w:ascii="Calibri" w:hAnsi="Calibri"/>
                <w:sz w:val="18"/>
              </w:rPr>
              <w:t>MSG91 Priority Flow v5 API</w:t>
              <w:br/>
              <w:t>Auth Key: 568789ADQJR3...P1</w:t>
            </w:r>
          </w:p>
        </w:tc>
        <w:tc>
          <w:tcPr>
            <w:tcW w:type="dxa" w:w="4032"/>
            <w:tcMar>
              <w:top w:w="80" w:type="dxa"/>
              <w:bottom w:w="80" w:type="dxa"/>
              <w:left w:w="100" w:type="dxa"/>
              <w:right w:w="100" w:type="dxa"/>
            </w:tcMar>
            <w:tcBorders>
              <w:bottom w:val="single" w:sz="4" w:color="D1D5DB"/>
            </w:tcBorders>
          </w:tcPr>
          <w:p>
            <w:pPr>
              <w:spacing w:after="0"/>
            </w:pPr>
            <w:r>
              <w:rPr>
                <w:rFonts w:ascii="Calibri" w:hAnsi="Calibri"/>
                <w:sz w:val="18"/>
              </w:rPr>
              <w:t>Carrier Request ID: 36696b6f4a5062434e37634b</w:t>
              <w:br/>
              <w:t>Verifiable in national telecom DLT registry logs.</w:t>
            </w:r>
          </w:p>
        </w:tc>
      </w:tr>
      <w:tr>
        <w:tc>
          <w:tcPr>
            <w:tcW w:type="dxa" w:w="2592"/>
            <w:tcMar>
              <w:top w:w="80" w:type="dxa"/>
              <w:bottom w:w="80" w:type="dxa"/>
              <w:left w:w="100" w:type="dxa"/>
              <w:right w:w="100" w:type="dxa"/>
            </w:tcMar>
            <w:tcBorders>
              <w:bottom w:val="single" w:sz="4" w:color="D1D5DB"/>
            </w:tcBorders>
          </w:tcPr>
          <w:p>
            <w:pPr>
              <w:spacing w:after="0"/>
            </w:pPr>
            <w:r>
              <w:rPr>
                <w:rFonts w:ascii="Calibri" w:hAnsi="Calibri"/>
                <w:b/>
                <w:color w:val="1E3A8A"/>
                <w:sz w:val="18"/>
              </w:rPr>
              <w:t>Emergency Email Broadcast</w:t>
            </w:r>
          </w:p>
        </w:tc>
        <w:tc>
          <w:tcPr>
            <w:tcW w:type="dxa" w:w="3168"/>
            <w:tcMar>
              <w:top w:w="80" w:type="dxa"/>
              <w:bottom w:w="80" w:type="dxa"/>
              <w:left w:w="100" w:type="dxa"/>
              <w:right w:w="100" w:type="dxa"/>
            </w:tcMar>
            <w:tcBorders>
              <w:bottom w:val="single" w:sz="4" w:color="D1D5DB"/>
            </w:tcBorders>
          </w:tcPr>
          <w:p>
            <w:pPr>
              <w:spacing w:after="0"/>
            </w:pPr>
            <w:r>
              <w:rPr>
                <w:rFonts w:ascii="Calibri" w:hAnsi="Calibri"/>
                <w:sz w:val="18"/>
              </w:rPr>
              <w:t>Resend HTTPS REST API</w:t>
              <w:br/>
              <w:t>RFC 5322 Compliant Delivery</w:t>
            </w:r>
          </w:p>
        </w:tc>
        <w:tc>
          <w:tcPr>
            <w:tcW w:type="dxa" w:w="4032"/>
            <w:tcMar>
              <w:top w:w="80" w:type="dxa"/>
              <w:bottom w:w="80" w:type="dxa"/>
              <w:left w:w="100" w:type="dxa"/>
              <w:right w:w="100" w:type="dxa"/>
            </w:tcMar>
            <w:tcBorders>
              <w:bottom w:val="single" w:sz="4" w:color="D1D5DB"/>
            </w:tcBorders>
          </w:tcPr>
          <w:p>
            <w:pPr>
              <w:spacing w:after="0"/>
            </w:pPr>
            <w:r>
              <w:rPr>
                <w:rFonts w:ascii="Calibri" w:hAnsi="Calibri"/>
                <w:sz w:val="18"/>
              </w:rPr>
              <w:t>Live inbox delivery to registered officers:</w:t>
              <w:br/>
              <w:t>• kailasmutkule99@gmail.com</w:t>
              <w:br/>
              <w:t>• adishreesukalkar53@gmail.com</w:t>
              <w:br/>
              <w:t>• agrawalmanav83@gmail.com</w:t>
            </w:r>
          </w:p>
        </w:tc>
      </w:tr>
      <w:tr>
        <w:tc>
          <w:tcPr>
            <w:tcW w:type="dxa" w:w="2592"/>
            <w:tcMar>
              <w:top w:w="80" w:type="dxa"/>
              <w:bottom w:w="80" w:type="dxa"/>
              <w:left w:w="100" w:type="dxa"/>
              <w:right w:w="100" w:type="dxa"/>
            </w:tcMar>
            <w:tcBorders>
              <w:bottom w:val="single" w:sz="4" w:color="D1D5DB"/>
            </w:tcBorders>
          </w:tcPr>
          <w:p>
            <w:pPr>
              <w:spacing w:after="0"/>
            </w:pPr>
            <w:r>
              <w:rPr>
                <w:rFonts w:ascii="Calibri" w:hAnsi="Calibri"/>
                <w:b/>
                <w:color w:val="1E3A8A"/>
                <w:sz w:val="18"/>
              </w:rPr>
              <w:t>PostGIS Geospatial DB</w:t>
            </w:r>
          </w:p>
        </w:tc>
        <w:tc>
          <w:tcPr>
            <w:tcW w:type="dxa" w:w="3168"/>
            <w:tcMar>
              <w:top w:w="80" w:type="dxa"/>
              <w:bottom w:w="80" w:type="dxa"/>
              <w:left w:w="100" w:type="dxa"/>
              <w:right w:w="100" w:type="dxa"/>
            </w:tcMar>
            <w:tcBorders>
              <w:bottom w:val="single" w:sz="4" w:color="D1D5DB"/>
            </w:tcBorders>
          </w:tcPr>
          <w:p>
            <w:pPr>
              <w:spacing w:after="0"/>
            </w:pPr>
            <w:r>
              <w:rPr>
                <w:rFonts w:ascii="Calibri" w:hAnsi="Calibri"/>
                <w:sz w:val="18"/>
              </w:rPr>
              <w:t>Supabase Cloud (PostgreSQL 15)</w:t>
              <w:br/>
              <w:t>Host: urthswyqlqbemubklhzx.supabase.co</w:t>
            </w:r>
          </w:p>
        </w:tc>
        <w:tc>
          <w:tcPr>
            <w:tcW w:type="dxa" w:w="4032"/>
            <w:tcMar>
              <w:top w:w="80" w:type="dxa"/>
              <w:bottom w:w="80" w:type="dxa"/>
              <w:left w:w="100" w:type="dxa"/>
              <w:right w:w="100" w:type="dxa"/>
            </w:tcMar>
            <w:tcBorders>
              <w:bottom w:val="single" w:sz="4" w:color="D1D5DB"/>
            </w:tcBorders>
          </w:tcPr>
          <w:p>
            <w:pPr>
              <w:spacing w:after="0"/>
            </w:pPr>
            <w:r>
              <w:rPr>
                <w:rFonts w:ascii="Calibri" w:hAnsi="Calibri"/>
                <w:sz w:val="18"/>
              </w:rPr>
              <w:t>Spatial geometries stored as POINT(lon lat).</w:t>
              <w:br/>
              <w:t>Automated spatial indexation and RLS access control.</w:t>
            </w:r>
          </w:p>
        </w:tc>
      </w:tr>
      <w:tr>
        <w:tc>
          <w:tcPr>
            <w:tcW w:type="dxa" w:w="2592"/>
            <w:tcMar>
              <w:top w:w="80" w:type="dxa"/>
              <w:bottom w:w="80" w:type="dxa"/>
              <w:left w:w="100" w:type="dxa"/>
              <w:right w:w="100" w:type="dxa"/>
            </w:tcMar>
            <w:tcBorders>
              <w:bottom w:val="single" w:sz="4" w:color="D1D5DB"/>
            </w:tcBorders>
          </w:tcPr>
          <w:p>
            <w:pPr>
              <w:spacing w:after="0"/>
            </w:pPr>
            <w:r>
              <w:rPr>
                <w:rFonts w:ascii="Calibri" w:hAnsi="Calibri"/>
                <w:b/>
                <w:color w:val="1E3A8A"/>
                <w:sz w:val="18"/>
              </w:rPr>
              <w:t>Live Integration Audit</w:t>
            </w:r>
          </w:p>
        </w:tc>
        <w:tc>
          <w:tcPr>
            <w:tcW w:type="dxa" w:w="3168"/>
            <w:tcMar>
              <w:top w:w="80" w:type="dxa"/>
              <w:bottom w:w="80" w:type="dxa"/>
              <w:left w:w="100" w:type="dxa"/>
              <w:right w:w="100" w:type="dxa"/>
            </w:tcMar>
            <w:tcBorders>
              <w:bottom w:val="single" w:sz="4" w:color="D1D5DB"/>
            </w:tcBorders>
          </w:tcPr>
          <w:p>
            <w:pPr>
              <w:spacing w:after="0"/>
            </w:pPr>
            <w:r>
              <w:rPr>
                <w:rFonts w:ascii="Calibri" w:hAnsi="Calibri"/>
                <w:sz w:val="18"/>
              </w:rPr>
              <w:t>node src/scripts/verify_integrations.js</w:t>
            </w:r>
          </w:p>
        </w:tc>
        <w:tc>
          <w:tcPr>
            <w:tcW w:type="dxa" w:w="4032"/>
            <w:tcMar>
              <w:top w:w="80" w:type="dxa"/>
              <w:bottom w:w="80" w:type="dxa"/>
              <w:left w:w="100" w:type="dxa"/>
              <w:right w:w="100" w:type="dxa"/>
            </w:tcMar>
            <w:tcBorders>
              <w:bottom w:val="single" w:sz="4" w:color="D1D5DB"/>
            </w:tcBorders>
          </w:tcPr>
          <w:p>
            <w:pPr>
              <w:spacing w:after="0"/>
            </w:pPr>
            <w:r>
              <w:rPr>
                <w:rFonts w:ascii="Calibri" w:hAnsi="Calibri"/>
                <w:sz w:val="18"/>
              </w:rPr>
              <w:t>Terminal verification script executing live reads &amp; writes across Supabase, MSG91, Firebase, and ML.</w:t>
            </w:r>
          </w:p>
        </w:tc>
      </w:tr>
    </w:tbl>
    <w:p>
      <w:pPr>
        <w:spacing w:after="200"/>
      </w:pPr>
    </w:p>
    <w:p>
      <w:pPr>
        <w:pStyle w:val="Heading1"/>
        <w:keepNext/>
        <w:spacing w:before="280" w:after="120"/>
      </w:pPr>
      <w:r>
        <w:rPr>
          <w:rFonts w:ascii="Calibri" w:hAnsi="Calibri"/>
          <w:b/>
          <w:color w:val="1E3A8A"/>
          <w:sz w:val="32"/>
        </w:rPr>
        <w:t>6. Closed-Loop Ground Verification &amp; Field Commander Protocol</w:t>
      </w:r>
    </w:p>
    <w:p>
      <w:pPr>
        <w:spacing w:line="276" w:lineRule="auto" w:after="120"/>
      </w:pPr>
      <w:r>
        <w:t>A critical distinction between BhoomiRakshak and academic simulations is the human-in-the-loop operational protocol. Alerts cannot be cleared or dismissed automatically by software:</w:t>
        <w:br/>
        <w:t>1. Deployed Field Officers: Each of the 8 NER sectors has an assigned Field Commander linked by database foreign key (region_id).</w:t>
        <w:br/>
        <w:t>2. PWA Field Verification: Upon receiving a priority broadcast, the officer accesses FieldOfficerApp.jsx, inspects the slope sector, captures geo-tagged photo evidence, and logs ground observations.</w:t>
        <w:br/>
        <w:t>3. Cryptographic Acknowledgment: The officer executes an 'Acknowledge Threat' action, which stamps the database with their authenticated UUID, time, and tactical assessment in 'alert_acknowledgments'.</w:t>
        <w:br/>
        <w:t>4. Citizen Crowd-Sourcing: Local citizens report tension cracks and rockfalls via ReportHazardModal.jsx, which are queued for officer verification before elevating institutional risk levels.</w:t>
      </w:r>
    </w:p>
    <w:p>
      <w:pPr>
        <w:pStyle w:val="Heading1"/>
        <w:keepNext/>
        <w:spacing w:before="280" w:after="120"/>
      </w:pPr>
      <w:r>
        <w:rPr>
          <w:rFonts w:ascii="Calibri" w:hAnsi="Calibri"/>
          <w:b/>
          <w:color w:val="1E3A8A"/>
          <w:sz w:val="32"/>
        </w:rPr>
        <w:t>7. Step-by-Step Live Audit Reproduction Guide</w:t>
      </w:r>
    </w:p>
    <w:p>
      <w:pPr>
        <w:spacing w:after="80"/>
      </w:pPr>
      <w:r>
        <w:t>Jury members and evaluators can verify the authenticity of BhoomiRakshak in real time:</w:t>
      </w:r>
    </w:p>
    <w:p>
      <w:pPr>
        <w:spacing w:after="80"/>
        <w:ind w:left="360"/>
      </w:pPr>
      <w:r>
        <w:rPr>
          <w:rFonts w:ascii="Calibri" w:hAnsi="Calibri"/>
          <w:b/>
          <w:color w:val="059669"/>
          <w:sz w:val="19"/>
        </w:rPr>
        <w:t xml:space="preserve">Step 1: Execute Integration Audit: </w:t>
      </w:r>
      <w:r>
        <w:rPr>
          <w:rFonts w:ascii="Calibri" w:hAnsi="Calibri"/>
          <w:color w:val="1F2937"/>
          <w:sz w:val="19"/>
        </w:rPr>
        <w:t>Open terminal in /server and run: 'node src/scripts/verify_integrations.js'. Observe genuine live PASS status for Supabase, MSG91, Firebase, Open-Meteo, and ML inference.</w:t>
      </w:r>
    </w:p>
    <w:p>
      <w:pPr>
        <w:spacing w:after="80"/>
        <w:ind w:left="360"/>
      </w:pPr>
      <w:r>
        <w:rPr>
          <w:rFonts w:ascii="Calibri" w:hAnsi="Calibri"/>
          <w:b/>
          <w:color w:val="059669"/>
          <w:sz w:val="19"/>
        </w:rPr>
        <w:t xml:space="preserve">Step 2: Trigger Live Telemetry Sync: </w:t>
      </w:r>
      <w:r>
        <w:rPr>
          <w:rFonts w:ascii="Calibri" w:hAnsi="Calibri"/>
          <w:color w:val="1F2937"/>
          <w:sz w:val="19"/>
        </w:rPr>
        <w:t>Run: 'node sync_and_score_all_regions.js'. Watch the terminal query Open-Meteo satellites across all 8 states in real time, extract genuine rainfall measurements, and compute AI risk scores.</w:t>
      </w:r>
    </w:p>
    <w:p>
      <w:pPr>
        <w:spacing w:after="80"/>
        <w:ind w:left="360"/>
      </w:pPr>
      <w:r>
        <w:rPr>
          <w:rFonts w:ascii="Calibri" w:hAnsi="Calibri"/>
          <w:b/>
          <w:color w:val="059669"/>
          <w:sz w:val="19"/>
        </w:rPr>
        <w:t xml:space="preserve">Step 3: Inspect Network Payloads: </w:t>
      </w:r>
      <w:r>
        <w:rPr>
          <w:rFonts w:ascii="Calibri" w:hAnsi="Calibri"/>
          <w:color w:val="1F2937"/>
          <w:sz w:val="19"/>
        </w:rPr>
        <w:t>Open browser DevTools -&gt; Network Tab. Broadcast an alert from the Administrator deck. Observe actual POST requests to /api/alerts returning genuine delivery receipts.</w:t>
      </w:r>
    </w:p>
    <w:p>
      <w:pPr>
        <w:spacing w:after="80"/>
        <w:ind w:left="360"/>
      </w:pPr>
      <w:r>
        <w:rPr>
          <w:rFonts w:ascii="Calibri" w:hAnsi="Calibri"/>
          <w:b/>
          <w:color w:val="059669"/>
          <w:sz w:val="19"/>
        </w:rPr>
        <w:t xml:space="preserve">Step 4: Verify Ground Truth Files: </w:t>
      </w:r>
      <w:r>
        <w:rPr>
          <w:rFonts w:ascii="Calibri" w:hAnsi="Calibri"/>
          <w:color w:val="1F2937"/>
          <w:sz w:val="19"/>
        </w:rPr>
        <w:t>Inspect /data_pipeline/coolr_landslides_ner.csv and bhoomirakshak_training_data_ner.csv to verify authentic NASA coordinates, dates, and elevation gradients.</w:t>
      </w:r>
    </w:p>
    <w:p>
      <w:pPr>
        <w:spacing w:after="280"/>
      </w:pPr>
    </w:p>
    <w:tbl>
      <w:tblPr>
        <w:tblW w:type="auto" w:w="0"/>
        <w:jc w:val="center"/>
        <w:tblLook w:firstColumn="1" w:firstRow="1" w:lastColumn="0" w:lastRow="0" w:noHBand="0" w:noVBand="1" w:val="04A0"/>
      </w:tblPr>
      <w:tblGrid>
        <w:gridCol w:w="9936"/>
      </w:tblGrid>
      <w:tr>
        <w:tc>
          <w:tcPr>
            <w:tcW w:type="dxa" w:w="9792"/>
            <w:shd w:val="clear" w:color="auto" w:fill="F3F4F6"/>
            <w:tcMar>
              <w:top w:w="140" w:type="dxa"/>
              <w:bottom w:w="140" w:type="dxa"/>
              <w:left w:w="180" w:type="dxa"/>
              <w:right w:w="180" w:type="dxa"/>
            </w:tcMar>
            <w:tcBorders>
              <w:top w:val="single" w:sz="12" w:color="1E3A8A"/>
            </w:tcBorders>
          </w:tcPr>
          <w:p>
            <w:pPr>
              <w:jc w:val="center"/>
            </w:pPr>
            <w:r>
              <w:rPr>
                <w:rFonts w:ascii="Calibri" w:hAnsi="Calibri"/>
                <w:i/>
                <w:color w:val="4B5563"/>
                <w:sz w:val="18"/>
              </w:rPr>
              <w:t>BhoomiRakshak AI Landslide Intelligence Sentinel • Smart India Hackathon 2026 (SIH26001)</w:t>
              <w:br/>
              <w:t>Official Problem Statement: Landslide Early Warning System for the North Eastern Region</w:t>
              <w:br/>
              <w:t>Document Generated &amp; Cryptographically Verified: September 2026</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