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B183" w14:textId="48B8612C" w:rsidR="00F75CEF" w:rsidRPr="00B1446C" w:rsidRDefault="312E1BE6" w:rsidP="00823F50">
      <w:pPr>
        <w:spacing w:after="100" w:afterAutospacing="1"/>
        <w:jc w:val="center"/>
        <w:rPr>
          <w:rFonts w:ascii="Times New Roman" w:hAnsi="Times New Roman" w:cs="Times New Roman"/>
          <w:b/>
          <w:bCs/>
          <w:sz w:val="56"/>
          <w:szCs w:val="56"/>
          <w:u w:val="single"/>
        </w:rPr>
      </w:pPr>
      <w:r w:rsidRPr="097CE612">
        <w:rPr>
          <w:rFonts w:ascii="Times New Roman" w:hAnsi="Times New Roman" w:cs="Times New Roman"/>
          <w:b/>
          <w:bCs/>
          <w:sz w:val="56"/>
          <w:szCs w:val="56"/>
          <w:u w:val="single"/>
        </w:rPr>
        <w:t>Financial Ratio Report</w:t>
      </w:r>
    </w:p>
    <w:p w14:paraId="0E928399" w14:textId="006DDE15" w:rsidR="00F75CEF" w:rsidRPr="00B1446C" w:rsidRDefault="472DDB32" w:rsidP="097CE612">
      <w:pPr>
        <w:spacing w:after="100" w:afterAutospacing="1"/>
        <w:jc w:val="center"/>
      </w:pPr>
      <w:r>
        <w:rPr>
          <w:noProof/>
        </w:rPr>
        <w:drawing>
          <wp:inline distT="0" distB="0" distL="0" distR="0" wp14:anchorId="508C4E98" wp14:editId="38C8F61D">
            <wp:extent cx="4905375" cy="2262783"/>
            <wp:effectExtent l="0" t="0" r="0" b="0"/>
            <wp:docPr id="1912670172" name="Picture 191267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5375" cy="2262783"/>
                    </a:xfrm>
                    <a:prstGeom prst="rect">
                      <a:avLst/>
                    </a:prstGeom>
                  </pic:spPr>
                </pic:pic>
              </a:graphicData>
            </a:graphic>
          </wp:inline>
        </w:drawing>
      </w:r>
    </w:p>
    <w:p w14:paraId="74C36342" w14:textId="51C7675D" w:rsidR="00F75CEF" w:rsidRPr="00823F50" w:rsidRDefault="00F75CEF" w:rsidP="00823F50">
      <w:pPr>
        <w:spacing w:after="100" w:afterAutospacing="1"/>
        <w:rPr>
          <w:rFonts w:ascii="Times New Roman" w:hAnsi="Times New Roman" w:cs="Times New Roman"/>
          <w:b/>
          <w:bCs/>
          <w:sz w:val="36"/>
          <w:szCs w:val="36"/>
          <w:u w:val="single"/>
        </w:rPr>
      </w:pPr>
    </w:p>
    <w:p w14:paraId="791B4919" w14:textId="2232A359" w:rsidR="00F75CEF" w:rsidRPr="00823F50" w:rsidRDefault="6F8107AC" w:rsidP="097CE612">
      <w:pPr>
        <w:spacing w:after="100" w:afterAutospacing="1"/>
        <w:jc w:val="center"/>
        <w:rPr>
          <w:rFonts w:ascii="Times New Roman" w:hAnsi="Times New Roman" w:cs="Times New Roman"/>
          <w:b/>
          <w:bCs/>
          <w:sz w:val="44"/>
          <w:szCs w:val="44"/>
          <w:u w:val="single"/>
        </w:rPr>
      </w:pPr>
      <w:r w:rsidRPr="00823F50">
        <w:rPr>
          <w:rFonts w:ascii="Times New Roman" w:hAnsi="Times New Roman" w:cs="Times New Roman"/>
          <w:b/>
          <w:bCs/>
          <w:sz w:val="44"/>
          <w:szCs w:val="44"/>
          <w:u w:val="single"/>
        </w:rPr>
        <w:t>Group No – 12</w:t>
      </w:r>
    </w:p>
    <w:p w14:paraId="3A9BBD65" w14:textId="59E3954A" w:rsidR="00F75CEF" w:rsidRPr="00823F50" w:rsidRDefault="6F8107AC" w:rsidP="00823F50">
      <w:pPr>
        <w:spacing w:after="100" w:afterAutospacing="1"/>
        <w:jc w:val="center"/>
        <w:rPr>
          <w:rFonts w:ascii="Times New Roman" w:hAnsi="Times New Roman" w:cs="Times New Roman"/>
          <w:b/>
          <w:bCs/>
          <w:sz w:val="36"/>
          <w:szCs w:val="36"/>
          <w:u w:val="single"/>
        </w:rPr>
      </w:pPr>
      <w:r w:rsidRPr="00823F50">
        <w:rPr>
          <w:rFonts w:ascii="Times New Roman" w:hAnsi="Times New Roman" w:cs="Times New Roman"/>
          <w:b/>
          <w:bCs/>
          <w:sz w:val="36"/>
          <w:szCs w:val="36"/>
          <w:u w:val="single"/>
        </w:rPr>
        <w:t>Submitted by</w:t>
      </w:r>
    </w:p>
    <w:p w14:paraId="66AF133D" w14:textId="2AAB5138" w:rsidR="00F75CEF" w:rsidRPr="00823F50" w:rsidRDefault="765D9718" w:rsidP="00823F50">
      <w:pPr>
        <w:spacing w:after="100" w:afterAutospacing="1" w:line="240" w:lineRule="auto"/>
        <w:jc w:val="center"/>
        <w:rPr>
          <w:rFonts w:ascii="Times New Roman" w:hAnsi="Times New Roman" w:cs="Times New Roman"/>
          <w:sz w:val="32"/>
          <w:szCs w:val="32"/>
        </w:rPr>
      </w:pPr>
      <w:r w:rsidRPr="00823F50">
        <w:rPr>
          <w:rFonts w:ascii="Times New Roman" w:hAnsi="Times New Roman" w:cs="Times New Roman"/>
          <w:sz w:val="32"/>
          <w:szCs w:val="32"/>
        </w:rPr>
        <w:t>Himanshu Singh</w:t>
      </w:r>
    </w:p>
    <w:p w14:paraId="49AA0AD9" w14:textId="1253C320" w:rsidR="00F75CEF" w:rsidRPr="00823F50" w:rsidRDefault="504AA733" w:rsidP="00823F50">
      <w:pPr>
        <w:spacing w:after="100" w:afterAutospacing="1" w:line="240" w:lineRule="auto"/>
        <w:jc w:val="center"/>
        <w:rPr>
          <w:rFonts w:ascii="Times New Roman" w:hAnsi="Times New Roman" w:cs="Times New Roman"/>
          <w:sz w:val="32"/>
          <w:szCs w:val="32"/>
        </w:rPr>
      </w:pPr>
      <w:r w:rsidRPr="00823F50">
        <w:rPr>
          <w:rFonts w:ascii="Times New Roman" w:hAnsi="Times New Roman" w:cs="Times New Roman"/>
          <w:sz w:val="32"/>
          <w:szCs w:val="32"/>
        </w:rPr>
        <w:t>Praduman Vaghela</w:t>
      </w:r>
    </w:p>
    <w:p w14:paraId="54760829" w14:textId="5E31805F" w:rsidR="00F75CEF" w:rsidRPr="00823F50" w:rsidRDefault="504AA733" w:rsidP="00823F50">
      <w:pPr>
        <w:spacing w:after="100" w:afterAutospacing="1" w:line="240" w:lineRule="auto"/>
        <w:jc w:val="center"/>
        <w:rPr>
          <w:rFonts w:ascii="Times New Roman" w:hAnsi="Times New Roman" w:cs="Times New Roman"/>
          <w:sz w:val="32"/>
          <w:szCs w:val="32"/>
        </w:rPr>
      </w:pPr>
      <w:r w:rsidRPr="00823F50">
        <w:rPr>
          <w:rFonts w:ascii="Times New Roman" w:hAnsi="Times New Roman" w:cs="Times New Roman"/>
          <w:sz w:val="32"/>
          <w:szCs w:val="32"/>
        </w:rPr>
        <w:t>Prathmesh B Talhande</w:t>
      </w:r>
    </w:p>
    <w:p w14:paraId="205C3E93" w14:textId="66E2DD2F" w:rsidR="00F75CEF" w:rsidRPr="00823F50" w:rsidRDefault="504AA733" w:rsidP="00823F50">
      <w:pPr>
        <w:spacing w:after="100" w:afterAutospacing="1" w:line="240" w:lineRule="auto"/>
        <w:jc w:val="center"/>
        <w:rPr>
          <w:rFonts w:ascii="Times New Roman" w:hAnsi="Times New Roman" w:cs="Times New Roman"/>
          <w:sz w:val="32"/>
          <w:szCs w:val="32"/>
        </w:rPr>
      </w:pPr>
      <w:r w:rsidRPr="00823F50">
        <w:rPr>
          <w:rFonts w:ascii="Times New Roman" w:hAnsi="Times New Roman" w:cs="Times New Roman"/>
          <w:sz w:val="32"/>
          <w:szCs w:val="32"/>
        </w:rPr>
        <w:t>Ritesh Raj</w:t>
      </w:r>
    </w:p>
    <w:p w14:paraId="26AA40CC" w14:textId="6B7C5BA1" w:rsidR="00F75CEF" w:rsidRPr="00823F50" w:rsidRDefault="504AA733" w:rsidP="00823F50">
      <w:pPr>
        <w:spacing w:after="100" w:afterAutospacing="1" w:line="240" w:lineRule="auto"/>
        <w:jc w:val="center"/>
        <w:rPr>
          <w:rFonts w:ascii="Times New Roman" w:hAnsi="Times New Roman" w:cs="Times New Roman"/>
          <w:sz w:val="32"/>
          <w:szCs w:val="32"/>
        </w:rPr>
      </w:pPr>
      <w:r w:rsidRPr="00823F50">
        <w:rPr>
          <w:rFonts w:ascii="Times New Roman" w:hAnsi="Times New Roman" w:cs="Times New Roman"/>
          <w:sz w:val="32"/>
          <w:szCs w:val="32"/>
        </w:rPr>
        <w:t>Snigdha Manocha</w:t>
      </w:r>
    </w:p>
    <w:p w14:paraId="1152E9C5" w14:textId="6B7C5BA1" w:rsidR="00F75CEF" w:rsidRPr="00B1446C" w:rsidRDefault="00F75CEF" w:rsidP="097CE612">
      <w:pPr>
        <w:spacing w:after="100" w:afterAutospacing="1"/>
        <w:jc w:val="center"/>
        <w:rPr>
          <w:rFonts w:ascii="Times New Roman" w:hAnsi="Times New Roman" w:cs="Times New Roman"/>
          <w:b/>
          <w:bCs/>
          <w:sz w:val="48"/>
          <w:szCs w:val="48"/>
          <w:u w:val="single"/>
        </w:rPr>
      </w:pPr>
    </w:p>
    <w:p w14:paraId="3F8585C1" w14:textId="1BA9CA3F" w:rsidR="00F75CEF" w:rsidRPr="00823F50" w:rsidRDefault="504AA733" w:rsidP="00823F50">
      <w:pPr>
        <w:spacing w:after="0"/>
        <w:jc w:val="center"/>
        <w:rPr>
          <w:rFonts w:ascii="Times New Roman" w:hAnsi="Times New Roman" w:cs="Times New Roman"/>
          <w:b/>
          <w:bCs/>
          <w:sz w:val="32"/>
          <w:szCs w:val="32"/>
          <w:u w:val="single"/>
        </w:rPr>
      </w:pPr>
      <w:r w:rsidRPr="00823F50">
        <w:rPr>
          <w:rFonts w:ascii="Times New Roman" w:hAnsi="Times New Roman" w:cs="Times New Roman"/>
          <w:b/>
          <w:bCs/>
          <w:sz w:val="32"/>
          <w:szCs w:val="32"/>
          <w:u w:val="single"/>
        </w:rPr>
        <w:t>Submitted To</w:t>
      </w:r>
    </w:p>
    <w:p w14:paraId="4DF896F1" w14:textId="69553B39" w:rsidR="00F75CEF" w:rsidRPr="00823F50" w:rsidRDefault="504AA733" w:rsidP="00823F50">
      <w:pPr>
        <w:spacing w:after="0"/>
        <w:jc w:val="center"/>
        <w:rPr>
          <w:rFonts w:ascii="Times New Roman" w:hAnsi="Times New Roman" w:cs="Times New Roman"/>
          <w:b/>
          <w:bCs/>
          <w:sz w:val="40"/>
          <w:szCs w:val="40"/>
        </w:rPr>
      </w:pPr>
      <w:r w:rsidRPr="00823F50">
        <w:rPr>
          <w:rFonts w:ascii="Times New Roman" w:hAnsi="Times New Roman" w:cs="Times New Roman"/>
          <w:b/>
          <w:bCs/>
          <w:sz w:val="40"/>
          <w:szCs w:val="40"/>
        </w:rPr>
        <w:t>Nisarg Joshi Sir</w:t>
      </w:r>
    </w:p>
    <w:p w14:paraId="1FE9AA41" w14:textId="13187614" w:rsidR="00F75CEF" w:rsidRPr="00B1446C" w:rsidRDefault="00F75CEF" w:rsidP="00823F50">
      <w:pPr>
        <w:spacing w:after="100" w:afterAutospacing="1"/>
        <w:rPr>
          <w:rFonts w:ascii="Times New Roman" w:hAnsi="Times New Roman" w:cs="Times New Roman"/>
          <w:b/>
          <w:bCs/>
          <w:sz w:val="48"/>
          <w:szCs w:val="48"/>
          <w:u w:val="single"/>
        </w:rPr>
      </w:pPr>
    </w:p>
    <w:p w14:paraId="23716941" w14:textId="6712EEB7" w:rsidR="00F75CEF" w:rsidRPr="00B1446C" w:rsidRDefault="17DEE8E3" w:rsidP="097CE612">
      <w:pPr>
        <w:spacing w:after="100" w:afterAutospacing="1"/>
        <w:jc w:val="center"/>
        <w:rPr>
          <w:rFonts w:ascii="Times New Roman" w:hAnsi="Times New Roman" w:cs="Times New Roman"/>
          <w:b/>
          <w:bCs/>
          <w:sz w:val="48"/>
          <w:szCs w:val="48"/>
          <w:u w:val="single"/>
        </w:rPr>
      </w:pPr>
      <w:r w:rsidRPr="097CE612">
        <w:rPr>
          <w:rFonts w:ascii="Times New Roman" w:hAnsi="Times New Roman" w:cs="Times New Roman"/>
          <w:b/>
          <w:bCs/>
          <w:sz w:val="48"/>
          <w:szCs w:val="48"/>
          <w:u w:val="single"/>
        </w:rPr>
        <w:lastRenderedPageBreak/>
        <w:t>Finance Ratios</w:t>
      </w:r>
    </w:p>
    <w:p w14:paraId="672A6659" w14:textId="77777777" w:rsidR="00F75CEF" w:rsidRDefault="00F75CEF"/>
    <w:p w14:paraId="112407B4" w14:textId="77777777" w:rsidR="00F75CEF" w:rsidRPr="00B1446C" w:rsidRDefault="00F75CEF" w:rsidP="00F75CEF">
      <w:pPr>
        <w:rPr>
          <w:b/>
          <w:bCs/>
          <w:sz w:val="28"/>
          <w:szCs w:val="28"/>
        </w:rPr>
      </w:pPr>
      <w:r w:rsidRPr="00B1446C">
        <w:rPr>
          <w:b/>
          <w:bCs/>
          <w:sz w:val="28"/>
          <w:szCs w:val="28"/>
        </w:rPr>
        <w:t>1.Liquidity Ratio:</w:t>
      </w:r>
    </w:p>
    <w:p w14:paraId="653C403B" w14:textId="77777777" w:rsidR="00B1446C" w:rsidRDefault="00F75CEF" w:rsidP="00B1446C">
      <w:pPr>
        <w:ind w:firstLine="720"/>
        <w:rPr>
          <w:rFonts w:ascii="Calibri" w:eastAsia="Times New Roman" w:hAnsi="Calibri" w:cs="Calibri"/>
          <w:color w:val="000000"/>
          <w:kern w:val="0"/>
          <w14:ligatures w14:val="none"/>
        </w:rPr>
      </w:pPr>
      <w:r w:rsidRPr="00F75CEF">
        <w:rPr>
          <w:rFonts w:ascii="Calibri" w:eastAsia="Times New Roman" w:hAnsi="Calibri" w:cs="Calibri"/>
          <w:color w:val="000000"/>
          <w:kern w:val="0"/>
          <w:sz w:val="24"/>
          <w:szCs w:val="24"/>
          <w14:ligatures w14:val="none"/>
        </w:rPr>
        <w:t xml:space="preserve">(1)  </w:t>
      </w:r>
      <w:r w:rsidR="00B1446C" w:rsidRPr="00B1446C">
        <w:rPr>
          <w:rFonts w:ascii="Calibri" w:eastAsia="Times New Roman" w:hAnsi="Calibri" w:cs="Calibri"/>
          <w:color w:val="000000"/>
          <w:kern w:val="0"/>
          <w14:ligatures w14:val="none"/>
        </w:rPr>
        <w:t xml:space="preserve">Current Ratio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Current Assests</m:t>
            </m:r>
          </m:num>
          <m:den>
            <m:r>
              <w:rPr>
                <w:rFonts w:ascii="Cambria Math" w:eastAsia="Times New Roman" w:hAnsi="Cambria Math" w:cs="Calibri"/>
                <w:color w:val="000000"/>
                <w:kern w:val="0"/>
                <w14:ligatures w14:val="none"/>
              </w:rPr>
              <m:t>Current Liabilities</m:t>
            </m:r>
          </m:den>
        </m:f>
      </m:oMath>
    </w:p>
    <w:p w14:paraId="0A37501D" w14:textId="77777777" w:rsidR="00402A01" w:rsidRDefault="00402A01" w:rsidP="00B1446C">
      <w:pPr>
        <w:ind w:firstLine="720"/>
        <w:rPr>
          <w:rFonts w:ascii="Calibri" w:eastAsia="Times New Roman" w:hAnsi="Calibri" w:cs="Calibri"/>
          <w:color w:val="000000"/>
          <w:kern w:val="0"/>
          <w14:ligatures w14:val="none"/>
        </w:rPr>
      </w:pPr>
    </w:p>
    <w:p w14:paraId="230F34BE" w14:textId="77777777" w:rsidR="00402A01" w:rsidRDefault="00B1446C" w:rsidP="00402A01">
      <w:pPr>
        <w:ind w:firstLine="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(2)  Quick Ratio</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 xml:space="preserve">=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Quick Assests</m:t>
            </m:r>
          </m:num>
          <m:den>
            <m:r>
              <w:rPr>
                <w:rFonts w:ascii="Cambria Math" w:eastAsia="Times New Roman" w:hAnsi="Cambria Math" w:cs="Calibri"/>
                <w:color w:val="000000"/>
                <w:kern w:val="0"/>
                <w14:ligatures w14:val="none"/>
              </w:rPr>
              <m:t>Current Liabilities</m:t>
            </m:r>
          </m:den>
        </m:f>
      </m:oMath>
    </w:p>
    <w:p w14:paraId="52952ADD" w14:textId="5F125DE2" w:rsidR="00B1446C" w:rsidRPr="00C1742A" w:rsidRDefault="00B1446C" w:rsidP="008D20BB">
      <w:pPr>
        <w:pStyle w:val="ListParagraph"/>
        <w:numPr>
          <w:ilvl w:val="0"/>
          <w:numId w:val="10"/>
        </w:numPr>
        <w:rPr>
          <w:rFonts w:ascii="Calibri" w:eastAsia="Times New Roman" w:hAnsi="Calibri" w:cs="Calibri"/>
          <w:i/>
          <w:iCs/>
          <w:color w:val="000000"/>
          <w:kern w:val="0"/>
          <w14:ligatures w14:val="none"/>
        </w:rPr>
      </w:pPr>
      <w:r w:rsidRPr="00C1742A">
        <w:rPr>
          <w:rFonts w:ascii="Calibri" w:eastAsia="Times New Roman" w:hAnsi="Calibri" w:cs="Calibri"/>
          <w:i/>
          <w:iCs/>
          <w:color w:val="000000"/>
          <w:kern w:val="0"/>
          <w:sz w:val="20"/>
          <w:szCs w:val="20"/>
          <w14:ligatures w14:val="none"/>
        </w:rPr>
        <w:t xml:space="preserve">Quick Assets </w:t>
      </w:r>
      <w:proofErr w:type="gramStart"/>
      <w:r w:rsidRPr="00C1742A">
        <w:rPr>
          <w:rFonts w:ascii="Calibri" w:eastAsia="Times New Roman" w:hAnsi="Calibri" w:cs="Calibri"/>
          <w:i/>
          <w:iCs/>
          <w:color w:val="000000"/>
          <w:kern w:val="0"/>
          <w:sz w:val="20"/>
          <w:szCs w:val="20"/>
          <w14:ligatures w14:val="none"/>
        </w:rPr>
        <w:t xml:space="preserve">=  </w:t>
      </w:r>
      <w:r w:rsidR="00823F50">
        <w:rPr>
          <w:rFonts w:ascii="Calibri" w:eastAsia="Times New Roman" w:hAnsi="Calibri" w:cs="Calibri"/>
          <w:i/>
          <w:iCs/>
          <w:color w:val="000000"/>
          <w:kern w:val="0"/>
          <w:sz w:val="20"/>
          <w:szCs w:val="20"/>
          <w14:ligatures w14:val="none"/>
        </w:rPr>
        <w:t>Total</w:t>
      </w:r>
      <w:proofErr w:type="gramEnd"/>
      <w:r w:rsidR="00823F50">
        <w:rPr>
          <w:rFonts w:ascii="Calibri" w:eastAsia="Times New Roman" w:hAnsi="Calibri" w:cs="Calibri"/>
          <w:i/>
          <w:iCs/>
          <w:color w:val="000000"/>
          <w:kern w:val="0"/>
          <w:sz w:val="20"/>
          <w:szCs w:val="20"/>
          <w14:ligatures w14:val="none"/>
        </w:rPr>
        <w:t xml:space="preserve"> current </w:t>
      </w:r>
      <w:r w:rsidR="008F4A2D">
        <w:rPr>
          <w:rFonts w:ascii="Calibri" w:eastAsia="Times New Roman" w:hAnsi="Calibri" w:cs="Calibri"/>
          <w:i/>
          <w:iCs/>
          <w:color w:val="000000"/>
          <w:kern w:val="0"/>
          <w:sz w:val="20"/>
          <w:szCs w:val="20"/>
          <w14:ligatures w14:val="none"/>
        </w:rPr>
        <w:t>asset</w:t>
      </w:r>
      <w:r w:rsidR="00823F50">
        <w:rPr>
          <w:rFonts w:ascii="Calibri" w:eastAsia="Times New Roman" w:hAnsi="Calibri" w:cs="Calibri"/>
          <w:i/>
          <w:iCs/>
          <w:color w:val="000000"/>
          <w:kern w:val="0"/>
          <w:sz w:val="20"/>
          <w:szCs w:val="20"/>
          <w14:ligatures w14:val="none"/>
        </w:rPr>
        <w:t>s - Inventory</w:t>
      </w:r>
    </w:p>
    <w:p w14:paraId="5DAB6C7B" w14:textId="77777777" w:rsidR="00402A01" w:rsidRPr="008D20BB" w:rsidRDefault="00402A01" w:rsidP="00402A01">
      <w:pPr>
        <w:pStyle w:val="ListParagraph"/>
        <w:ind w:left="1791"/>
        <w:rPr>
          <w:rFonts w:ascii="Calibri" w:eastAsia="Times New Roman" w:hAnsi="Calibri" w:cs="Calibri"/>
          <w:color w:val="000000"/>
          <w:kern w:val="0"/>
          <w14:ligatures w14:val="none"/>
        </w:rPr>
      </w:pPr>
    </w:p>
    <w:p w14:paraId="6670BC85" w14:textId="77777777" w:rsidR="00B1446C" w:rsidRDefault="00B1446C" w:rsidP="00B1446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Pr="00B1446C">
        <w:rPr>
          <w:rFonts w:ascii="Calibri" w:eastAsia="Times New Roman" w:hAnsi="Calibri" w:cs="Calibri"/>
          <w:color w:val="000000"/>
          <w:kern w:val="0"/>
          <w14:ligatures w14:val="none"/>
        </w:rPr>
        <w:t xml:space="preserve">(3)   Cash Ratio / Absolute Cash Ratio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Cash &amp; Bank</m:t>
            </m:r>
          </m:num>
          <m:den>
            <m:r>
              <w:rPr>
                <w:rFonts w:ascii="Cambria Math" w:eastAsia="Times New Roman" w:hAnsi="Cambria Math" w:cs="Calibri"/>
                <w:color w:val="000000"/>
                <w:kern w:val="0"/>
                <w14:ligatures w14:val="none"/>
              </w:rPr>
              <m:t>Current Liabilities</m:t>
            </m:r>
          </m:den>
        </m:f>
      </m:oMath>
    </w:p>
    <w:p w14:paraId="02EB378F" w14:textId="77777777" w:rsidR="00402A01" w:rsidRPr="00B1446C" w:rsidRDefault="00402A01" w:rsidP="00B1446C">
      <w:pPr>
        <w:rPr>
          <w:rFonts w:ascii="Calibri" w:eastAsia="Times New Roman" w:hAnsi="Calibri" w:cs="Calibri"/>
          <w:color w:val="000000"/>
          <w:kern w:val="0"/>
          <w14:ligatures w14:val="none"/>
        </w:rPr>
      </w:pPr>
    </w:p>
    <w:p w14:paraId="276C0D05" w14:textId="77777777" w:rsidR="00B1446C" w:rsidRDefault="00B1446C" w:rsidP="00B1446C">
      <w:pPr>
        <w:rPr>
          <w:rFonts w:ascii="Calibri" w:eastAsia="Times New Roman" w:hAnsi="Calibri" w:cs="Calibri"/>
          <w:b/>
          <w:bCs/>
          <w:color w:val="000000"/>
          <w:kern w:val="0"/>
          <w:sz w:val="28"/>
          <w:szCs w:val="28"/>
          <w14:ligatures w14:val="none"/>
        </w:rPr>
      </w:pPr>
      <w:r w:rsidRPr="00B1446C">
        <w:rPr>
          <w:rFonts w:ascii="Calibri" w:eastAsia="Times New Roman" w:hAnsi="Calibri" w:cs="Calibri"/>
          <w:b/>
          <w:bCs/>
          <w:color w:val="000000"/>
          <w:kern w:val="0"/>
          <w:sz w:val="28"/>
          <w:szCs w:val="28"/>
          <w14:ligatures w14:val="none"/>
        </w:rPr>
        <w:t>2.Profitability Ratio:</w:t>
      </w:r>
    </w:p>
    <w:p w14:paraId="623F2182" w14:textId="77777777" w:rsidR="00B1446C" w:rsidRDefault="00B1446C" w:rsidP="00B1446C">
      <w:pPr>
        <w:rPr>
          <w:rFonts w:ascii="Calibri" w:eastAsia="Times New Roman" w:hAnsi="Calibri" w:cs="Calibri"/>
          <w:color w:val="000000"/>
          <w:kern w:val="0"/>
          <w14:ligatures w14:val="none"/>
        </w:rPr>
      </w:pPr>
      <w:r>
        <w:rPr>
          <w:rFonts w:ascii="Calibri" w:eastAsia="Times New Roman" w:hAnsi="Calibri" w:cs="Calibri"/>
          <w:b/>
          <w:bCs/>
          <w:color w:val="000000"/>
          <w:kern w:val="0"/>
          <w:sz w:val="28"/>
          <w:szCs w:val="28"/>
          <w14:ligatures w14:val="none"/>
        </w:rPr>
        <w:tab/>
      </w:r>
      <w:r w:rsidRPr="00B1446C">
        <w:rPr>
          <w:rFonts w:ascii="Calibri" w:eastAsia="Times New Roman" w:hAnsi="Calibri" w:cs="Calibri"/>
          <w:color w:val="000000"/>
          <w:kern w:val="0"/>
          <w14:ligatures w14:val="none"/>
        </w:rPr>
        <w:t>(1)   Gross Profit Margin</w:t>
      </w:r>
      <w:r w:rsidR="00402A01">
        <w:rPr>
          <w:rFonts w:ascii="Calibri" w:eastAsia="Times New Roman" w:hAnsi="Calibri" w:cs="Calibri"/>
          <w:color w:val="000000"/>
          <w:kern w:val="0"/>
          <w14:ligatures w14:val="none"/>
        </w:rPr>
        <w:t xml:space="preserve"> </w:t>
      </w:r>
      <w:r w:rsidR="008D20BB">
        <w:rPr>
          <w:rFonts w:ascii="Calibri" w:eastAsia="Times New Roman" w:hAnsi="Calibri" w:cs="Calibri"/>
          <w:color w:val="000000"/>
          <w:kern w:val="0"/>
          <w14:ligatures w14:val="none"/>
        </w:rPr>
        <w:t xml:space="preserve">= </w:t>
      </w:r>
      <w:r w:rsidR="008D20BB" w:rsidRPr="008D20BB">
        <w:rPr>
          <w:rFonts w:ascii="Cambria Math" w:eastAsia="Times New Roman" w:hAnsi="Cambria Math" w:cs="Calibri"/>
          <w:i/>
          <w:color w:val="000000"/>
          <w:kern w:val="0"/>
          <w14:ligatures w14:val="none"/>
        </w:rPr>
        <w:t xml:space="preserve">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Gross Profit</m:t>
            </m:r>
          </m:num>
          <m:den>
            <m:r>
              <w:rPr>
                <w:rFonts w:ascii="Cambria Math" w:eastAsia="Times New Roman" w:hAnsi="Cambria Math" w:cs="Calibri"/>
                <w:color w:val="000000"/>
                <w:kern w:val="0"/>
                <w14:ligatures w14:val="none"/>
              </w:rPr>
              <m:t>Net Sales</m:t>
            </m:r>
          </m:den>
        </m:f>
      </m:oMath>
      <w:r w:rsidR="008D20BB" w:rsidRPr="008D20BB">
        <w:rPr>
          <w:rFonts w:ascii="Calibri" w:eastAsia="Times New Roman" w:hAnsi="Calibri" w:cs="Calibri"/>
          <w:color w:val="000000"/>
          <w:kern w:val="0"/>
          <w14:ligatures w14:val="none"/>
        </w:rPr>
        <w:t xml:space="preserve"> </w:t>
      </w:r>
      <w:r w:rsidR="00402A01">
        <w:rPr>
          <w:rFonts w:ascii="Calibri" w:eastAsia="Times New Roman" w:hAnsi="Calibri" w:cs="Calibri"/>
          <w:color w:val="000000"/>
          <w:kern w:val="0"/>
          <w14:ligatures w14:val="none"/>
        </w:rPr>
        <w:t xml:space="preserve"> </w:t>
      </w:r>
      <w:r w:rsidR="008D20BB"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8D20BB" w:rsidRPr="00402A01">
        <w:rPr>
          <w:rFonts w:ascii="Constantia" w:eastAsia="Times New Roman" w:hAnsi="Constantia" w:cs="Calibri"/>
          <w:i/>
          <w:iCs/>
          <w:color w:val="000000"/>
          <w:kern w:val="0"/>
          <w14:ligatures w14:val="none"/>
        </w:rPr>
        <w:t>100</w:t>
      </w:r>
    </w:p>
    <w:p w14:paraId="2980BFDA" w14:textId="77777777" w:rsidR="008D20BB" w:rsidRPr="00C1742A" w:rsidRDefault="008D20BB" w:rsidP="008D20BB">
      <w:pPr>
        <w:pStyle w:val="ListParagraph"/>
        <w:numPr>
          <w:ilvl w:val="0"/>
          <w:numId w:val="10"/>
        </w:numPr>
        <w:rPr>
          <w:rFonts w:ascii="Calibri" w:eastAsia="Times New Roman" w:hAnsi="Calibri" w:cs="Calibri"/>
          <w:i/>
          <w:iCs/>
          <w:color w:val="000000"/>
          <w:kern w:val="0"/>
          <w14:ligatures w14:val="none"/>
        </w:rPr>
      </w:pPr>
      <w:r w:rsidRPr="00C1742A">
        <w:rPr>
          <w:rFonts w:ascii="Calibri" w:eastAsia="Times New Roman" w:hAnsi="Calibri" w:cs="Calibri"/>
          <w:i/>
          <w:iCs/>
          <w:color w:val="000000"/>
          <w:kern w:val="0"/>
          <w:sz w:val="20"/>
          <w:szCs w:val="20"/>
          <w14:ligatures w14:val="none"/>
        </w:rPr>
        <w:t>Gross Profit = Gross Sales - Cost of Goods sold</w:t>
      </w:r>
    </w:p>
    <w:p w14:paraId="6A05A809" w14:textId="77777777" w:rsidR="00402A01" w:rsidRPr="00C1742A" w:rsidRDefault="00402A01" w:rsidP="00402A01">
      <w:pPr>
        <w:pStyle w:val="ListParagraph"/>
        <w:ind w:left="1791"/>
        <w:rPr>
          <w:rFonts w:ascii="Calibri" w:eastAsia="Times New Roman" w:hAnsi="Calibri" w:cs="Calibri"/>
          <w:i/>
          <w:iCs/>
          <w:color w:val="000000"/>
          <w:kern w:val="0"/>
          <w14:ligatures w14:val="none"/>
        </w:rPr>
      </w:pPr>
    </w:p>
    <w:p w14:paraId="6B65736D" w14:textId="77777777" w:rsidR="00402A01" w:rsidRPr="00C1742A" w:rsidRDefault="008D20BB" w:rsidP="008D20BB">
      <w:pPr>
        <w:pStyle w:val="ListParagraph"/>
        <w:numPr>
          <w:ilvl w:val="0"/>
          <w:numId w:val="10"/>
        </w:numPr>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COGS = Increase / Decrease in stock + </w:t>
      </w:r>
    </w:p>
    <w:p w14:paraId="500C0C6F" w14:textId="77777777" w:rsidR="00402A01" w:rsidRPr="00C1742A" w:rsidRDefault="008D20BB" w:rsidP="00402A01">
      <w:pPr>
        <w:pStyle w:val="ListParagraph"/>
        <w:ind w:left="2160" w:firstLine="369"/>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Raw material consumed + </w:t>
      </w:r>
    </w:p>
    <w:p w14:paraId="12A9BD8F" w14:textId="77777777" w:rsidR="00402A01" w:rsidRPr="00C1742A" w:rsidRDefault="008D20BB" w:rsidP="00402A01">
      <w:pPr>
        <w:pStyle w:val="ListParagraph"/>
        <w:ind w:left="2160" w:firstLine="369"/>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Power and fuel cost + </w:t>
      </w:r>
    </w:p>
    <w:p w14:paraId="65BC7FC4" w14:textId="77777777" w:rsidR="00402A01" w:rsidRPr="00C1742A" w:rsidRDefault="008D20BB" w:rsidP="00402A01">
      <w:pPr>
        <w:pStyle w:val="ListParagraph"/>
        <w:ind w:left="2160" w:firstLine="369"/>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Employee Cost + </w:t>
      </w:r>
    </w:p>
    <w:p w14:paraId="1EE76612" w14:textId="77777777" w:rsidR="008D20BB" w:rsidRPr="00C1742A" w:rsidRDefault="008D20BB" w:rsidP="00402A01">
      <w:pPr>
        <w:pStyle w:val="ListParagraph"/>
        <w:ind w:left="2160" w:firstLine="369"/>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Other manufacturing Expenses</w:t>
      </w:r>
    </w:p>
    <w:p w14:paraId="5A39BBE3" w14:textId="77777777" w:rsidR="00402A01" w:rsidRPr="00B1446C" w:rsidRDefault="00402A01" w:rsidP="00402A01">
      <w:pPr>
        <w:pStyle w:val="ListParagraph"/>
        <w:ind w:left="2160" w:firstLine="369"/>
        <w:rPr>
          <w:rFonts w:ascii="Calibri" w:eastAsia="Times New Roman" w:hAnsi="Calibri" w:cs="Calibri"/>
          <w:color w:val="000000"/>
          <w:kern w:val="0"/>
          <w14:ligatures w14:val="none"/>
        </w:rPr>
      </w:pPr>
    </w:p>
    <w:p w14:paraId="435FDABA" w14:textId="77777777" w:rsidR="00B1446C" w:rsidRDefault="00B1446C" w:rsidP="00B1446C">
      <w:pPr>
        <w:spacing w:after="0" w:line="240" w:lineRule="auto"/>
        <w:ind w:left="720"/>
        <w:rPr>
          <w:rFonts w:ascii="Constantia" w:eastAsia="Times New Roman" w:hAnsi="Constantia" w:cs="Calibri"/>
          <w:i/>
          <w:iCs/>
          <w:color w:val="000000"/>
          <w:kern w:val="0"/>
          <w14:ligatures w14:val="none"/>
        </w:rPr>
      </w:pPr>
      <w:r w:rsidRPr="00B1446C">
        <w:rPr>
          <w:rFonts w:ascii="Calibri" w:eastAsia="Times New Roman" w:hAnsi="Calibri" w:cs="Calibri"/>
          <w:color w:val="000000"/>
          <w:kern w:val="0"/>
          <w14:ligatures w14:val="none"/>
        </w:rPr>
        <w:t>(2)  Operating Profit Margin</w:t>
      </w:r>
      <w:r w:rsidR="00402A01">
        <w:rPr>
          <w:rFonts w:ascii="Calibri" w:eastAsia="Times New Roman" w:hAnsi="Calibri" w:cs="Calibri"/>
          <w:color w:val="000000"/>
          <w:kern w:val="0"/>
          <w14:ligatures w14:val="none"/>
        </w:rPr>
        <w:t xml:space="preserve"> </w:t>
      </w:r>
      <w:r w:rsidR="008D20BB">
        <w:rPr>
          <w:rFonts w:ascii="Calibri" w:eastAsia="Times New Roman" w:hAnsi="Calibri" w:cs="Calibri"/>
          <w:color w:val="000000"/>
          <w:kern w:val="0"/>
          <w14:ligatures w14:val="none"/>
        </w:rPr>
        <w:t xml:space="preserve">=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Operating Profit</m:t>
            </m:r>
          </m:num>
          <m:den>
            <m:r>
              <w:rPr>
                <w:rFonts w:ascii="Cambria Math" w:eastAsia="Times New Roman" w:hAnsi="Cambria Math" w:cs="Calibri"/>
                <w:color w:val="000000"/>
                <w:kern w:val="0"/>
                <w14:ligatures w14:val="none"/>
              </w:rPr>
              <m:t>Net Sales</m:t>
            </m:r>
          </m:den>
        </m:f>
      </m:oMath>
      <w:r w:rsidR="00402A01">
        <w:rPr>
          <w:rFonts w:ascii="Calibri" w:eastAsia="Times New Roman" w:hAnsi="Calibri" w:cs="Calibri"/>
          <w:color w:val="000000"/>
          <w:kern w:val="0"/>
          <w14:ligatures w14:val="none"/>
        </w:rPr>
        <w:t xml:space="preserve"> </w:t>
      </w:r>
      <w:r w:rsidR="00402A01"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402A01" w:rsidRPr="00402A01">
        <w:rPr>
          <w:rFonts w:ascii="Constantia" w:eastAsia="Times New Roman" w:hAnsi="Constantia" w:cs="Calibri"/>
          <w:i/>
          <w:iCs/>
          <w:color w:val="000000"/>
          <w:kern w:val="0"/>
          <w14:ligatures w14:val="none"/>
        </w:rPr>
        <w:t>100</w:t>
      </w:r>
    </w:p>
    <w:p w14:paraId="41C8F396" w14:textId="77777777" w:rsidR="00402A01" w:rsidRDefault="00402A01" w:rsidP="00B1446C">
      <w:pPr>
        <w:spacing w:after="0" w:line="240" w:lineRule="auto"/>
        <w:ind w:left="720"/>
        <w:rPr>
          <w:rFonts w:ascii="Constantia" w:eastAsia="Times New Roman" w:hAnsi="Constantia" w:cs="Calibri"/>
          <w:i/>
          <w:iCs/>
          <w:color w:val="000000"/>
          <w:kern w:val="0"/>
          <w14:ligatures w14:val="none"/>
        </w:rPr>
      </w:pPr>
    </w:p>
    <w:p w14:paraId="72A3D3EC" w14:textId="77777777" w:rsidR="00402A01" w:rsidRPr="00B1446C" w:rsidRDefault="00402A01" w:rsidP="00B1446C">
      <w:pPr>
        <w:spacing w:after="0" w:line="240" w:lineRule="auto"/>
        <w:ind w:left="720"/>
        <w:rPr>
          <w:rFonts w:ascii="Calibri" w:eastAsia="Times New Roman" w:hAnsi="Calibri" w:cs="Calibri"/>
          <w:color w:val="000000"/>
          <w:kern w:val="0"/>
          <w14:ligatures w14:val="none"/>
        </w:rPr>
      </w:pPr>
    </w:p>
    <w:p w14:paraId="116D0575" w14:textId="77777777" w:rsidR="00402A01" w:rsidRDefault="00B1446C" w:rsidP="00402A01">
      <w:pPr>
        <w:spacing w:after="0" w:line="240" w:lineRule="auto"/>
        <w:ind w:left="720"/>
        <w:rPr>
          <w:rFonts w:ascii="Constantia" w:eastAsia="Times New Roman" w:hAnsi="Constantia" w:cs="Calibri"/>
          <w:i/>
          <w:iCs/>
          <w:color w:val="000000"/>
          <w:kern w:val="0"/>
          <w14:ligatures w14:val="none"/>
        </w:rPr>
      </w:pPr>
      <w:r w:rsidRPr="00B1446C">
        <w:rPr>
          <w:rFonts w:ascii="Calibri" w:eastAsia="Times New Roman" w:hAnsi="Calibri" w:cs="Calibri"/>
          <w:color w:val="000000"/>
          <w:kern w:val="0"/>
          <w14:ligatures w14:val="none"/>
        </w:rPr>
        <w:t>(3)  EBIT Margin / PBIT Margin</w:t>
      </w:r>
      <w:r w:rsidR="00402A01">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EBIT</m:t>
            </m:r>
          </m:num>
          <m:den>
            <m:r>
              <w:rPr>
                <w:rFonts w:ascii="Cambria Math" w:eastAsia="Times New Roman" w:hAnsi="Cambria Math" w:cs="Calibri"/>
                <w:color w:val="000000"/>
                <w:kern w:val="0"/>
                <w14:ligatures w14:val="none"/>
              </w:rPr>
              <m:t>Net Sales</m:t>
            </m:r>
          </m:den>
        </m:f>
      </m:oMath>
      <w:r w:rsidR="00402A01">
        <w:rPr>
          <w:rFonts w:ascii="Calibri" w:eastAsia="Times New Roman" w:hAnsi="Calibri" w:cs="Calibri"/>
          <w:color w:val="000000"/>
          <w:kern w:val="0"/>
          <w14:ligatures w14:val="none"/>
        </w:rPr>
        <w:t xml:space="preserve"> </w:t>
      </w:r>
      <w:r w:rsidR="00402A01"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402A01" w:rsidRPr="00402A01">
        <w:rPr>
          <w:rFonts w:ascii="Constantia" w:eastAsia="Times New Roman" w:hAnsi="Constantia" w:cs="Calibri"/>
          <w:i/>
          <w:iCs/>
          <w:color w:val="000000"/>
          <w:kern w:val="0"/>
          <w14:ligatures w14:val="none"/>
        </w:rPr>
        <w:t>100</w:t>
      </w:r>
    </w:p>
    <w:p w14:paraId="0D0B940D" w14:textId="77777777" w:rsidR="00402A01" w:rsidRPr="00C1742A" w:rsidRDefault="00402A01" w:rsidP="00402A01">
      <w:pPr>
        <w:spacing w:after="0" w:line="240" w:lineRule="auto"/>
        <w:ind w:left="720"/>
        <w:rPr>
          <w:rFonts w:ascii="Constantia" w:eastAsia="Times New Roman" w:hAnsi="Constantia" w:cs="Calibri"/>
          <w:i/>
          <w:iCs/>
          <w:color w:val="000000"/>
          <w:kern w:val="0"/>
          <w14:ligatures w14:val="none"/>
        </w:rPr>
      </w:pPr>
    </w:p>
    <w:p w14:paraId="3C4A4FFC" w14:textId="77777777" w:rsidR="00402A01" w:rsidRPr="00C1742A" w:rsidRDefault="00402A01" w:rsidP="00402A01">
      <w:pPr>
        <w:pStyle w:val="ListParagraph"/>
        <w:numPr>
          <w:ilvl w:val="0"/>
          <w:numId w:val="11"/>
        </w:numPr>
        <w:spacing w:after="0" w:line="240" w:lineRule="auto"/>
        <w:rPr>
          <w:rFonts w:ascii="Calibri" w:eastAsia="Times New Roman" w:hAnsi="Calibri" w:cs="Calibri"/>
          <w:i/>
          <w:iCs/>
          <w:color w:val="000000"/>
          <w:kern w:val="0"/>
          <w14:ligatures w14:val="none"/>
        </w:rPr>
      </w:pPr>
      <w:r w:rsidRPr="00C1742A">
        <w:rPr>
          <w:rFonts w:ascii="Calibri" w:eastAsia="Times New Roman" w:hAnsi="Calibri" w:cs="Calibri"/>
          <w:i/>
          <w:iCs/>
          <w:color w:val="000000"/>
          <w:kern w:val="0"/>
          <w:sz w:val="20"/>
          <w:szCs w:val="20"/>
          <w14:ligatures w14:val="none"/>
        </w:rPr>
        <w:t xml:space="preserve">EBIT = </w:t>
      </w:r>
      <w:r w:rsidRPr="00C1742A">
        <w:rPr>
          <w:rFonts w:eastAsia="Times New Roman" w:cstheme="minorHAnsi"/>
          <w:i/>
          <w:iCs/>
          <w:color w:val="000000"/>
          <w:kern w:val="0"/>
          <w:sz w:val="20"/>
          <w:szCs w:val="20"/>
          <w14:ligatures w14:val="none"/>
        </w:rPr>
        <w:t>Operating Profit – Depreciation</w:t>
      </w:r>
    </w:p>
    <w:p w14:paraId="0E27B00A" w14:textId="77777777" w:rsidR="00402A01" w:rsidRPr="00402A01" w:rsidRDefault="00402A01" w:rsidP="00402A01">
      <w:pPr>
        <w:pStyle w:val="ListParagraph"/>
        <w:spacing w:after="0" w:line="240" w:lineRule="auto"/>
        <w:ind w:left="1800"/>
        <w:rPr>
          <w:rFonts w:ascii="Calibri" w:eastAsia="Times New Roman" w:hAnsi="Calibri" w:cs="Calibri"/>
          <w:color w:val="000000"/>
          <w:kern w:val="0"/>
          <w14:ligatures w14:val="none"/>
        </w:rPr>
      </w:pPr>
    </w:p>
    <w:p w14:paraId="60061E4C"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p>
    <w:p w14:paraId="584430E8" w14:textId="77777777" w:rsidR="00402A01" w:rsidRDefault="00B1446C" w:rsidP="00402A01">
      <w:pPr>
        <w:spacing w:after="0" w:line="240" w:lineRule="auto"/>
        <w:ind w:left="720"/>
        <w:rPr>
          <w:rFonts w:ascii="Constantia" w:eastAsia="Times New Roman" w:hAnsi="Constantia" w:cs="Calibri"/>
          <w:i/>
          <w:iCs/>
          <w:color w:val="000000"/>
          <w:kern w:val="0"/>
          <w14:ligatures w14:val="none"/>
        </w:rPr>
      </w:pPr>
      <w:r w:rsidRPr="00B1446C">
        <w:rPr>
          <w:rFonts w:ascii="Calibri" w:eastAsia="Times New Roman" w:hAnsi="Calibri" w:cs="Calibri"/>
          <w:color w:val="000000"/>
          <w:kern w:val="0"/>
          <w14:ligatures w14:val="none"/>
        </w:rPr>
        <w:t>(4)  EBT / PBT Margin</w:t>
      </w:r>
      <w:r w:rsidR="00402A01">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EBT</m:t>
            </m:r>
          </m:num>
          <m:den>
            <m:r>
              <w:rPr>
                <w:rFonts w:ascii="Cambria Math" w:eastAsia="Times New Roman" w:hAnsi="Cambria Math" w:cs="Calibri"/>
                <w:color w:val="000000"/>
                <w:kern w:val="0"/>
                <w14:ligatures w14:val="none"/>
              </w:rPr>
              <m:t>Net Sales</m:t>
            </m:r>
          </m:den>
        </m:f>
      </m:oMath>
      <w:r w:rsidR="00402A01">
        <w:rPr>
          <w:rFonts w:ascii="Calibri" w:eastAsia="Times New Roman" w:hAnsi="Calibri" w:cs="Calibri"/>
          <w:color w:val="000000"/>
          <w:kern w:val="0"/>
          <w14:ligatures w14:val="none"/>
        </w:rPr>
        <w:t xml:space="preserve"> </w:t>
      </w:r>
      <w:r w:rsidR="00402A01"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402A01" w:rsidRPr="00402A01">
        <w:rPr>
          <w:rFonts w:ascii="Constantia" w:eastAsia="Times New Roman" w:hAnsi="Constantia" w:cs="Calibri"/>
          <w:i/>
          <w:iCs/>
          <w:color w:val="000000"/>
          <w:kern w:val="0"/>
          <w14:ligatures w14:val="none"/>
        </w:rPr>
        <w:t>100</w:t>
      </w:r>
    </w:p>
    <w:p w14:paraId="44EAFD9C" w14:textId="77777777" w:rsidR="00402A01" w:rsidRDefault="00402A01" w:rsidP="00402A01">
      <w:pPr>
        <w:spacing w:after="0" w:line="240" w:lineRule="auto"/>
        <w:ind w:left="720"/>
        <w:rPr>
          <w:rFonts w:ascii="Constantia" w:eastAsia="Times New Roman" w:hAnsi="Constantia" w:cs="Calibri"/>
          <w:i/>
          <w:iCs/>
          <w:color w:val="000000"/>
          <w:kern w:val="0"/>
          <w14:ligatures w14:val="none"/>
        </w:rPr>
      </w:pPr>
    </w:p>
    <w:p w14:paraId="19C4762F" w14:textId="77777777" w:rsidR="00402A01" w:rsidRPr="0015415E" w:rsidRDefault="00402A01" w:rsidP="00402A01">
      <w:pPr>
        <w:pStyle w:val="ListParagraph"/>
        <w:numPr>
          <w:ilvl w:val="0"/>
          <w:numId w:val="11"/>
        </w:numPr>
        <w:spacing w:after="0" w:line="240" w:lineRule="auto"/>
        <w:rPr>
          <w:rFonts w:ascii="Bookman Old Style" w:eastAsia="Times New Roman" w:hAnsi="Bookman Old Style" w:cs="Calibri"/>
          <w:i/>
          <w:iCs/>
          <w:color w:val="000000"/>
          <w:kern w:val="0"/>
          <w:sz w:val="20"/>
          <w:szCs w:val="20"/>
          <w14:ligatures w14:val="none"/>
        </w:rPr>
      </w:pPr>
      <w:r w:rsidRPr="00855CFB">
        <w:rPr>
          <w:rFonts w:ascii="Calibri" w:eastAsia="Times New Roman" w:hAnsi="Calibri" w:cs="Calibri"/>
          <w:color w:val="000000"/>
          <w:kern w:val="0"/>
          <w:sz w:val="20"/>
          <w:szCs w:val="20"/>
          <w14:ligatures w14:val="none"/>
        </w:rPr>
        <w:t xml:space="preserve">EBT = </w:t>
      </w:r>
      <w:r w:rsidRPr="00855CFB">
        <w:rPr>
          <w:rFonts w:eastAsia="Times New Roman" w:cstheme="minorHAnsi"/>
          <w:i/>
          <w:iCs/>
          <w:color w:val="000000"/>
          <w:kern w:val="0"/>
          <w:sz w:val="20"/>
          <w:szCs w:val="20"/>
          <w14:ligatures w14:val="none"/>
        </w:rPr>
        <w:t>EBIT - Interest</w:t>
      </w:r>
    </w:p>
    <w:p w14:paraId="4B94D5A5"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p>
    <w:p w14:paraId="6100597D" w14:textId="77777777" w:rsidR="00402A01" w:rsidRPr="00B1446C" w:rsidRDefault="00B1446C" w:rsidP="00402A01">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(5)  Net Profit Margin</w:t>
      </w:r>
      <w:r w:rsidR="00402A01">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Profit after Tax</m:t>
            </m:r>
          </m:num>
          <m:den>
            <m:r>
              <w:rPr>
                <w:rFonts w:ascii="Cambria Math" w:eastAsia="Times New Roman" w:hAnsi="Cambria Math" w:cs="Calibri"/>
                <w:color w:val="000000"/>
                <w:kern w:val="0"/>
                <w14:ligatures w14:val="none"/>
              </w:rPr>
              <m:t>Net Sales</m:t>
            </m:r>
          </m:den>
        </m:f>
      </m:oMath>
      <w:r w:rsidR="00402A01">
        <w:rPr>
          <w:rFonts w:ascii="Calibri" w:eastAsia="Times New Roman" w:hAnsi="Calibri" w:cs="Calibri"/>
          <w:color w:val="000000"/>
          <w:kern w:val="0"/>
          <w14:ligatures w14:val="none"/>
        </w:rPr>
        <w:t xml:space="preserve"> </w:t>
      </w:r>
      <w:r w:rsidR="00402A01"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402A01" w:rsidRPr="00402A01">
        <w:rPr>
          <w:rFonts w:ascii="Constantia" w:eastAsia="Times New Roman" w:hAnsi="Constantia" w:cs="Calibri"/>
          <w:i/>
          <w:iCs/>
          <w:color w:val="000000"/>
          <w:kern w:val="0"/>
          <w14:ligatures w14:val="none"/>
        </w:rPr>
        <w:t>100</w:t>
      </w:r>
    </w:p>
    <w:p w14:paraId="3DEEC669"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p>
    <w:p w14:paraId="3B8B9C77" w14:textId="77777777" w:rsidR="00402A01" w:rsidRDefault="00B1446C" w:rsidP="00402A01">
      <w:pPr>
        <w:spacing w:after="0" w:line="240" w:lineRule="auto"/>
        <w:ind w:left="720"/>
        <w:rPr>
          <w:rFonts w:ascii="Constantia" w:eastAsia="Times New Roman" w:hAnsi="Constantia" w:cs="Calibri"/>
          <w:i/>
          <w:iCs/>
          <w:color w:val="000000"/>
          <w:kern w:val="0"/>
          <w14:ligatures w14:val="none"/>
        </w:rPr>
      </w:pPr>
      <w:r w:rsidRPr="00B1446C">
        <w:rPr>
          <w:rFonts w:ascii="Calibri" w:eastAsia="Times New Roman" w:hAnsi="Calibri" w:cs="Calibri"/>
          <w:color w:val="000000"/>
          <w:kern w:val="0"/>
          <w14:ligatures w14:val="none"/>
        </w:rPr>
        <w:lastRenderedPageBreak/>
        <w:t>(6)  Return on Assets</w:t>
      </w:r>
      <w:r w:rsidR="00402A01">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Profit</m:t>
            </m:r>
          </m:num>
          <m:den>
            <m:r>
              <w:rPr>
                <w:rFonts w:ascii="Cambria Math" w:eastAsia="Times New Roman" w:hAnsi="Cambria Math" w:cs="Calibri"/>
                <w:color w:val="000000"/>
                <w:kern w:val="0"/>
                <w14:ligatures w14:val="none"/>
              </w:rPr>
              <m:t>Average total assets</m:t>
            </m:r>
          </m:den>
        </m:f>
      </m:oMath>
      <w:r w:rsidR="00402A01">
        <w:rPr>
          <w:rFonts w:ascii="Calibri" w:eastAsia="Times New Roman" w:hAnsi="Calibri" w:cs="Calibri"/>
          <w:color w:val="000000"/>
          <w:kern w:val="0"/>
          <w14:ligatures w14:val="none"/>
        </w:rPr>
        <w:t xml:space="preserve"> </w:t>
      </w:r>
      <w:r w:rsidR="00402A01" w:rsidRPr="008D20BB">
        <w:rPr>
          <w:rFonts w:ascii="Calibri" w:eastAsia="Times New Roman" w:hAnsi="Calibri" w:cs="Calibri"/>
          <w:color w:val="000000"/>
          <w:kern w:val="0"/>
          <w14:ligatures w14:val="none"/>
        </w:rPr>
        <w:t>*</w:t>
      </w:r>
      <w:r w:rsidR="00402A01">
        <w:rPr>
          <w:rFonts w:ascii="Calibri" w:eastAsia="Times New Roman" w:hAnsi="Calibri" w:cs="Calibri"/>
          <w:color w:val="000000"/>
          <w:kern w:val="0"/>
          <w14:ligatures w14:val="none"/>
        </w:rPr>
        <w:t xml:space="preserve"> </w:t>
      </w:r>
      <w:r w:rsidR="00402A01" w:rsidRPr="00402A01">
        <w:rPr>
          <w:rFonts w:ascii="Constantia" w:eastAsia="Times New Roman" w:hAnsi="Constantia" w:cs="Calibri"/>
          <w:i/>
          <w:iCs/>
          <w:color w:val="000000"/>
          <w:kern w:val="0"/>
          <w14:ligatures w14:val="none"/>
        </w:rPr>
        <w:t>100</w:t>
      </w:r>
    </w:p>
    <w:p w14:paraId="3656B9AB" w14:textId="77777777" w:rsidR="00402A01" w:rsidRDefault="00402A01" w:rsidP="00402A01">
      <w:pPr>
        <w:spacing w:after="0" w:line="240" w:lineRule="auto"/>
        <w:ind w:left="720"/>
        <w:rPr>
          <w:rFonts w:ascii="Constantia" w:eastAsia="Times New Roman" w:hAnsi="Constantia" w:cs="Calibri"/>
          <w:i/>
          <w:iCs/>
          <w:color w:val="000000"/>
          <w:kern w:val="0"/>
          <w14:ligatures w14:val="none"/>
        </w:rPr>
      </w:pPr>
    </w:p>
    <w:p w14:paraId="59296CA4" w14:textId="77777777" w:rsidR="0015415E" w:rsidRPr="0015415E" w:rsidRDefault="00402A01" w:rsidP="0015415E">
      <w:pPr>
        <w:pStyle w:val="ListParagraph"/>
        <w:numPr>
          <w:ilvl w:val="0"/>
          <w:numId w:val="11"/>
        </w:numPr>
        <w:spacing w:after="0" w:line="240" w:lineRule="auto"/>
        <w:rPr>
          <w:rFonts w:ascii="Calibri" w:eastAsia="Times New Roman" w:hAnsi="Calibri" w:cs="Calibri"/>
          <w:color w:val="000000"/>
          <w:kern w:val="0"/>
          <w14:ligatures w14:val="none"/>
        </w:rPr>
      </w:pPr>
      <w:r w:rsidRPr="00855CFB">
        <w:rPr>
          <w:rFonts w:ascii="Calibri" w:eastAsia="Times New Roman" w:hAnsi="Calibri" w:cs="Calibri"/>
          <w:color w:val="000000"/>
          <w:kern w:val="0"/>
          <w:sz w:val="20"/>
          <w:szCs w:val="20"/>
          <w14:ligatures w14:val="none"/>
        </w:rPr>
        <w:t xml:space="preserve">Average total </w:t>
      </w:r>
      <w:r w:rsidR="0015415E" w:rsidRPr="00855CFB">
        <w:rPr>
          <w:rFonts w:ascii="Calibri" w:eastAsia="Times New Roman" w:hAnsi="Calibri" w:cs="Calibri"/>
          <w:color w:val="000000"/>
          <w:kern w:val="0"/>
          <w:sz w:val="20"/>
          <w:szCs w:val="20"/>
          <w14:ligatures w14:val="none"/>
        </w:rPr>
        <w:t>assets</w:t>
      </w:r>
      <w:r w:rsidRPr="00855CFB">
        <w:rPr>
          <w:rFonts w:ascii="Calibri" w:eastAsia="Times New Roman" w:hAnsi="Calibri" w:cs="Calibri"/>
          <w:color w:val="000000"/>
          <w:kern w:val="0"/>
          <w:sz w:val="20"/>
          <w:szCs w:val="2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Closing balance of previous year + Closing balance of current year</m:t>
            </m:r>
          </m:num>
          <m:den>
            <m:r>
              <w:rPr>
                <w:rFonts w:ascii="Cambria Math" w:eastAsia="Times New Roman" w:hAnsi="Cambria Math" w:cs="Calibri"/>
                <w:color w:val="000000"/>
                <w:kern w:val="0"/>
                <w14:ligatures w14:val="none"/>
              </w:rPr>
              <m:t>2</m:t>
            </m:r>
          </m:den>
        </m:f>
      </m:oMath>
      <w:r w:rsidR="0015415E" w:rsidRPr="0015415E">
        <w:rPr>
          <w:rFonts w:ascii="Calibri" w:eastAsia="Times New Roman" w:hAnsi="Calibri" w:cs="Calibri"/>
          <w:color w:val="000000"/>
          <w:kern w:val="0"/>
          <w14:ligatures w14:val="none"/>
        </w:rPr>
        <w:t xml:space="preserve"> </w:t>
      </w:r>
    </w:p>
    <w:p w14:paraId="45FB0818" w14:textId="77777777" w:rsidR="00402A01" w:rsidRPr="0015415E" w:rsidRDefault="00402A01" w:rsidP="0015415E">
      <w:pPr>
        <w:spacing w:after="0" w:line="240" w:lineRule="auto"/>
        <w:rPr>
          <w:rFonts w:ascii="Calibri" w:eastAsia="Times New Roman" w:hAnsi="Calibri" w:cs="Calibri"/>
          <w:color w:val="000000"/>
          <w:kern w:val="0"/>
          <w14:ligatures w14:val="none"/>
        </w:rPr>
      </w:pPr>
    </w:p>
    <w:p w14:paraId="049F31CB"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p>
    <w:p w14:paraId="41FB6C7A" w14:textId="77777777" w:rsidR="0015415E" w:rsidRDefault="00B1446C" w:rsidP="0015415E">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(7)  Return on Equity</w:t>
      </w:r>
      <w:r w:rsidR="0015415E">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Sales</m:t>
            </m:r>
          </m:num>
          <m:den>
            <m:r>
              <w:rPr>
                <w:rFonts w:ascii="Cambria Math" w:eastAsia="Times New Roman" w:hAnsi="Cambria Math" w:cs="Calibri"/>
                <w:color w:val="000000"/>
                <w:kern w:val="0"/>
                <w14:ligatures w14:val="none"/>
              </w:rPr>
              <m:t>Average share holde</m:t>
            </m:r>
            <m:sSup>
              <m:sSupPr>
                <m:ctrlPr>
                  <w:rPr>
                    <w:rFonts w:ascii="Cambria Math" w:eastAsia="Times New Roman" w:hAnsi="Cambria Math" w:cs="Calibri"/>
                    <w:i/>
                    <w:color w:val="000000"/>
                    <w:kern w:val="0"/>
                    <w14:ligatures w14:val="none"/>
                  </w:rPr>
                </m:ctrlPr>
              </m:sSupPr>
              <m:e>
                <m:r>
                  <w:rPr>
                    <w:rFonts w:ascii="Cambria Math" w:eastAsia="Times New Roman" w:hAnsi="Cambria Math" w:cs="Calibri"/>
                    <w:color w:val="000000"/>
                    <w:kern w:val="0"/>
                    <w14:ligatures w14:val="none"/>
                  </w:rPr>
                  <m:t>r</m:t>
                </m:r>
              </m:e>
              <m:sup>
                <m:r>
                  <w:rPr>
                    <w:rFonts w:ascii="Cambria Math" w:eastAsia="Times New Roman" w:hAnsi="Cambria Math" w:cs="Calibri"/>
                    <w:color w:val="000000"/>
                    <w:kern w:val="0"/>
                    <w14:ligatures w14:val="none"/>
                  </w:rPr>
                  <m:t>'</m:t>
                </m:r>
              </m:sup>
            </m:sSup>
            <m:r>
              <w:rPr>
                <w:rFonts w:ascii="Cambria Math" w:eastAsia="Times New Roman" w:hAnsi="Cambria Math" w:cs="Calibri"/>
                <w:color w:val="000000"/>
                <w:kern w:val="0"/>
                <w14:ligatures w14:val="none"/>
              </w:rPr>
              <m:t>sfund</m:t>
            </m:r>
          </m:den>
        </m:f>
      </m:oMath>
      <w:r w:rsidR="0015415E">
        <w:rPr>
          <w:rFonts w:ascii="Calibri" w:eastAsia="Times New Roman" w:hAnsi="Calibri" w:cs="Calibri"/>
          <w:color w:val="000000"/>
          <w:kern w:val="0"/>
          <w14:ligatures w14:val="none"/>
        </w:rPr>
        <w:t xml:space="preserve"> </w:t>
      </w:r>
    </w:p>
    <w:p w14:paraId="53128261" w14:textId="77777777" w:rsidR="0015415E" w:rsidRDefault="0015415E" w:rsidP="0015415E">
      <w:pPr>
        <w:spacing w:after="0" w:line="240" w:lineRule="auto"/>
        <w:ind w:left="720"/>
        <w:rPr>
          <w:rFonts w:ascii="Calibri" w:eastAsia="Times New Roman" w:hAnsi="Calibri" w:cs="Calibri"/>
          <w:color w:val="000000"/>
          <w:kern w:val="0"/>
          <w14:ligatures w14:val="none"/>
        </w:rPr>
      </w:pPr>
    </w:p>
    <w:p w14:paraId="6046F120" w14:textId="77777777" w:rsidR="0015415E" w:rsidRPr="0015415E" w:rsidRDefault="0015415E" w:rsidP="0015415E">
      <w:pPr>
        <w:pStyle w:val="ListParagraph"/>
        <w:numPr>
          <w:ilvl w:val="0"/>
          <w:numId w:val="11"/>
        </w:numPr>
        <w:spacing w:after="0" w:line="240" w:lineRule="auto"/>
        <w:rPr>
          <w:rFonts w:ascii="Calibri" w:eastAsia="Times New Roman" w:hAnsi="Calibri" w:cs="Calibri"/>
          <w:color w:val="000000"/>
          <w:kern w:val="0"/>
          <w14:ligatures w14:val="none"/>
        </w:rPr>
      </w:pPr>
      <w:r w:rsidRPr="00C1742A">
        <w:rPr>
          <w:rFonts w:ascii="Calibri" w:eastAsia="Times New Roman" w:hAnsi="Calibri" w:cs="Calibri"/>
          <w:i/>
          <w:iCs/>
          <w:color w:val="000000"/>
          <w:kern w:val="0"/>
          <w:sz w:val="20"/>
          <w:szCs w:val="20"/>
          <w14:ligatures w14:val="none"/>
        </w:rPr>
        <w:t xml:space="preserve">Average </w:t>
      </w:r>
      <w:r w:rsidR="00855CFB" w:rsidRPr="00C1742A">
        <w:rPr>
          <w:rFonts w:ascii="Calibri" w:eastAsia="Times New Roman" w:hAnsi="Calibri" w:cs="Calibri"/>
          <w:i/>
          <w:iCs/>
          <w:color w:val="000000"/>
          <w:kern w:val="0"/>
          <w:sz w:val="20"/>
          <w:szCs w:val="20"/>
          <w14:ligatures w14:val="none"/>
        </w:rPr>
        <w:t>Shareholder’s</w:t>
      </w:r>
      <w:r w:rsidRPr="00C1742A">
        <w:rPr>
          <w:rFonts w:ascii="Calibri" w:eastAsia="Times New Roman" w:hAnsi="Calibri" w:cs="Calibri"/>
          <w:i/>
          <w:iCs/>
          <w:color w:val="000000"/>
          <w:kern w:val="0"/>
          <w:sz w:val="20"/>
          <w:szCs w:val="20"/>
          <w14:ligatures w14:val="none"/>
        </w:rPr>
        <w:t xml:space="preserve"> fund </w:t>
      </w:r>
      <w:r w:rsidRPr="00C1742A">
        <w:rPr>
          <w:rFonts w:ascii="Calibri" w:eastAsia="Times New Roman" w:hAnsi="Calibri" w:cs="Calibri"/>
          <w:i/>
          <w:iCs/>
          <w:color w:val="000000"/>
          <w:kern w:val="0"/>
          <w14:ligatures w14:val="none"/>
        </w:rPr>
        <w:t>=</w:t>
      </w:r>
      <w:r w:rsidRPr="0015415E">
        <w:rPr>
          <w:rFonts w:ascii="Calibri" w:eastAsia="Times New Roman" w:hAnsi="Calibri" w:cs="Calibri"/>
          <w:color w:val="000000"/>
          <w:kern w:val="0"/>
          <w14:ligatures w14:val="none"/>
        </w:rPr>
        <w:t xml:space="preserve">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Previous year fund + Current year fund</m:t>
            </m:r>
          </m:num>
          <m:den>
            <m:r>
              <w:rPr>
                <w:rFonts w:ascii="Cambria Math" w:eastAsia="Times New Roman" w:hAnsi="Cambria Math" w:cs="Calibri"/>
                <w:color w:val="000000"/>
                <w:kern w:val="0"/>
                <w14:ligatures w14:val="none"/>
              </w:rPr>
              <m:t>2</m:t>
            </m:r>
          </m:den>
        </m:f>
      </m:oMath>
      <w:r w:rsidRPr="0015415E">
        <w:rPr>
          <w:rFonts w:ascii="Calibri" w:eastAsia="Times New Roman" w:hAnsi="Calibri" w:cs="Calibri"/>
          <w:color w:val="000000"/>
          <w:kern w:val="0"/>
          <w14:ligatures w14:val="none"/>
        </w:rPr>
        <w:t xml:space="preserve"> </w:t>
      </w:r>
    </w:p>
    <w:p w14:paraId="62486C05" w14:textId="77777777" w:rsidR="0015415E" w:rsidRPr="0015415E" w:rsidRDefault="0015415E" w:rsidP="0015415E">
      <w:pPr>
        <w:pStyle w:val="ListParagraph"/>
        <w:spacing w:after="0" w:line="240" w:lineRule="auto"/>
        <w:ind w:left="1800"/>
        <w:rPr>
          <w:rFonts w:ascii="Calibri" w:eastAsia="Times New Roman" w:hAnsi="Calibri" w:cs="Calibri"/>
          <w:color w:val="000000"/>
          <w:kern w:val="0"/>
          <w14:ligatures w14:val="none"/>
        </w:rPr>
      </w:pPr>
    </w:p>
    <w:p w14:paraId="4101652C"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p>
    <w:p w14:paraId="17E24212" w14:textId="77777777" w:rsidR="0015415E" w:rsidRDefault="00B1446C" w:rsidP="0015415E">
      <w:pPr>
        <w:spacing w:after="0" w:line="240" w:lineRule="auto"/>
        <w:ind w:left="720"/>
        <w:rPr>
          <w:rFonts w:ascii="Constantia" w:eastAsia="Times New Roman" w:hAnsi="Constantia" w:cs="Calibri"/>
          <w:i/>
          <w:iCs/>
          <w:color w:val="000000"/>
          <w:kern w:val="0"/>
          <w14:ligatures w14:val="none"/>
        </w:rPr>
      </w:pPr>
      <w:r w:rsidRPr="00B1446C">
        <w:rPr>
          <w:rFonts w:ascii="Calibri" w:eastAsia="Times New Roman" w:hAnsi="Calibri" w:cs="Calibri"/>
          <w:color w:val="000000"/>
          <w:kern w:val="0"/>
          <w14:ligatures w14:val="none"/>
        </w:rPr>
        <w:t>(8)  Return of Capital Employed</w:t>
      </w:r>
      <w:r w:rsidR="0015415E">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EBIT</m:t>
            </m:r>
          </m:num>
          <m:den>
            <m:r>
              <w:rPr>
                <w:rFonts w:ascii="Cambria Math" w:eastAsia="Times New Roman" w:hAnsi="Cambria Math" w:cs="Calibri"/>
                <w:color w:val="000000"/>
                <w:kern w:val="0"/>
                <w14:ligatures w14:val="none"/>
              </w:rPr>
              <m:t>Average capital employed</m:t>
            </m:r>
          </m:den>
        </m:f>
      </m:oMath>
      <w:r w:rsidR="0015415E">
        <w:rPr>
          <w:rFonts w:ascii="Calibri" w:eastAsia="Times New Roman" w:hAnsi="Calibri" w:cs="Calibri"/>
          <w:color w:val="000000"/>
          <w:kern w:val="0"/>
          <w14:ligatures w14:val="none"/>
        </w:rPr>
        <w:t xml:space="preserve"> </w:t>
      </w:r>
    </w:p>
    <w:p w14:paraId="4B99056E" w14:textId="77777777" w:rsidR="0015415E" w:rsidRDefault="0015415E" w:rsidP="0015415E">
      <w:pPr>
        <w:spacing w:after="0" w:line="240" w:lineRule="auto"/>
        <w:ind w:left="720"/>
        <w:rPr>
          <w:rFonts w:ascii="Constantia" w:eastAsia="Times New Roman" w:hAnsi="Constantia" w:cs="Calibri"/>
          <w:i/>
          <w:iCs/>
          <w:color w:val="000000"/>
          <w:kern w:val="0"/>
          <w14:ligatures w14:val="none"/>
        </w:rPr>
      </w:pPr>
    </w:p>
    <w:p w14:paraId="219515AC" w14:textId="77777777" w:rsidR="0015415E" w:rsidRPr="00C1742A" w:rsidRDefault="0015415E" w:rsidP="0015415E">
      <w:pPr>
        <w:pStyle w:val="ListParagraph"/>
        <w:numPr>
          <w:ilvl w:val="0"/>
          <w:numId w:val="11"/>
        </w:numPr>
        <w:spacing w:after="0" w:line="240" w:lineRule="auto"/>
        <w:rPr>
          <w:rFonts w:eastAsia="Times New Roman" w:cstheme="minorHAnsi"/>
          <w:i/>
          <w:iCs/>
          <w:color w:val="000000"/>
          <w:kern w:val="0"/>
          <w14:ligatures w14:val="none"/>
        </w:rPr>
      </w:pPr>
      <w:r w:rsidRPr="00C1742A">
        <w:rPr>
          <w:rFonts w:ascii="Calibri" w:eastAsia="Times New Roman" w:hAnsi="Calibri" w:cs="Calibri"/>
          <w:i/>
          <w:iCs/>
          <w:color w:val="000000"/>
          <w:kern w:val="0"/>
          <w:sz w:val="20"/>
          <w:szCs w:val="20"/>
          <w14:ligatures w14:val="none"/>
        </w:rPr>
        <w:t xml:space="preserve">EBIT = </w:t>
      </w:r>
      <w:r w:rsidRPr="00C1742A">
        <w:rPr>
          <w:rFonts w:eastAsia="Times New Roman" w:cstheme="minorHAnsi"/>
          <w:i/>
          <w:iCs/>
          <w:color w:val="000000"/>
          <w:kern w:val="0"/>
          <w:sz w:val="20"/>
          <w:szCs w:val="20"/>
          <w14:ligatures w14:val="none"/>
        </w:rPr>
        <w:t>Operating profit – Depreciation</w:t>
      </w:r>
    </w:p>
    <w:p w14:paraId="1299C43A" w14:textId="77777777" w:rsidR="0015415E" w:rsidRPr="00C1742A" w:rsidRDefault="0015415E" w:rsidP="0015415E">
      <w:pPr>
        <w:spacing w:after="0" w:line="240" w:lineRule="auto"/>
        <w:rPr>
          <w:rFonts w:ascii="Calibri" w:eastAsia="Times New Roman" w:hAnsi="Calibri" w:cs="Calibri"/>
          <w:i/>
          <w:iCs/>
          <w:color w:val="000000"/>
          <w:kern w:val="0"/>
          <w14:ligatures w14:val="none"/>
        </w:rPr>
      </w:pPr>
    </w:p>
    <w:p w14:paraId="38FB7508" w14:textId="77777777" w:rsidR="0015415E" w:rsidRPr="00C1742A" w:rsidRDefault="0015415E" w:rsidP="0015415E">
      <w:pPr>
        <w:pStyle w:val="ListParagraph"/>
        <w:numPr>
          <w:ilvl w:val="0"/>
          <w:numId w:val="11"/>
        </w:numPr>
        <w:spacing w:after="0" w:line="240" w:lineRule="auto"/>
        <w:rPr>
          <w:rFonts w:eastAsia="Times New Roman" w:cstheme="minorHAns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Average capital Employed = </w:t>
      </w:r>
      <w:r w:rsidRPr="00C1742A">
        <w:rPr>
          <w:rFonts w:eastAsia="Times New Roman" w:cstheme="minorHAnsi"/>
          <w:i/>
          <w:iCs/>
          <w:color w:val="000000"/>
          <w:kern w:val="0"/>
          <w:sz w:val="20"/>
          <w:szCs w:val="20"/>
          <w14:ligatures w14:val="none"/>
        </w:rPr>
        <w:t xml:space="preserve">Total liabilities – Total current </w:t>
      </w:r>
      <w:r w:rsidR="00855CFB" w:rsidRPr="00C1742A">
        <w:rPr>
          <w:rFonts w:eastAsia="Times New Roman" w:cstheme="minorHAnsi"/>
          <w:i/>
          <w:iCs/>
          <w:color w:val="000000"/>
          <w:kern w:val="0"/>
          <w:sz w:val="20"/>
          <w:szCs w:val="20"/>
          <w14:ligatures w14:val="none"/>
        </w:rPr>
        <w:t>liabilities OR</w:t>
      </w:r>
    </w:p>
    <w:p w14:paraId="4DDBEF00" w14:textId="77777777" w:rsidR="00855CFB" w:rsidRPr="00C1742A" w:rsidRDefault="00855CFB" w:rsidP="00855CFB">
      <w:pPr>
        <w:pStyle w:val="ListParagraph"/>
        <w:rPr>
          <w:rFonts w:eastAsia="Times New Roman" w:cstheme="minorHAnsi"/>
          <w:i/>
          <w:iCs/>
          <w:color w:val="000000"/>
          <w:kern w:val="0"/>
          <w:sz w:val="20"/>
          <w:szCs w:val="20"/>
          <w14:ligatures w14:val="none"/>
        </w:rPr>
      </w:pPr>
    </w:p>
    <w:p w14:paraId="2F2CAE67" w14:textId="3F0C65B2" w:rsidR="00855CFB" w:rsidRPr="00C1742A" w:rsidRDefault="00855CFB" w:rsidP="00855CFB">
      <w:pPr>
        <w:pStyle w:val="ListParagraph"/>
        <w:numPr>
          <w:ilvl w:val="0"/>
          <w:numId w:val="11"/>
        </w:numPr>
        <w:spacing w:after="0" w:line="240" w:lineRule="auto"/>
        <w:rPr>
          <w:rFonts w:ascii="Calibri" w:eastAsia="Times New Roman" w:hAnsi="Calibri" w:cs="Calibri"/>
          <w:i/>
          <w:iCs/>
          <w:color w:val="000000"/>
          <w:kern w:val="0"/>
          <w14:ligatures w14:val="none"/>
        </w:rPr>
      </w:pPr>
      <w:r w:rsidRPr="00C1742A">
        <w:rPr>
          <w:rFonts w:eastAsia="Times New Roman" w:cstheme="minorHAnsi"/>
          <w:i/>
          <w:iCs/>
          <w:color w:val="000000"/>
          <w:kern w:val="0"/>
          <w:sz w:val="20"/>
          <w:szCs w:val="20"/>
          <w14:ligatures w14:val="none"/>
        </w:rPr>
        <w:t>Average capital Employed</w:t>
      </w:r>
      <w:r w:rsidRPr="00C1742A">
        <w:rPr>
          <w:rFonts w:eastAsia="Times New Roman" w:cstheme="minorHAnsi"/>
          <w:i/>
          <w:iCs/>
          <w:color w:val="000000"/>
          <w:kern w:val="0"/>
          <w14:ligatures w14:val="none"/>
        </w:rPr>
        <w:t xml:space="preserve"> =  </w:t>
      </w:r>
      <m:oMath>
        <m:f>
          <m:fPr>
            <m:ctrlPr>
              <w:rPr>
                <w:rFonts w:ascii="Cambria Math" w:eastAsia="Times New Roman" w:hAnsi="Cambria Math" w:cs="Calibri"/>
                <w:i/>
                <w:iCs/>
                <w:color w:val="000000"/>
                <w:kern w:val="0"/>
                <w14:ligatures w14:val="none"/>
              </w:rPr>
            </m:ctrlPr>
          </m:fPr>
          <m:num>
            <m:r>
              <w:rPr>
                <w:rFonts w:ascii="Cambria Math" w:eastAsia="Times New Roman" w:hAnsi="Cambria Math" w:cs="Calibri"/>
                <w:color w:val="000000"/>
                <w:kern w:val="0"/>
                <w14:ligatures w14:val="none"/>
              </w:rPr>
              <m:t>Capital employed previous year+capital employed current year</m:t>
            </m:r>
          </m:num>
          <m:den>
            <m:r>
              <w:rPr>
                <w:rFonts w:ascii="Cambria Math" w:eastAsia="Times New Roman" w:hAnsi="Cambria Math" w:cs="Calibri"/>
                <w:color w:val="000000"/>
                <w:kern w:val="0"/>
                <w14:ligatures w14:val="none"/>
              </w:rPr>
              <m:t>2</m:t>
            </m:r>
          </m:den>
        </m:f>
      </m:oMath>
      <w:r w:rsidRPr="00C1742A">
        <w:rPr>
          <w:rFonts w:ascii="Calibri" w:eastAsia="Times New Roman" w:hAnsi="Calibri" w:cs="Calibri"/>
          <w:i/>
          <w:iCs/>
          <w:color w:val="000000"/>
          <w:kern w:val="0"/>
          <w14:ligatures w14:val="none"/>
        </w:rPr>
        <w:t xml:space="preserve"> </w:t>
      </w:r>
    </w:p>
    <w:p w14:paraId="3461D779" w14:textId="77777777" w:rsidR="00855CFB" w:rsidRPr="00C1742A" w:rsidRDefault="00855CFB" w:rsidP="00855CFB">
      <w:pPr>
        <w:pStyle w:val="ListParagraph"/>
        <w:spacing w:after="0" w:line="240" w:lineRule="auto"/>
        <w:ind w:left="1800"/>
        <w:rPr>
          <w:rFonts w:eastAsia="Times New Roman" w:cstheme="minorHAnsi"/>
          <w:i/>
          <w:iCs/>
          <w:color w:val="000000"/>
          <w:kern w:val="0"/>
          <w:sz w:val="20"/>
          <w:szCs w:val="20"/>
          <w14:ligatures w14:val="none"/>
        </w:rPr>
      </w:pPr>
    </w:p>
    <w:p w14:paraId="33BED559" w14:textId="77777777" w:rsidR="00B1446C" w:rsidRPr="00C1742A" w:rsidRDefault="00855CFB" w:rsidP="00855CFB">
      <w:pPr>
        <w:pStyle w:val="ListParagraph"/>
        <w:numPr>
          <w:ilvl w:val="0"/>
          <w:numId w:val="11"/>
        </w:numPr>
        <w:spacing w:after="0" w:line="240" w:lineRule="auto"/>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Capital Employed = Shareholder’s fund + Total non-current liabilities</w:t>
      </w:r>
    </w:p>
    <w:p w14:paraId="3CF2D8B6" w14:textId="77777777" w:rsidR="00855CFB" w:rsidRPr="00855CFB" w:rsidRDefault="00855CFB" w:rsidP="00855CFB">
      <w:pPr>
        <w:pStyle w:val="ListParagraph"/>
        <w:rPr>
          <w:rFonts w:ascii="Calibri" w:eastAsia="Times New Roman" w:hAnsi="Calibri" w:cs="Calibri"/>
          <w:color w:val="000000"/>
          <w:kern w:val="0"/>
          <w:sz w:val="20"/>
          <w:szCs w:val="20"/>
          <w14:ligatures w14:val="none"/>
        </w:rPr>
      </w:pPr>
    </w:p>
    <w:p w14:paraId="0FB78278" w14:textId="77777777" w:rsidR="00855CFB" w:rsidRPr="00855CFB" w:rsidRDefault="00855CFB" w:rsidP="00855CFB">
      <w:pPr>
        <w:pStyle w:val="ListParagraph"/>
        <w:spacing w:after="0" w:line="240" w:lineRule="auto"/>
        <w:ind w:left="1800"/>
        <w:rPr>
          <w:rFonts w:ascii="Calibri" w:eastAsia="Times New Roman" w:hAnsi="Calibri" w:cs="Calibri"/>
          <w:color w:val="000000"/>
          <w:kern w:val="0"/>
          <w:sz w:val="20"/>
          <w:szCs w:val="20"/>
          <w14:ligatures w14:val="none"/>
        </w:rPr>
      </w:pPr>
    </w:p>
    <w:p w14:paraId="332F1598" w14:textId="77777777" w:rsidR="00B1446C" w:rsidRDefault="00B1446C" w:rsidP="00B1446C">
      <w:pPr>
        <w:spacing w:after="0" w:line="240" w:lineRule="auto"/>
        <w:rPr>
          <w:rFonts w:ascii="Calibri" w:eastAsia="Times New Roman" w:hAnsi="Calibri" w:cs="Calibri"/>
          <w:b/>
          <w:bCs/>
          <w:color w:val="000000"/>
          <w:kern w:val="0"/>
          <w:sz w:val="28"/>
          <w:szCs w:val="28"/>
          <w14:ligatures w14:val="none"/>
        </w:rPr>
      </w:pPr>
      <w:r w:rsidRPr="00B1446C">
        <w:rPr>
          <w:rFonts w:ascii="Calibri" w:eastAsia="Times New Roman" w:hAnsi="Calibri" w:cs="Calibri"/>
          <w:b/>
          <w:bCs/>
          <w:color w:val="000000"/>
          <w:kern w:val="0"/>
          <w:sz w:val="28"/>
          <w:szCs w:val="28"/>
          <w14:ligatures w14:val="none"/>
        </w:rPr>
        <w:t>3. Efficiency Ratio:</w:t>
      </w:r>
    </w:p>
    <w:p w14:paraId="1FC39945" w14:textId="77777777" w:rsidR="00A079A9" w:rsidRDefault="00A079A9" w:rsidP="00B1446C">
      <w:pPr>
        <w:spacing w:after="0" w:line="240" w:lineRule="auto"/>
        <w:rPr>
          <w:rFonts w:ascii="Calibri" w:eastAsia="Times New Roman" w:hAnsi="Calibri" w:cs="Calibri"/>
          <w:b/>
          <w:bCs/>
          <w:color w:val="000000"/>
          <w:kern w:val="0"/>
          <w:sz w:val="28"/>
          <w:szCs w:val="28"/>
          <w14:ligatures w14:val="none"/>
        </w:rPr>
      </w:pPr>
    </w:p>
    <w:p w14:paraId="1FCC862D" w14:textId="77777777" w:rsidR="00A079A9" w:rsidRPr="00A079A9" w:rsidRDefault="00B1446C" w:rsidP="00A079A9">
      <w:pPr>
        <w:pStyle w:val="ListParagraph"/>
        <w:numPr>
          <w:ilvl w:val="0"/>
          <w:numId w:val="12"/>
        </w:numPr>
        <w:spacing w:after="0" w:line="240" w:lineRule="auto"/>
        <w:rPr>
          <w:rFonts w:ascii="Calibri" w:eastAsia="Times New Roman" w:hAnsi="Calibri" w:cs="Calibri"/>
          <w:color w:val="000000"/>
          <w:kern w:val="0"/>
          <w14:ligatures w14:val="none"/>
        </w:rPr>
      </w:pPr>
      <w:r w:rsidRPr="00A079A9">
        <w:rPr>
          <w:rFonts w:ascii="Calibri" w:eastAsia="Times New Roman" w:hAnsi="Calibri" w:cs="Calibri"/>
          <w:color w:val="000000"/>
          <w:kern w:val="0"/>
          <w14:ligatures w14:val="none"/>
        </w:rPr>
        <w:t>Inventory Turnover Ratio</w:t>
      </w:r>
      <w:r w:rsidR="00855CFB" w:rsidRPr="00A079A9">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COGS</m:t>
            </m:r>
          </m:num>
          <m:den>
            <m:r>
              <w:rPr>
                <w:rFonts w:ascii="Cambria Math" w:eastAsia="Times New Roman" w:hAnsi="Cambria Math" w:cs="Calibri"/>
                <w:color w:val="000000"/>
                <w:kern w:val="0"/>
                <w14:ligatures w14:val="none"/>
              </w:rPr>
              <m:t>Average Inventory</m:t>
            </m:r>
          </m:den>
        </m:f>
      </m:oMath>
      <w:r w:rsidR="00A079A9" w:rsidRPr="00A079A9">
        <w:rPr>
          <w:rFonts w:ascii="Calibri" w:eastAsia="Times New Roman" w:hAnsi="Calibri" w:cs="Calibri"/>
          <w:color w:val="000000"/>
          <w:kern w:val="0"/>
          <w14:ligatures w14:val="none"/>
        </w:rPr>
        <w:t xml:space="preserve"> </w:t>
      </w:r>
    </w:p>
    <w:p w14:paraId="0562CB0E" w14:textId="77777777" w:rsidR="00A079A9" w:rsidRDefault="00A079A9" w:rsidP="00A079A9">
      <w:pPr>
        <w:pStyle w:val="ListParagraph"/>
        <w:spacing w:after="0" w:line="240" w:lineRule="auto"/>
        <w:ind w:left="1800"/>
        <w:rPr>
          <w:rFonts w:ascii="Calibri" w:eastAsia="Times New Roman" w:hAnsi="Calibri" w:cs="Calibri"/>
          <w:color w:val="000000"/>
          <w:kern w:val="0"/>
          <w14:ligatures w14:val="none"/>
        </w:rPr>
      </w:pPr>
    </w:p>
    <w:p w14:paraId="5FEAF8B3" w14:textId="77777777" w:rsidR="00A079A9" w:rsidRPr="00855CFB" w:rsidRDefault="00A079A9" w:rsidP="00A079A9">
      <w:pPr>
        <w:pStyle w:val="ListParagraph"/>
        <w:numPr>
          <w:ilvl w:val="0"/>
          <w:numId w:val="10"/>
        </w:numPr>
        <w:rPr>
          <w:rFonts w:ascii="Calibri" w:eastAsia="Times New Roman" w:hAnsi="Calibri" w:cs="Calibri"/>
          <w:i/>
          <w:iCs/>
          <w:color w:val="000000"/>
          <w:kern w:val="0"/>
          <w:sz w:val="20"/>
          <w:szCs w:val="20"/>
          <w14:ligatures w14:val="none"/>
        </w:rPr>
      </w:pPr>
      <w:r w:rsidRPr="00855CFB">
        <w:rPr>
          <w:rFonts w:ascii="Calibri" w:eastAsia="Times New Roman" w:hAnsi="Calibri" w:cs="Calibri"/>
          <w:color w:val="000000"/>
          <w:kern w:val="0"/>
          <w:sz w:val="20"/>
          <w:szCs w:val="20"/>
          <w14:ligatures w14:val="none"/>
        </w:rPr>
        <w:t xml:space="preserve">COGS = </w:t>
      </w:r>
      <w:r w:rsidRPr="00855CFB">
        <w:rPr>
          <w:rFonts w:ascii="Calibri" w:eastAsia="Times New Roman" w:hAnsi="Calibri" w:cs="Calibri"/>
          <w:i/>
          <w:iCs/>
          <w:color w:val="000000"/>
          <w:kern w:val="0"/>
          <w:sz w:val="20"/>
          <w:szCs w:val="20"/>
          <w14:ligatures w14:val="none"/>
        </w:rPr>
        <w:t xml:space="preserve">Increase / Decrease in stock + </w:t>
      </w:r>
    </w:p>
    <w:p w14:paraId="7674BC34" w14:textId="77777777" w:rsidR="00A079A9" w:rsidRPr="00855CFB" w:rsidRDefault="00A079A9" w:rsidP="00A079A9">
      <w:pPr>
        <w:pStyle w:val="ListParagraph"/>
        <w:ind w:left="2160" w:firstLine="369"/>
        <w:rPr>
          <w:rFonts w:ascii="Calibri" w:eastAsia="Times New Roman" w:hAnsi="Calibri" w:cs="Calibri"/>
          <w:i/>
          <w:iCs/>
          <w:color w:val="000000"/>
          <w:kern w:val="0"/>
          <w:sz w:val="20"/>
          <w:szCs w:val="20"/>
          <w14:ligatures w14:val="none"/>
        </w:rPr>
      </w:pPr>
      <w:r w:rsidRPr="00855CFB">
        <w:rPr>
          <w:rFonts w:ascii="Calibri" w:eastAsia="Times New Roman" w:hAnsi="Calibri" w:cs="Calibri"/>
          <w:i/>
          <w:iCs/>
          <w:color w:val="000000"/>
          <w:kern w:val="0"/>
          <w:sz w:val="20"/>
          <w:szCs w:val="20"/>
          <w14:ligatures w14:val="none"/>
        </w:rPr>
        <w:t xml:space="preserve">Raw material consumed + </w:t>
      </w:r>
    </w:p>
    <w:p w14:paraId="02C686C5" w14:textId="77777777" w:rsidR="00A079A9" w:rsidRPr="00855CFB" w:rsidRDefault="00A079A9" w:rsidP="00A079A9">
      <w:pPr>
        <w:pStyle w:val="ListParagraph"/>
        <w:ind w:left="2160" w:firstLine="369"/>
        <w:rPr>
          <w:rFonts w:ascii="Calibri" w:eastAsia="Times New Roman" w:hAnsi="Calibri" w:cs="Calibri"/>
          <w:i/>
          <w:iCs/>
          <w:color w:val="000000"/>
          <w:kern w:val="0"/>
          <w:sz w:val="20"/>
          <w:szCs w:val="20"/>
          <w14:ligatures w14:val="none"/>
        </w:rPr>
      </w:pPr>
      <w:r w:rsidRPr="00855CFB">
        <w:rPr>
          <w:rFonts w:ascii="Calibri" w:eastAsia="Times New Roman" w:hAnsi="Calibri" w:cs="Calibri"/>
          <w:i/>
          <w:iCs/>
          <w:color w:val="000000"/>
          <w:kern w:val="0"/>
          <w:sz w:val="20"/>
          <w:szCs w:val="20"/>
          <w14:ligatures w14:val="none"/>
        </w:rPr>
        <w:t xml:space="preserve">Power and fuel cost + </w:t>
      </w:r>
    </w:p>
    <w:p w14:paraId="3809BF4B" w14:textId="77777777" w:rsidR="00A079A9" w:rsidRPr="00855CFB" w:rsidRDefault="00A079A9" w:rsidP="00A079A9">
      <w:pPr>
        <w:pStyle w:val="ListParagraph"/>
        <w:ind w:left="2160" w:firstLine="369"/>
        <w:rPr>
          <w:rFonts w:ascii="Calibri" w:eastAsia="Times New Roman" w:hAnsi="Calibri" w:cs="Calibri"/>
          <w:i/>
          <w:iCs/>
          <w:color w:val="000000"/>
          <w:kern w:val="0"/>
          <w:sz w:val="20"/>
          <w:szCs w:val="20"/>
          <w14:ligatures w14:val="none"/>
        </w:rPr>
      </w:pPr>
      <w:r w:rsidRPr="00855CFB">
        <w:rPr>
          <w:rFonts w:ascii="Calibri" w:eastAsia="Times New Roman" w:hAnsi="Calibri" w:cs="Calibri"/>
          <w:i/>
          <w:iCs/>
          <w:color w:val="000000"/>
          <w:kern w:val="0"/>
          <w:sz w:val="20"/>
          <w:szCs w:val="20"/>
          <w14:ligatures w14:val="none"/>
        </w:rPr>
        <w:t xml:space="preserve">Employee Cost + </w:t>
      </w:r>
    </w:p>
    <w:p w14:paraId="064BBA06" w14:textId="77777777" w:rsidR="00A079A9" w:rsidRDefault="00A079A9" w:rsidP="00A079A9">
      <w:pPr>
        <w:pStyle w:val="ListParagraph"/>
        <w:ind w:left="2160" w:firstLine="369"/>
        <w:rPr>
          <w:rFonts w:ascii="Calibri" w:eastAsia="Times New Roman" w:hAnsi="Calibri" w:cs="Calibri"/>
          <w:i/>
          <w:iCs/>
          <w:color w:val="000000"/>
          <w:kern w:val="0"/>
          <w:sz w:val="20"/>
          <w:szCs w:val="20"/>
          <w14:ligatures w14:val="none"/>
        </w:rPr>
      </w:pPr>
      <w:r w:rsidRPr="00855CFB">
        <w:rPr>
          <w:rFonts w:ascii="Calibri" w:eastAsia="Times New Roman" w:hAnsi="Calibri" w:cs="Calibri"/>
          <w:i/>
          <w:iCs/>
          <w:color w:val="000000"/>
          <w:kern w:val="0"/>
          <w:sz w:val="20"/>
          <w:szCs w:val="20"/>
          <w14:ligatures w14:val="none"/>
        </w:rPr>
        <w:t>Other manufacturing Expenses</w:t>
      </w:r>
    </w:p>
    <w:p w14:paraId="34CE0A41" w14:textId="77777777" w:rsidR="00A079A9" w:rsidRDefault="00A079A9" w:rsidP="00A079A9">
      <w:pPr>
        <w:pStyle w:val="ListParagraph"/>
        <w:ind w:left="2160" w:firstLine="369"/>
        <w:rPr>
          <w:rFonts w:ascii="Calibri" w:eastAsia="Times New Roman" w:hAnsi="Calibri" w:cs="Calibri"/>
          <w:i/>
          <w:iCs/>
          <w:color w:val="000000"/>
          <w:kern w:val="0"/>
          <w:sz w:val="20"/>
          <w:szCs w:val="20"/>
          <w14:ligatures w14:val="none"/>
        </w:rPr>
      </w:pPr>
    </w:p>
    <w:p w14:paraId="15C63906" w14:textId="77777777" w:rsidR="00A079A9" w:rsidRPr="00A079A9" w:rsidRDefault="00A079A9" w:rsidP="00A079A9">
      <w:pPr>
        <w:pStyle w:val="ListParagraph"/>
        <w:numPr>
          <w:ilvl w:val="0"/>
          <w:numId w:val="10"/>
        </w:numPr>
        <w:rPr>
          <w:rFonts w:ascii="Calibri" w:eastAsia="Times New Roman" w:hAnsi="Calibri" w:cs="Calibri"/>
          <w:i/>
          <w:iCs/>
          <w:color w:val="000000"/>
          <w:kern w:val="0"/>
          <w:sz w:val="20"/>
          <w:szCs w:val="20"/>
          <w14:ligatures w14:val="none"/>
        </w:rPr>
      </w:pPr>
      <w:r w:rsidRPr="00A079A9">
        <w:rPr>
          <w:rFonts w:ascii="Calibri" w:eastAsia="Times New Roman" w:hAnsi="Calibri" w:cs="Calibri"/>
          <w:color w:val="000000"/>
          <w:kern w:val="0"/>
          <w:sz w:val="20"/>
          <w:szCs w:val="20"/>
          <w14:ligatures w14:val="none"/>
        </w:rPr>
        <w:t>Average inventory</w:t>
      </w:r>
      <w:r>
        <w:rPr>
          <w:rFonts w:ascii="Calibri" w:eastAsia="Times New Roman" w:hAnsi="Calibri" w:cs="Calibri"/>
          <w:i/>
          <w:iCs/>
          <w:color w:val="000000"/>
          <w:kern w:val="0"/>
          <w:sz w:val="20"/>
          <w:szCs w:val="2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Previous year Inventory + Current year inventory</m:t>
            </m:r>
          </m:num>
          <m:den>
            <m:r>
              <w:rPr>
                <w:rFonts w:ascii="Cambria Math" w:eastAsia="Times New Roman" w:hAnsi="Cambria Math" w:cs="Calibri"/>
                <w:color w:val="000000"/>
                <w:kern w:val="0"/>
                <w14:ligatures w14:val="none"/>
              </w:rPr>
              <m:t>2</m:t>
            </m:r>
          </m:den>
        </m:f>
      </m:oMath>
    </w:p>
    <w:p w14:paraId="62EBF3C5" w14:textId="77777777" w:rsidR="00B1446C" w:rsidRPr="00B1446C" w:rsidRDefault="00B1446C" w:rsidP="00B1446C">
      <w:pPr>
        <w:rPr>
          <w:rFonts w:ascii="Calibri" w:eastAsia="Times New Roman" w:hAnsi="Calibri" w:cs="Calibri"/>
          <w:color w:val="000000"/>
          <w:kern w:val="0"/>
          <w14:ligatures w14:val="none"/>
        </w:rPr>
      </w:pPr>
    </w:p>
    <w:p w14:paraId="3A509F3E" w14:textId="77777777" w:rsidR="00B1446C" w:rsidRPr="00A079A9" w:rsidRDefault="00B1446C" w:rsidP="00A079A9">
      <w:pPr>
        <w:pStyle w:val="ListParagraph"/>
        <w:numPr>
          <w:ilvl w:val="0"/>
          <w:numId w:val="12"/>
        </w:numPr>
        <w:spacing w:after="0" w:line="240" w:lineRule="auto"/>
        <w:rPr>
          <w:rFonts w:ascii="Calibri" w:eastAsia="Times New Roman" w:hAnsi="Calibri" w:cs="Calibri"/>
          <w:color w:val="000000"/>
          <w:kern w:val="0"/>
          <w14:ligatures w14:val="none"/>
        </w:rPr>
      </w:pPr>
      <w:r w:rsidRPr="00A079A9">
        <w:rPr>
          <w:rFonts w:ascii="Calibri" w:eastAsia="Times New Roman" w:hAnsi="Calibri" w:cs="Calibri"/>
          <w:color w:val="000000"/>
          <w:kern w:val="0"/>
          <w14:ligatures w14:val="none"/>
        </w:rPr>
        <w:t>Inventory Turnover period</w:t>
      </w:r>
      <w:r w:rsidR="00A079A9" w:rsidRPr="00A079A9">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365</m:t>
            </m:r>
          </m:num>
          <m:den>
            <m:r>
              <w:rPr>
                <w:rFonts w:ascii="Cambria Math" w:eastAsia="Times New Roman" w:hAnsi="Cambria Math" w:cs="Calibri"/>
                <w:color w:val="000000"/>
                <w:kern w:val="0"/>
                <w14:ligatures w14:val="none"/>
              </w:rPr>
              <m:t>Inventory Turnover Ratio</m:t>
            </m:r>
          </m:den>
        </m:f>
      </m:oMath>
    </w:p>
    <w:p w14:paraId="6D98A12B" w14:textId="77777777" w:rsidR="00A079A9" w:rsidRPr="00A079A9" w:rsidRDefault="00A079A9" w:rsidP="00A079A9">
      <w:pPr>
        <w:pStyle w:val="ListParagraph"/>
        <w:spacing w:after="0" w:line="240" w:lineRule="auto"/>
        <w:ind w:left="1080"/>
        <w:rPr>
          <w:rFonts w:ascii="Calibri" w:eastAsia="Times New Roman" w:hAnsi="Calibri" w:cs="Calibri"/>
          <w:color w:val="000000"/>
          <w:kern w:val="0"/>
          <w14:ligatures w14:val="none"/>
        </w:rPr>
      </w:pPr>
    </w:p>
    <w:p w14:paraId="59ADBE5C" w14:textId="77777777" w:rsidR="00B1446C" w:rsidRPr="00A079A9" w:rsidRDefault="00B1446C" w:rsidP="00A079A9">
      <w:pPr>
        <w:pStyle w:val="ListParagraph"/>
        <w:numPr>
          <w:ilvl w:val="0"/>
          <w:numId w:val="12"/>
        </w:numPr>
        <w:spacing w:after="0" w:line="240" w:lineRule="auto"/>
        <w:rPr>
          <w:rFonts w:ascii="Calibri" w:eastAsia="Times New Roman" w:hAnsi="Calibri" w:cs="Calibri"/>
          <w:color w:val="000000"/>
          <w:kern w:val="0"/>
          <w14:ligatures w14:val="none"/>
        </w:rPr>
      </w:pPr>
      <w:r w:rsidRPr="00A079A9">
        <w:rPr>
          <w:rFonts w:ascii="Calibri" w:eastAsia="Times New Roman" w:hAnsi="Calibri" w:cs="Calibri"/>
          <w:color w:val="000000"/>
          <w:kern w:val="0"/>
          <w14:ligatures w14:val="none"/>
        </w:rPr>
        <w:t>Debtors Turnover Ratio</w:t>
      </w:r>
      <w:r w:rsidR="00A079A9" w:rsidRPr="00A079A9">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Sales</m:t>
            </m:r>
          </m:num>
          <m:den>
            <m:r>
              <w:rPr>
                <w:rFonts w:ascii="Cambria Math" w:eastAsia="Times New Roman" w:hAnsi="Cambria Math" w:cs="Calibri"/>
                <w:color w:val="000000"/>
                <w:kern w:val="0"/>
                <w14:ligatures w14:val="none"/>
              </w:rPr>
              <m:t>Average Debtors or Sundry Debtors</m:t>
            </m:r>
          </m:den>
        </m:f>
      </m:oMath>
    </w:p>
    <w:p w14:paraId="2946DB82" w14:textId="77777777" w:rsidR="00A079A9" w:rsidRPr="00A079A9" w:rsidRDefault="00A079A9" w:rsidP="00A079A9">
      <w:pPr>
        <w:pStyle w:val="ListParagraph"/>
        <w:rPr>
          <w:rFonts w:ascii="Calibri" w:eastAsia="Times New Roman" w:hAnsi="Calibri" w:cs="Calibri"/>
          <w:color w:val="000000"/>
          <w:kern w:val="0"/>
          <w14:ligatures w14:val="none"/>
        </w:rPr>
      </w:pPr>
    </w:p>
    <w:p w14:paraId="5997CC1D" w14:textId="77777777" w:rsidR="00A079A9" w:rsidRPr="00A079A9" w:rsidRDefault="00A079A9" w:rsidP="00A079A9">
      <w:pPr>
        <w:pStyle w:val="ListParagraph"/>
        <w:spacing w:after="0" w:line="240" w:lineRule="auto"/>
        <w:ind w:left="1080"/>
        <w:rPr>
          <w:rFonts w:ascii="Calibri" w:eastAsia="Times New Roman" w:hAnsi="Calibri" w:cs="Calibri"/>
          <w:color w:val="000000"/>
          <w:kern w:val="0"/>
          <w14:ligatures w14:val="none"/>
        </w:rPr>
      </w:pPr>
    </w:p>
    <w:p w14:paraId="462C8538" w14:textId="77777777" w:rsidR="00B1446C" w:rsidRPr="00A079A9" w:rsidRDefault="00B1446C" w:rsidP="00A079A9">
      <w:pPr>
        <w:pStyle w:val="ListParagraph"/>
        <w:numPr>
          <w:ilvl w:val="0"/>
          <w:numId w:val="12"/>
        </w:numPr>
        <w:spacing w:after="0" w:line="240" w:lineRule="auto"/>
        <w:rPr>
          <w:rFonts w:ascii="Calibri" w:eastAsia="Times New Roman" w:hAnsi="Calibri" w:cs="Calibri"/>
          <w:color w:val="000000"/>
          <w:kern w:val="0"/>
          <w14:ligatures w14:val="none"/>
        </w:rPr>
      </w:pPr>
      <w:r w:rsidRPr="00A079A9">
        <w:rPr>
          <w:rFonts w:ascii="Calibri" w:eastAsia="Times New Roman" w:hAnsi="Calibri" w:cs="Calibri"/>
          <w:color w:val="000000"/>
          <w:kern w:val="0"/>
          <w14:ligatures w14:val="none"/>
        </w:rPr>
        <w:t>Average Collection period</w:t>
      </w:r>
      <w:r w:rsidR="00A079A9" w:rsidRPr="00A079A9">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365</m:t>
            </m:r>
          </m:num>
          <m:den>
            <m:r>
              <w:rPr>
                <w:rFonts w:ascii="Cambria Math" w:eastAsia="Times New Roman" w:hAnsi="Cambria Math" w:cs="Calibri"/>
                <w:color w:val="000000"/>
                <w:kern w:val="0"/>
                <w14:ligatures w14:val="none"/>
              </w:rPr>
              <m:t>Debtors Turnover Ratio</m:t>
            </m:r>
          </m:den>
        </m:f>
      </m:oMath>
    </w:p>
    <w:p w14:paraId="110FFD37" w14:textId="77777777" w:rsidR="00A079A9" w:rsidRPr="00A079A9" w:rsidRDefault="00A079A9" w:rsidP="00A079A9">
      <w:pPr>
        <w:pStyle w:val="ListParagraph"/>
        <w:spacing w:after="0" w:line="240" w:lineRule="auto"/>
        <w:ind w:left="1080"/>
        <w:rPr>
          <w:rFonts w:ascii="Calibri" w:eastAsia="Times New Roman" w:hAnsi="Calibri" w:cs="Calibri"/>
          <w:color w:val="000000"/>
          <w:kern w:val="0"/>
          <w14:ligatures w14:val="none"/>
        </w:rPr>
      </w:pPr>
    </w:p>
    <w:p w14:paraId="43488A43" w14:textId="77777777" w:rsidR="00B1446C" w:rsidRPr="00B1446C" w:rsidRDefault="14C3B78D" w:rsidP="00B1446C">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(5)  Working</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Capital</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Turnover</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Ratio</w:t>
      </w:r>
      <w:r w:rsidR="6E8D74A6">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Sales</m:t>
            </m:r>
          </m:num>
          <m:den>
            <m:r>
              <w:rPr>
                <w:rFonts w:ascii="Cambria Math" w:eastAsia="Times New Roman" w:hAnsi="Cambria Math" w:cs="Calibri"/>
                <w:color w:val="000000"/>
                <w:kern w:val="0"/>
                <w14:ligatures w14:val="none"/>
              </w:rPr>
              <m:t>Net working capital or Net current assets</m:t>
            </m:r>
          </m:den>
        </m:f>
      </m:oMath>
    </w:p>
    <w:p w14:paraId="4A2B19E4" w14:textId="2974B86F" w:rsidR="097CE612" w:rsidRDefault="097CE612" w:rsidP="097CE612">
      <w:pPr>
        <w:spacing w:after="0" w:line="240" w:lineRule="auto"/>
        <w:ind w:left="720"/>
        <w:rPr>
          <w:rFonts w:ascii="Calibri" w:eastAsia="Times New Roman" w:hAnsi="Calibri" w:cs="Calibri"/>
          <w:color w:val="000000" w:themeColor="text1"/>
        </w:rPr>
      </w:pPr>
    </w:p>
    <w:p w14:paraId="46A9BAC0" w14:textId="77777777" w:rsidR="00B1446C" w:rsidRDefault="00B1446C" w:rsidP="00B1446C">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(6)  Fixed</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Assets</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Turn</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Over</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Ratio</w:t>
      </w:r>
      <w:r w:rsidR="00A079A9">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Sales</m:t>
            </m:r>
          </m:num>
          <m:den>
            <m:r>
              <w:rPr>
                <w:rFonts w:ascii="Cambria Math" w:eastAsia="Times New Roman" w:hAnsi="Cambria Math" w:cs="Calibri"/>
                <w:color w:val="000000"/>
                <w:kern w:val="0"/>
                <w14:ligatures w14:val="none"/>
              </w:rPr>
              <m:t>Average fixed assets or Average total non-current assets</m:t>
            </m:r>
          </m:den>
        </m:f>
      </m:oMath>
    </w:p>
    <w:p w14:paraId="6B699379" w14:textId="77777777" w:rsidR="00A079A9" w:rsidRDefault="00A079A9" w:rsidP="00B1446C">
      <w:pPr>
        <w:spacing w:after="0" w:line="240" w:lineRule="auto"/>
        <w:ind w:left="720"/>
        <w:rPr>
          <w:rFonts w:ascii="Calibri" w:eastAsia="Times New Roman" w:hAnsi="Calibri" w:cs="Calibri"/>
          <w:color w:val="000000"/>
          <w:kern w:val="0"/>
          <w14:ligatures w14:val="none"/>
        </w:rPr>
      </w:pPr>
    </w:p>
    <w:p w14:paraId="58B99FB5" w14:textId="77777777" w:rsidR="00A079A9" w:rsidRDefault="00A079A9" w:rsidP="00A079A9">
      <w:pPr>
        <w:pStyle w:val="ListParagraph"/>
        <w:numPr>
          <w:ilvl w:val="0"/>
          <w:numId w:val="10"/>
        </w:numPr>
        <w:spacing w:after="0" w:line="240" w:lineRule="auto"/>
        <w:rPr>
          <w:rFonts w:ascii="Calibri" w:eastAsia="Times New Roman" w:hAnsi="Calibri" w:cs="Calibri"/>
          <w:color w:val="000000"/>
          <w:kern w:val="0"/>
          <w14:ligatures w14:val="none"/>
        </w:rPr>
      </w:pPr>
      <w:r w:rsidRPr="000F6F6C">
        <w:rPr>
          <w:rFonts w:ascii="Calibri" w:eastAsia="Times New Roman" w:hAnsi="Calibri" w:cs="Calibri"/>
          <w:color w:val="000000"/>
          <w:kern w:val="0"/>
          <w:sz w:val="20"/>
          <w:szCs w:val="20"/>
          <w14:ligatures w14:val="none"/>
        </w:rPr>
        <w:t>Average total non-current</w:t>
      </w:r>
      <w:r w:rsidR="000F6F6C" w:rsidRPr="000F6F6C">
        <w:rPr>
          <w:rFonts w:ascii="Calibri" w:eastAsia="Times New Roman" w:hAnsi="Calibri" w:cs="Calibri"/>
          <w:color w:val="000000"/>
          <w:kern w:val="0"/>
          <w:sz w:val="20"/>
          <w:szCs w:val="20"/>
          <w14:ligatures w14:val="none"/>
        </w:rPr>
        <w:t xml:space="preserve"> assets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 xml:space="preserve">Previous year total + Current Year total </m:t>
            </m:r>
          </m:num>
          <m:den>
            <m:r>
              <w:rPr>
                <w:rFonts w:ascii="Cambria Math" w:eastAsia="Times New Roman" w:hAnsi="Cambria Math" w:cs="Calibri"/>
                <w:color w:val="000000"/>
                <w:kern w:val="0"/>
                <w14:ligatures w14:val="none"/>
              </w:rPr>
              <m:t>2</m:t>
            </m:r>
          </m:den>
        </m:f>
      </m:oMath>
    </w:p>
    <w:p w14:paraId="3FE9F23F" w14:textId="77777777" w:rsidR="000F6F6C" w:rsidRPr="00A079A9" w:rsidRDefault="000F6F6C" w:rsidP="000F6F6C">
      <w:pPr>
        <w:pStyle w:val="ListParagraph"/>
        <w:spacing w:after="0" w:line="240" w:lineRule="auto"/>
        <w:ind w:left="1791"/>
        <w:rPr>
          <w:rFonts w:ascii="Calibri" w:eastAsia="Times New Roman" w:hAnsi="Calibri" w:cs="Calibri"/>
          <w:color w:val="000000"/>
          <w:kern w:val="0"/>
          <w14:ligatures w14:val="none"/>
        </w:rPr>
      </w:pPr>
    </w:p>
    <w:p w14:paraId="141903E7" w14:textId="77777777" w:rsidR="00B1446C" w:rsidRDefault="00B1446C" w:rsidP="00B1446C">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(7)  Total</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Assets</w:t>
      </w:r>
      <w:r>
        <w:rPr>
          <w:rFonts w:ascii="Calibri" w:eastAsia="Times New Roman" w:hAnsi="Calibri" w:cs="Calibri"/>
          <w:color w:val="000000"/>
          <w:kern w:val="0"/>
          <w14:ligatures w14:val="none"/>
        </w:rPr>
        <w:t xml:space="preserve"> T</w:t>
      </w:r>
      <w:r w:rsidRPr="00B1446C">
        <w:rPr>
          <w:rFonts w:ascii="Calibri" w:eastAsia="Times New Roman" w:hAnsi="Calibri" w:cs="Calibri"/>
          <w:color w:val="000000"/>
          <w:kern w:val="0"/>
          <w14:ligatures w14:val="none"/>
        </w:rPr>
        <w:t>urnover</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Ratio</w:t>
      </w:r>
      <w:r w:rsidR="000F6F6C">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Net Sales</m:t>
            </m:r>
          </m:num>
          <m:den>
            <m:r>
              <w:rPr>
                <w:rFonts w:ascii="Cambria Math" w:eastAsia="Times New Roman" w:hAnsi="Cambria Math" w:cs="Calibri"/>
                <w:color w:val="000000"/>
                <w:kern w:val="0"/>
                <w14:ligatures w14:val="none"/>
              </w:rPr>
              <m:t>Average Total assets</m:t>
            </m:r>
          </m:den>
        </m:f>
      </m:oMath>
    </w:p>
    <w:p w14:paraId="1F72F646" w14:textId="77777777" w:rsidR="000F6F6C" w:rsidRDefault="000F6F6C" w:rsidP="00B1446C">
      <w:pPr>
        <w:spacing w:after="0" w:line="240" w:lineRule="auto"/>
        <w:ind w:left="720"/>
        <w:rPr>
          <w:rFonts w:ascii="Calibri" w:eastAsia="Times New Roman" w:hAnsi="Calibri" w:cs="Calibri"/>
          <w:color w:val="000000"/>
          <w:kern w:val="0"/>
          <w14:ligatures w14:val="none"/>
        </w:rPr>
      </w:pPr>
    </w:p>
    <w:p w14:paraId="63D87469" w14:textId="77777777" w:rsidR="000F6F6C" w:rsidRPr="000F6F6C" w:rsidRDefault="000F6F6C" w:rsidP="000F6F6C">
      <w:pPr>
        <w:pStyle w:val="ListParagraph"/>
        <w:numPr>
          <w:ilvl w:val="0"/>
          <w:numId w:val="10"/>
        </w:numPr>
        <w:spacing w:after="0" w:line="240" w:lineRule="auto"/>
        <w:rPr>
          <w:rFonts w:ascii="Calibri" w:eastAsia="Times New Roman" w:hAnsi="Calibri" w:cs="Calibri"/>
          <w:color w:val="000000"/>
          <w:kern w:val="0"/>
          <w:sz w:val="20"/>
          <w:szCs w:val="20"/>
          <w14:ligatures w14:val="none"/>
        </w:rPr>
      </w:pPr>
      <w:r w:rsidRPr="000F6F6C">
        <w:rPr>
          <w:rFonts w:ascii="Calibri" w:eastAsia="Times New Roman" w:hAnsi="Calibri" w:cs="Calibri"/>
          <w:color w:val="000000"/>
          <w:kern w:val="0"/>
          <w:sz w:val="20"/>
          <w:szCs w:val="20"/>
          <w14:ligatures w14:val="none"/>
        </w:rPr>
        <w:t xml:space="preserve">Average total assets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Previous year total assets + current year total assets</m:t>
            </m:r>
          </m:num>
          <m:den>
            <m:r>
              <w:rPr>
                <w:rFonts w:ascii="Cambria Math" w:eastAsia="Times New Roman" w:hAnsi="Cambria Math" w:cs="Calibri"/>
                <w:color w:val="000000"/>
                <w:kern w:val="0"/>
                <w14:ligatures w14:val="none"/>
              </w:rPr>
              <m:t>2</m:t>
            </m:r>
          </m:den>
        </m:f>
      </m:oMath>
    </w:p>
    <w:p w14:paraId="08CE6F91" w14:textId="77777777" w:rsidR="00B1446C" w:rsidRDefault="00B1446C" w:rsidP="00B1446C">
      <w:pPr>
        <w:spacing w:after="0" w:line="240" w:lineRule="auto"/>
        <w:rPr>
          <w:rFonts w:ascii="Calibri" w:eastAsia="Times New Roman" w:hAnsi="Calibri" w:cs="Calibri"/>
          <w:b/>
          <w:bCs/>
          <w:color w:val="000000"/>
          <w:kern w:val="0"/>
          <w:sz w:val="28"/>
          <w:szCs w:val="28"/>
          <w14:ligatures w14:val="none"/>
        </w:rPr>
      </w:pPr>
    </w:p>
    <w:p w14:paraId="076B90AE" w14:textId="77777777" w:rsidR="00B1446C" w:rsidRDefault="00B1446C" w:rsidP="00B1446C">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4.Solvency Ratio:</w:t>
      </w:r>
    </w:p>
    <w:p w14:paraId="61CDCEAD" w14:textId="77777777" w:rsidR="000F6F6C" w:rsidRDefault="000F6F6C" w:rsidP="00B1446C">
      <w:pPr>
        <w:spacing w:after="0" w:line="240" w:lineRule="auto"/>
        <w:rPr>
          <w:rFonts w:ascii="Calibri" w:eastAsia="Times New Roman" w:hAnsi="Calibri" w:cs="Calibri"/>
          <w:b/>
          <w:bCs/>
          <w:color w:val="000000"/>
          <w:kern w:val="0"/>
          <w:sz w:val="28"/>
          <w:szCs w:val="28"/>
          <w14:ligatures w14:val="none"/>
        </w:rPr>
      </w:pPr>
    </w:p>
    <w:p w14:paraId="12C2CB81" w14:textId="77777777" w:rsidR="00B1446C" w:rsidRPr="000F6F6C" w:rsidRDefault="00B1446C" w:rsidP="000F6F6C">
      <w:pPr>
        <w:pStyle w:val="ListParagraph"/>
        <w:numPr>
          <w:ilvl w:val="0"/>
          <w:numId w:val="14"/>
        </w:numPr>
        <w:spacing w:after="0" w:line="240" w:lineRule="auto"/>
        <w:rPr>
          <w:rFonts w:ascii="Calibri" w:eastAsia="Times New Roman" w:hAnsi="Calibri" w:cs="Calibri"/>
          <w:color w:val="000000"/>
          <w:kern w:val="0"/>
          <w14:ligatures w14:val="none"/>
        </w:rPr>
      </w:pPr>
      <w:r w:rsidRPr="000F6F6C">
        <w:rPr>
          <w:rFonts w:ascii="Calibri" w:eastAsia="Times New Roman" w:hAnsi="Calibri" w:cs="Calibri"/>
          <w:color w:val="000000"/>
          <w:kern w:val="0"/>
          <w14:ligatures w14:val="none"/>
        </w:rPr>
        <w:t>Debt Equity ratio</w:t>
      </w:r>
      <w:r w:rsidR="000F6F6C" w:rsidRPr="000F6F6C">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Total Debts</m:t>
            </m:r>
          </m:num>
          <m:den>
            <m:r>
              <w:rPr>
                <w:rFonts w:ascii="Cambria Math" w:eastAsia="Times New Roman" w:hAnsi="Cambria Math" w:cs="Calibri"/>
                <w:color w:val="000000"/>
                <w:kern w:val="0"/>
                <w14:ligatures w14:val="none"/>
              </w:rPr>
              <m:t>Shareholde</m:t>
            </m:r>
            <m:sSup>
              <m:sSupPr>
                <m:ctrlPr>
                  <w:rPr>
                    <w:rFonts w:ascii="Cambria Math" w:eastAsia="Times New Roman" w:hAnsi="Cambria Math" w:cs="Calibri"/>
                    <w:i/>
                    <w:color w:val="000000"/>
                    <w:kern w:val="0"/>
                    <w14:ligatures w14:val="none"/>
                  </w:rPr>
                </m:ctrlPr>
              </m:sSupPr>
              <m:e>
                <m:r>
                  <w:rPr>
                    <w:rFonts w:ascii="Cambria Math" w:eastAsia="Times New Roman" w:hAnsi="Cambria Math" w:cs="Calibri"/>
                    <w:color w:val="000000"/>
                    <w:kern w:val="0"/>
                    <w14:ligatures w14:val="none"/>
                  </w:rPr>
                  <m:t>r</m:t>
                </m:r>
              </m:e>
              <m:sup>
                <m:r>
                  <w:rPr>
                    <w:rFonts w:ascii="Cambria Math" w:eastAsia="Times New Roman" w:hAnsi="Cambria Math" w:cs="Calibri"/>
                    <w:color w:val="000000"/>
                    <w:kern w:val="0"/>
                    <w14:ligatures w14:val="none"/>
                  </w:rPr>
                  <m:t>'</m:t>
                </m:r>
              </m:sup>
            </m:sSup>
            <m:r>
              <w:rPr>
                <w:rFonts w:ascii="Cambria Math" w:eastAsia="Times New Roman" w:hAnsi="Cambria Math" w:cs="Calibri"/>
                <w:color w:val="000000"/>
                <w:kern w:val="0"/>
                <w14:ligatures w14:val="none"/>
              </w:rPr>
              <m:t>s Funds</m:t>
            </m:r>
          </m:den>
        </m:f>
      </m:oMath>
    </w:p>
    <w:p w14:paraId="6BB9E253" w14:textId="77777777" w:rsidR="000F6F6C" w:rsidRPr="000F6F6C" w:rsidRDefault="000F6F6C" w:rsidP="000F6F6C">
      <w:pPr>
        <w:pStyle w:val="ListParagraph"/>
        <w:spacing w:after="0" w:line="240" w:lineRule="auto"/>
        <w:ind w:left="1080"/>
        <w:rPr>
          <w:rFonts w:ascii="Calibri" w:eastAsia="Times New Roman" w:hAnsi="Calibri" w:cs="Calibri"/>
          <w:color w:val="000000"/>
          <w:kern w:val="0"/>
          <w14:ligatures w14:val="none"/>
        </w:rPr>
      </w:pPr>
    </w:p>
    <w:p w14:paraId="322BCC3D" w14:textId="77777777" w:rsidR="00B1446C" w:rsidRPr="000F6F6C" w:rsidRDefault="00B1446C" w:rsidP="000F6F6C">
      <w:pPr>
        <w:pStyle w:val="ListParagraph"/>
        <w:numPr>
          <w:ilvl w:val="0"/>
          <w:numId w:val="14"/>
        </w:numPr>
        <w:spacing w:after="0" w:line="240" w:lineRule="auto"/>
        <w:rPr>
          <w:rFonts w:ascii="Calibri" w:eastAsia="Times New Roman" w:hAnsi="Calibri" w:cs="Calibri"/>
          <w:color w:val="000000"/>
          <w:kern w:val="0"/>
          <w14:ligatures w14:val="none"/>
        </w:rPr>
      </w:pPr>
      <w:r w:rsidRPr="000F6F6C">
        <w:rPr>
          <w:rFonts w:ascii="Calibri" w:eastAsia="Times New Roman" w:hAnsi="Calibri" w:cs="Calibri"/>
          <w:color w:val="000000"/>
          <w:kern w:val="0"/>
          <w14:ligatures w14:val="none"/>
        </w:rPr>
        <w:t>Total debt to assets Ratio</w:t>
      </w:r>
      <w:r w:rsidR="000F6F6C" w:rsidRPr="000F6F6C">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Total Debts</m:t>
            </m:r>
          </m:num>
          <m:den>
            <m:r>
              <w:rPr>
                <w:rFonts w:ascii="Cambria Math" w:eastAsia="Times New Roman" w:hAnsi="Cambria Math" w:cs="Calibri"/>
                <w:color w:val="000000"/>
                <w:kern w:val="0"/>
                <w14:ligatures w14:val="none"/>
              </w:rPr>
              <m:t>Total assets</m:t>
            </m:r>
          </m:den>
        </m:f>
      </m:oMath>
    </w:p>
    <w:p w14:paraId="23DE523C" w14:textId="77777777" w:rsidR="000F6F6C" w:rsidRPr="000F6F6C" w:rsidRDefault="000F6F6C" w:rsidP="000F6F6C">
      <w:pPr>
        <w:spacing w:after="0" w:line="240" w:lineRule="auto"/>
        <w:rPr>
          <w:rFonts w:ascii="Calibri" w:eastAsia="Times New Roman" w:hAnsi="Calibri" w:cs="Calibri"/>
          <w:color w:val="000000"/>
          <w:kern w:val="0"/>
          <w14:ligatures w14:val="none"/>
        </w:rPr>
      </w:pPr>
    </w:p>
    <w:p w14:paraId="28A915A9" w14:textId="77777777" w:rsidR="00B1446C" w:rsidRPr="000F6F6C" w:rsidRDefault="008D20BB" w:rsidP="000F6F6C">
      <w:pPr>
        <w:pStyle w:val="ListParagraph"/>
        <w:numPr>
          <w:ilvl w:val="0"/>
          <w:numId w:val="14"/>
        </w:numPr>
        <w:spacing w:after="0" w:line="240" w:lineRule="auto"/>
        <w:rPr>
          <w:rFonts w:ascii="Calibri" w:eastAsia="Times New Roman" w:hAnsi="Calibri" w:cs="Calibri"/>
          <w:color w:val="000000"/>
          <w:kern w:val="0"/>
          <w14:ligatures w14:val="none"/>
        </w:rPr>
      </w:pPr>
      <w:r w:rsidRPr="000F6F6C">
        <w:rPr>
          <w:rFonts w:ascii="Calibri" w:eastAsia="Times New Roman" w:hAnsi="Calibri" w:cs="Calibri"/>
          <w:color w:val="000000"/>
          <w:kern w:val="0"/>
          <w14:ligatures w14:val="none"/>
        </w:rPr>
        <w:t>Proprietary</w:t>
      </w:r>
      <w:r w:rsidR="00B1446C" w:rsidRPr="000F6F6C">
        <w:rPr>
          <w:rFonts w:ascii="Calibri" w:eastAsia="Times New Roman" w:hAnsi="Calibri" w:cs="Calibri"/>
          <w:color w:val="000000"/>
          <w:kern w:val="0"/>
          <w14:ligatures w14:val="none"/>
        </w:rPr>
        <w:t xml:space="preserve"> ratio</w:t>
      </w:r>
      <w:r w:rsidR="000F6F6C" w:rsidRPr="000F6F6C">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Shareholde</m:t>
            </m:r>
            <m:sSup>
              <m:sSupPr>
                <m:ctrlPr>
                  <w:rPr>
                    <w:rFonts w:ascii="Cambria Math" w:eastAsia="Times New Roman" w:hAnsi="Cambria Math" w:cs="Calibri"/>
                    <w:i/>
                    <w:color w:val="000000"/>
                    <w:kern w:val="0"/>
                    <w14:ligatures w14:val="none"/>
                  </w:rPr>
                </m:ctrlPr>
              </m:sSupPr>
              <m:e>
                <m:r>
                  <w:rPr>
                    <w:rFonts w:ascii="Cambria Math" w:eastAsia="Times New Roman" w:hAnsi="Cambria Math" w:cs="Calibri"/>
                    <w:color w:val="000000"/>
                    <w:kern w:val="0"/>
                    <w14:ligatures w14:val="none"/>
                  </w:rPr>
                  <m:t>r</m:t>
                </m:r>
              </m:e>
              <m:sup>
                <m:r>
                  <w:rPr>
                    <w:rFonts w:ascii="Cambria Math" w:eastAsia="Times New Roman" w:hAnsi="Cambria Math" w:cs="Calibri"/>
                    <w:color w:val="000000"/>
                    <w:kern w:val="0"/>
                    <w14:ligatures w14:val="none"/>
                  </w:rPr>
                  <m:t>'</m:t>
                </m:r>
              </m:sup>
            </m:sSup>
            <m:r>
              <w:rPr>
                <w:rFonts w:ascii="Cambria Math" w:eastAsia="Times New Roman" w:hAnsi="Cambria Math" w:cs="Calibri"/>
                <w:color w:val="000000"/>
                <w:kern w:val="0"/>
                <w14:ligatures w14:val="none"/>
              </w:rPr>
              <m:t>sfunds</m:t>
            </m:r>
          </m:num>
          <m:den>
            <m:r>
              <w:rPr>
                <w:rFonts w:ascii="Cambria Math" w:eastAsia="Times New Roman" w:hAnsi="Cambria Math" w:cs="Calibri"/>
                <w:color w:val="000000"/>
                <w:kern w:val="0"/>
                <w14:ligatures w14:val="none"/>
              </w:rPr>
              <m:t>Total assets</m:t>
            </m:r>
          </m:den>
        </m:f>
      </m:oMath>
    </w:p>
    <w:p w14:paraId="52E56223" w14:textId="77777777" w:rsidR="000F6F6C" w:rsidRPr="000F6F6C" w:rsidRDefault="000F6F6C" w:rsidP="000F6F6C">
      <w:pPr>
        <w:pStyle w:val="ListParagraph"/>
        <w:spacing w:after="0" w:line="240" w:lineRule="auto"/>
        <w:ind w:left="1080"/>
        <w:rPr>
          <w:rFonts w:ascii="Calibri" w:eastAsia="Times New Roman" w:hAnsi="Calibri" w:cs="Calibri"/>
          <w:color w:val="000000"/>
          <w:kern w:val="0"/>
          <w14:ligatures w14:val="none"/>
        </w:rPr>
      </w:pPr>
    </w:p>
    <w:p w14:paraId="53AEF16D" w14:textId="77777777" w:rsidR="00B1446C" w:rsidRPr="00B1446C" w:rsidRDefault="00B1446C" w:rsidP="00B1446C">
      <w:pPr>
        <w:spacing w:after="0" w:line="240" w:lineRule="auto"/>
        <w:ind w:left="720"/>
        <w:rPr>
          <w:rFonts w:ascii="Calibri" w:eastAsia="Times New Roman" w:hAnsi="Calibri" w:cs="Calibri"/>
          <w:color w:val="000000"/>
          <w:kern w:val="0"/>
          <w14:ligatures w14:val="none"/>
        </w:rPr>
      </w:pPr>
      <w:r w:rsidRPr="00B1446C">
        <w:rPr>
          <w:rFonts w:ascii="Calibri" w:eastAsia="Times New Roman" w:hAnsi="Calibri" w:cs="Calibri"/>
          <w:color w:val="000000"/>
          <w:kern w:val="0"/>
          <w14:ligatures w14:val="none"/>
        </w:rPr>
        <w:t>(4)  Interest</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Coverage</w:t>
      </w:r>
      <w:r>
        <w:rPr>
          <w:rFonts w:ascii="Calibri" w:eastAsia="Times New Roman" w:hAnsi="Calibri" w:cs="Calibri"/>
          <w:color w:val="000000"/>
          <w:kern w:val="0"/>
          <w14:ligatures w14:val="none"/>
        </w:rPr>
        <w:t xml:space="preserve"> </w:t>
      </w:r>
      <w:r w:rsidRPr="00B1446C">
        <w:rPr>
          <w:rFonts w:ascii="Calibri" w:eastAsia="Times New Roman" w:hAnsi="Calibri" w:cs="Calibri"/>
          <w:color w:val="000000"/>
          <w:kern w:val="0"/>
          <w14:ligatures w14:val="none"/>
        </w:rPr>
        <w:t>Ratio</w:t>
      </w:r>
      <w:r w:rsidR="000F6F6C">
        <w:rPr>
          <w:rFonts w:ascii="Calibri" w:eastAsia="Times New Roman" w:hAnsi="Calibri" w:cs="Calibri"/>
          <w:color w:val="000000"/>
          <w:kern w:val="0"/>
          <w14:ligatures w14:val="none"/>
        </w:rPr>
        <w:t xml:space="preserve">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EBIT</m:t>
            </m:r>
          </m:num>
          <m:den>
            <m:r>
              <w:rPr>
                <w:rFonts w:ascii="Cambria Math" w:eastAsia="Times New Roman" w:hAnsi="Cambria Math" w:cs="Calibri"/>
                <w:color w:val="000000"/>
                <w:kern w:val="0"/>
                <w14:ligatures w14:val="none"/>
              </w:rPr>
              <m:t>Interest</m:t>
            </m:r>
          </m:den>
        </m:f>
      </m:oMath>
    </w:p>
    <w:p w14:paraId="07547A01" w14:textId="77777777" w:rsidR="00B1446C" w:rsidRPr="00B1446C" w:rsidRDefault="00B1446C" w:rsidP="00B1446C">
      <w:pPr>
        <w:rPr>
          <w:rFonts w:ascii="Calibri" w:eastAsia="Times New Roman" w:hAnsi="Calibri" w:cs="Calibri"/>
          <w:b/>
          <w:bCs/>
          <w:color w:val="000000"/>
          <w:kern w:val="0"/>
          <w:sz w:val="28"/>
          <w:szCs w:val="28"/>
          <w14:ligatures w14:val="none"/>
        </w:rPr>
      </w:pPr>
    </w:p>
    <w:p w14:paraId="07459315" w14:textId="734E0A1C" w:rsidR="00B1446C" w:rsidRPr="00B1446C" w:rsidRDefault="3079DB93" w:rsidP="3CEC2BA6">
      <w:pPr>
        <w:rPr>
          <w:rFonts w:ascii="Calibri" w:eastAsia="Times New Roman" w:hAnsi="Calibri" w:cs="Calibri"/>
          <w:b/>
          <w:bCs/>
          <w:color w:val="000000"/>
          <w:kern w:val="0"/>
          <w:sz w:val="28"/>
          <w:szCs w:val="28"/>
          <w14:ligatures w14:val="none"/>
        </w:rPr>
      </w:pPr>
      <w:r w:rsidRPr="3CEC2BA6">
        <w:rPr>
          <w:rFonts w:ascii="Calibri" w:eastAsia="Times New Roman" w:hAnsi="Calibri" w:cs="Calibri"/>
          <w:b/>
          <w:bCs/>
          <w:color w:val="000000" w:themeColor="text1"/>
          <w:sz w:val="28"/>
          <w:szCs w:val="28"/>
        </w:rPr>
        <w:t>5.Valuation Ratio:</w:t>
      </w:r>
    </w:p>
    <w:p w14:paraId="583905D3" w14:textId="5FCCA0B1" w:rsidR="3CEC2BA6" w:rsidRPr="00A1195C" w:rsidRDefault="19D9E863" w:rsidP="00A1195C">
      <w:pPr>
        <w:pStyle w:val="ListParagraph"/>
        <w:numPr>
          <w:ilvl w:val="0"/>
          <w:numId w:val="5"/>
        </w:numPr>
        <w:rPr>
          <w:rFonts w:ascii="Calibri" w:eastAsia="Times New Roman" w:hAnsi="Calibri" w:cs="Calibri"/>
          <w:color w:val="000000" w:themeColor="text1"/>
        </w:rPr>
      </w:pPr>
      <w:r w:rsidRPr="3CEC2BA6">
        <w:rPr>
          <w:rFonts w:ascii="Calibri" w:eastAsia="Times New Roman" w:hAnsi="Calibri" w:cs="Calibri"/>
          <w:color w:val="000000" w:themeColor="text1"/>
        </w:rPr>
        <w:t xml:space="preserve">Dividend Yield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Dividend per share</m:t>
            </m:r>
          </m:num>
          <m:den>
            <m:r>
              <w:rPr>
                <w:rFonts w:ascii="Cambria Math" w:eastAsia="Times New Roman" w:hAnsi="Cambria Math" w:cs="Calibri"/>
                <w:color w:val="000000"/>
                <w:kern w:val="0"/>
                <w14:ligatures w14:val="none"/>
              </w:rPr>
              <m:t>MPS</m:t>
            </m:r>
          </m:den>
        </m:f>
      </m:oMath>
    </w:p>
    <w:p w14:paraId="7B69999F" w14:textId="77777777" w:rsidR="00A1195C" w:rsidRPr="00A1195C" w:rsidRDefault="00A1195C" w:rsidP="00A1195C">
      <w:pPr>
        <w:pStyle w:val="ListParagraph"/>
        <w:ind w:left="1080"/>
        <w:rPr>
          <w:rFonts w:ascii="Calibri" w:eastAsia="Times New Roman" w:hAnsi="Calibri" w:cs="Calibri"/>
          <w:color w:val="000000" w:themeColor="text1"/>
        </w:rPr>
      </w:pPr>
    </w:p>
    <w:p w14:paraId="6537F28F" w14:textId="699350F1" w:rsidR="00B1446C" w:rsidRDefault="00C1742A" w:rsidP="00C1742A">
      <w:pPr>
        <w:pStyle w:val="ListParagraph"/>
        <w:numPr>
          <w:ilvl w:val="0"/>
          <w:numId w:val="15"/>
        </w:numPr>
        <w:spacing w:after="0" w:line="240" w:lineRule="auto"/>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Dividend per share = Equity dividend % * face value</w:t>
      </w:r>
    </w:p>
    <w:p w14:paraId="4FEC9CC4" w14:textId="77777777" w:rsidR="00C1742A" w:rsidRDefault="00C1742A" w:rsidP="00C1742A">
      <w:pPr>
        <w:spacing w:after="0" w:line="240" w:lineRule="auto"/>
        <w:rPr>
          <w:rFonts w:ascii="Calibri" w:eastAsia="Times New Roman" w:hAnsi="Calibri" w:cs="Calibri"/>
          <w:i/>
          <w:iCs/>
          <w:color w:val="000000"/>
          <w:kern w:val="0"/>
          <w:sz w:val="20"/>
          <w:szCs w:val="20"/>
          <w14:ligatures w14:val="none"/>
        </w:rPr>
      </w:pPr>
    </w:p>
    <w:p w14:paraId="0C3BA6DA" w14:textId="7F6FC69B" w:rsidR="00C1742A" w:rsidRPr="00C1742A" w:rsidRDefault="00C1742A" w:rsidP="00C1742A">
      <w:pPr>
        <w:pStyle w:val="ListParagraph"/>
        <w:numPr>
          <w:ilvl w:val="0"/>
          <w:numId w:val="5"/>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Price </w:t>
      </w:r>
      <w:proofErr w:type="spellStart"/>
      <w:r>
        <w:rPr>
          <w:rFonts w:ascii="Calibri" w:eastAsia="Times New Roman" w:hAnsi="Calibri" w:cs="Calibri"/>
          <w:color w:val="000000"/>
          <w:kern w:val="0"/>
          <w14:ligatures w14:val="none"/>
        </w:rPr>
        <w:t>Earning</w:t>
      </w:r>
      <w:proofErr w:type="spellEnd"/>
      <w:r>
        <w:rPr>
          <w:rFonts w:ascii="Calibri" w:eastAsia="Times New Roman" w:hAnsi="Calibri" w:cs="Calibri"/>
          <w:color w:val="000000"/>
          <w:kern w:val="0"/>
          <w14:ligatures w14:val="none"/>
        </w:rPr>
        <w:t xml:space="preserve"> Ratio =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MPS</m:t>
            </m:r>
          </m:num>
          <m:den>
            <m:r>
              <w:rPr>
                <w:rFonts w:ascii="Cambria Math" w:eastAsia="Times New Roman" w:hAnsi="Cambria Math" w:cs="Calibri"/>
                <w:color w:val="000000"/>
                <w:kern w:val="0"/>
                <w14:ligatures w14:val="none"/>
              </w:rPr>
              <m:t>EPS</m:t>
            </m:r>
          </m:den>
        </m:f>
      </m:oMath>
    </w:p>
    <w:p w14:paraId="6DFB9E20" w14:textId="77777777" w:rsidR="00B1446C" w:rsidRPr="00B1446C" w:rsidRDefault="00B1446C" w:rsidP="00B1446C">
      <w:pPr>
        <w:ind w:firstLine="720"/>
        <w:rPr>
          <w:rFonts w:ascii="Calibri" w:eastAsia="Times New Roman" w:hAnsi="Calibri" w:cs="Calibri"/>
          <w:color w:val="000000"/>
          <w:kern w:val="0"/>
          <w14:ligatures w14:val="none"/>
        </w:rPr>
      </w:pPr>
    </w:p>
    <w:p w14:paraId="70DF9E56" w14:textId="06766402" w:rsidR="00F75CEF" w:rsidRPr="00C1742A" w:rsidRDefault="00C1742A" w:rsidP="00C1742A">
      <w:pPr>
        <w:pStyle w:val="ListParagraph"/>
        <w:numPr>
          <w:ilvl w:val="0"/>
          <w:numId w:val="5"/>
        </w:numPr>
        <w:rPr>
          <w:rFonts w:ascii="Calibri" w:eastAsia="Times New Roman" w:hAnsi="Calibri" w:cs="Calibri"/>
          <w:color w:val="000000"/>
          <w:kern w:val="0"/>
          <w:sz w:val="24"/>
          <w:szCs w:val="24"/>
          <w14:ligatures w14:val="none"/>
        </w:rPr>
      </w:pPr>
      <w:r w:rsidRPr="00A1195C">
        <w:rPr>
          <w:rFonts w:ascii="Calibri" w:eastAsia="Times New Roman" w:hAnsi="Calibri" w:cs="Calibri"/>
          <w:color w:val="000000"/>
          <w:kern w:val="0"/>
          <w14:ligatures w14:val="none"/>
        </w:rPr>
        <w:t xml:space="preserve">Enterprise value to EBIDTA Ratio </w:t>
      </w:r>
      <w:r>
        <w:rPr>
          <w:rFonts w:ascii="Calibri" w:eastAsia="Times New Roman" w:hAnsi="Calibri" w:cs="Calibri"/>
          <w:color w:val="000000"/>
          <w:kern w:val="0"/>
          <w:sz w:val="24"/>
          <w:szCs w:val="24"/>
          <w14:ligatures w14:val="none"/>
        </w:rPr>
        <w:t xml:space="preserve">= </w:t>
      </w:r>
      <m:oMath>
        <m:f>
          <m:fPr>
            <m:ctrlPr>
              <w:rPr>
                <w:rFonts w:ascii="Cambria Math" w:eastAsia="Times New Roman" w:hAnsi="Cambria Math" w:cs="Calibri"/>
                <w:i/>
                <w:color w:val="000000"/>
                <w:kern w:val="0"/>
                <w14:ligatures w14:val="none"/>
              </w:rPr>
            </m:ctrlPr>
          </m:fPr>
          <m:num>
            <m:r>
              <w:rPr>
                <w:rFonts w:ascii="Cambria Math" w:eastAsia="Times New Roman" w:hAnsi="Cambria Math" w:cs="Calibri"/>
                <w:color w:val="000000"/>
                <w:kern w:val="0"/>
                <w14:ligatures w14:val="none"/>
              </w:rPr>
              <m:t>Enterprise value</m:t>
            </m:r>
          </m:num>
          <m:den>
            <m:r>
              <w:rPr>
                <w:rFonts w:ascii="Cambria Math" w:eastAsia="Times New Roman" w:hAnsi="Cambria Math" w:cs="Calibri"/>
                <w:color w:val="000000"/>
                <w:kern w:val="0"/>
                <w14:ligatures w14:val="none"/>
              </w:rPr>
              <m:t>EBIDTA</m:t>
            </m:r>
          </m:den>
        </m:f>
      </m:oMath>
    </w:p>
    <w:p w14:paraId="2E071255" w14:textId="77777777" w:rsidR="00C1742A" w:rsidRPr="00C1742A" w:rsidRDefault="00C1742A" w:rsidP="00C1742A">
      <w:pPr>
        <w:pStyle w:val="ListParagraph"/>
        <w:rPr>
          <w:rFonts w:ascii="Calibri" w:eastAsia="Times New Roman" w:hAnsi="Calibri" w:cs="Calibri"/>
          <w:color w:val="000000"/>
          <w:kern w:val="0"/>
          <w:sz w:val="24"/>
          <w:szCs w:val="24"/>
          <w14:ligatures w14:val="none"/>
        </w:rPr>
      </w:pPr>
    </w:p>
    <w:p w14:paraId="74C1131C" w14:textId="48F28CC9" w:rsidR="00C1742A" w:rsidRDefault="00C1742A" w:rsidP="00A1195C">
      <w:pPr>
        <w:pStyle w:val="ListParagraph"/>
        <w:numPr>
          <w:ilvl w:val="0"/>
          <w:numId w:val="15"/>
        </w:numPr>
        <w:spacing w:after="0"/>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Enterprise Value = MPS * Number of shares</w:t>
      </w:r>
    </w:p>
    <w:p w14:paraId="73802981" w14:textId="77777777" w:rsidR="00A1195C" w:rsidRDefault="00A1195C" w:rsidP="00A1195C">
      <w:pPr>
        <w:pStyle w:val="ListParagraph"/>
        <w:spacing w:after="0"/>
        <w:ind w:left="1800"/>
        <w:rPr>
          <w:rFonts w:ascii="Calibri" w:eastAsia="Times New Roman" w:hAnsi="Calibri" w:cs="Calibri"/>
          <w:i/>
          <w:iCs/>
          <w:color w:val="000000"/>
          <w:kern w:val="0"/>
          <w:sz w:val="20"/>
          <w:szCs w:val="20"/>
          <w14:ligatures w14:val="none"/>
        </w:rPr>
      </w:pPr>
    </w:p>
    <w:p w14:paraId="2BBAF7EF" w14:textId="002D993E" w:rsidR="00A1195C" w:rsidRPr="00A1195C" w:rsidRDefault="00A1195C" w:rsidP="00A1195C">
      <w:pPr>
        <w:pStyle w:val="ListParagraph"/>
        <w:numPr>
          <w:ilvl w:val="0"/>
          <w:numId w:val="15"/>
        </w:numPr>
        <w:spacing w:after="0"/>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EBIDTA = Operating Profit</w:t>
      </w:r>
    </w:p>
    <w:p w14:paraId="343AD481" w14:textId="77777777" w:rsidR="00C1742A" w:rsidRPr="00C1742A" w:rsidRDefault="00C1742A" w:rsidP="00A1195C">
      <w:pPr>
        <w:pStyle w:val="ListParagraph"/>
        <w:spacing w:after="0"/>
        <w:ind w:left="1800"/>
        <w:rPr>
          <w:rFonts w:ascii="Calibri" w:eastAsia="Times New Roman" w:hAnsi="Calibri" w:cs="Calibri"/>
          <w:i/>
          <w:iCs/>
          <w:color w:val="000000"/>
          <w:kern w:val="0"/>
          <w:sz w:val="20"/>
          <w:szCs w:val="20"/>
          <w14:ligatures w14:val="none"/>
        </w:rPr>
      </w:pPr>
    </w:p>
    <w:p w14:paraId="230FD451" w14:textId="322FD862" w:rsidR="00C1742A" w:rsidRDefault="00C1742A" w:rsidP="00A1195C">
      <w:pPr>
        <w:pStyle w:val="ListParagraph"/>
        <w:numPr>
          <w:ilvl w:val="0"/>
          <w:numId w:val="15"/>
        </w:numPr>
        <w:spacing w:after="0"/>
        <w:rPr>
          <w:rFonts w:ascii="Calibri" w:eastAsia="Times New Roman" w:hAnsi="Calibri" w:cs="Calibri"/>
          <w:i/>
          <w:iCs/>
          <w:color w:val="000000"/>
          <w:kern w:val="0"/>
          <w:sz w:val="20"/>
          <w:szCs w:val="20"/>
          <w14:ligatures w14:val="none"/>
        </w:rPr>
      </w:pPr>
      <w:r w:rsidRPr="00C1742A">
        <w:rPr>
          <w:rFonts w:ascii="Calibri" w:eastAsia="Times New Roman" w:hAnsi="Calibri" w:cs="Calibri"/>
          <w:i/>
          <w:iCs/>
          <w:color w:val="000000"/>
          <w:kern w:val="0"/>
          <w:sz w:val="20"/>
          <w:szCs w:val="20"/>
          <w14:ligatures w14:val="none"/>
        </w:rPr>
        <w:t xml:space="preserve">Number of shares = </w:t>
      </w:r>
      <m:oMath>
        <m:f>
          <m:fPr>
            <m:ctrlPr>
              <w:rPr>
                <w:rFonts w:ascii="Cambria Math" w:eastAsia="Times New Roman" w:hAnsi="Cambria Math" w:cs="Calibri"/>
                <w:i/>
                <w:iCs/>
                <w:color w:val="000000"/>
                <w:kern w:val="0"/>
                <w:sz w:val="20"/>
                <w:szCs w:val="20"/>
                <w14:ligatures w14:val="none"/>
              </w:rPr>
            </m:ctrlPr>
          </m:fPr>
          <m:num>
            <m:r>
              <w:rPr>
                <w:rFonts w:ascii="Cambria Math" w:eastAsia="Times New Roman" w:hAnsi="Cambria Math" w:cs="Calibri"/>
                <w:color w:val="000000"/>
                <w:kern w:val="0"/>
                <w:sz w:val="20"/>
                <w:szCs w:val="20"/>
                <w14:ligatures w14:val="none"/>
              </w:rPr>
              <m:t>Profit after tax</m:t>
            </m:r>
          </m:num>
          <m:den>
            <m:r>
              <w:rPr>
                <w:rFonts w:ascii="Cambria Math" w:eastAsia="Times New Roman" w:hAnsi="Cambria Math" w:cs="Calibri"/>
                <w:color w:val="000000"/>
                <w:kern w:val="0"/>
                <w:sz w:val="20"/>
                <w:szCs w:val="20"/>
                <w14:ligatures w14:val="none"/>
              </w:rPr>
              <m:t>EPS</m:t>
            </m:r>
          </m:den>
        </m:f>
      </m:oMath>
    </w:p>
    <w:p w14:paraId="7618823B" w14:textId="77777777" w:rsidR="00C1742A" w:rsidRPr="00C1742A" w:rsidRDefault="00C1742A" w:rsidP="00C1742A">
      <w:pPr>
        <w:pStyle w:val="ListParagraph"/>
        <w:rPr>
          <w:rFonts w:ascii="Calibri" w:eastAsia="Times New Roman" w:hAnsi="Calibri" w:cs="Calibri"/>
          <w:i/>
          <w:iCs/>
          <w:color w:val="000000"/>
          <w:kern w:val="0"/>
          <w:sz w:val="20"/>
          <w:szCs w:val="20"/>
          <w14:ligatures w14:val="none"/>
        </w:rPr>
      </w:pPr>
    </w:p>
    <w:p w14:paraId="68894B3E" w14:textId="4584D92B" w:rsidR="00C1742A" w:rsidRPr="00A1195C" w:rsidRDefault="00A1195C" w:rsidP="00A1195C">
      <w:pPr>
        <w:pStyle w:val="ListParagraph"/>
        <w:numPr>
          <w:ilvl w:val="0"/>
          <w:numId w:val="5"/>
        </w:numPr>
        <w:spacing w:after="360"/>
        <w:rPr>
          <w:rFonts w:ascii="Calibri" w:eastAsia="Times New Roman" w:hAnsi="Calibri" w:cs="Calibri"/>
          <w:color w:val="000000"/>
          <w:kern w:val="0"/>
          <w:sz w:val="20"/>
          <w:szCs w:val="20"/>
          <w14:ligatures w14:val="none"/>
        </w:rPr>
      </w:pPr>
      <w:r w:rsidRPr="00A1195C">
        <w:rPr>
          <w:rFonts w:ascii="Calibri" w:eastAsia="Times New Roman" w:hAnsi="Calibri" w:cs="Calibri"/>
          <w:color w:val="000000"/>
          <w:kern w:val="0"/>
          <w14:ligatures w14:val="none"/>
        </w:rPr>
        <w:t>DU-Pont Analysis = Net Profit Margin * Total assets turnover ratio</w:t>
      </w:r>
    </w:p>
    <w:p w14:paraId="2A1F1ADA" w14:textId="77777777" w:rsidR="00A1195C" w:rsidRPr="00A1195C" w:rsidRDefault="00A1195C" w:rsidP="00A1195C">
      <w:pPr>
        <w:pStyle w:val="ListParagraph"/>
        <w:spacing w:after="360"/>
        <w:ind w:left="1080"/>
        <w:rPr>
          <w:rFonts w:ascii="Calibri" w:eastAsia="Times New Roman" w:hAnsi="Calibri" w:cs="Calibri"/>
          <w:color w:val="000000"/>
          <w:kern w:val="0"/>
          <w:sz w:val="20"/>
          <w:szCs w:val="20"/>
          <w14:ligatures w14:val="none"/>
        </w:rPr>
      </w:pPr>
    </w:p>
    <w:p w14:paraId="34621E8A" w14:textId="13A84E51" w:rsidR="00A1195C" w:rsidRPr="00310114" w:rsidRDefault="00A1195C" w:rsidP="00310114">
      <w:pPr>
        <w:pStyle w:val="ListParagraph"/>
        <w:numPr>
          <w:ilvl w:val="0"/>
          <w:numId w:val="16"/>
        </w:numPr>
        <w:spacing w:after="360"/>
        <w:rPr>
          <w:rFonts w:ascii="Calibri" w:eastAsia="Times New Roman" w:hAnsi="Calibri" w:cs="Calibri"/>
          <w:i/>
          <w:iCs/>
          <w:color w:val="000000"/>
          <w:kern w:val="0"/>
          <w:sz w:val="20"/>
          <w:szCs w:val="20"/>
          <w14:ligatures w14:val="none"/>
        </w:rPr>
      </w:pPr>
      <w:r w:rsidRPr="00A1195C">
        <w:rPr>
          <w:rFonts w:ascii="Calibri" w:eastAsia="Times New Roman" w:hAnsi="Calibri" w:cs="Calibri"/>
          <w:i/>
          <w:iCs/>
          <w:color w:val="000000"/>
          <w:kern w:val="0"/>
          <w:sz w:val="20"/>
          <w:szCs w:val="20"/>
          <w14:ligatures w14:val="none"/>
        </w:rPr>
        <w:t xml:space="preserve">Net Profit Margin =  </w:t>
      </w:r>
      <m:oMath>
        <m:f>
          <m:fPr>
            <m:ctrlPr>
              <w:rPr>
                <w:rFonts w:ascii="Cambria Math" w:eastAsia="Times New Roman" w:hAnsi="Cambria Math" w:cs="Calibri"/>
                <w:i/>
                <w:iCs/>
                <w:color w:val="000000"/>
                <w:kern w:val="0"/>
                <w:sz w:val="20"/>
                <w:szCs w:val="20"/>
                <w14:ligatures w14:val="none"/>
              </w:rPr>
            </m:ctrlPr>
          </m:fPr>
          <m:num>
            <m:r>
              <w:rPr>
                <w:rFonts w:ascii="Cambria Math" w:eastAsia="Times New Roman" w:hAnsi="Cambria Math" w:cs="Calibri"/>
                <w:color w:val="000000"/>
                <w:kern w:val="0"/>
                <w:sz w:val="20"/>
                <w:szCs w:val="20"/>
                <w14:ligatures w14:val="none"/>
              </w:rPr>
              <m:t>Profit after tax</m:t>
            </m:r>
          </m:num>
          <m:den>
            <m:r>
              <w:rPr>
                <w:rFonts w:ascii="Cambria Math" w:eastAsia="Times New Roman" w:hAnsi="Cambria Math" w:cs="Calibri"/>
                <w:color w:val="000000"/>
                <w:kern w:val="0"/>
                <w:sz w:val="20"/>
                <w:szCs w:val="20"/>
                <w14:ligatures w14:val="none"/>
              </w:rPr>
              <m:t>Net Sales</m:t>
            </m:r>
          </m:den>
        </m:f>
      </m:oMath>
      <w:r w:rsidRPr="00A1195C">
        <w:rPr>
          <w:rFonts w:ascii="Calibri" w:eastAsia="Times New Roman" w:hAnsi="Calibri" w:cs="Calibri"/>
          <w:i/>
          <w:iCs/>
          <w:color w:val="000000"/>
          <w:kern w:val="0"/>
          <w:sz w:val="20"/>
          <w:szCs w:val="20"/>
          <w14:ligatures w14:val="none"/>
        </w:rPr>
        <w:t xml:space="preserve"> * 100</w:t>
      </w:r>
    </w:p>
    <w:p w14:paraId="217F0A5A" w14:textId="1E7B2A8D" w:rsidR="097CE612" w:rsidRPr="00310114" w:rsidRDefault="3FE2AFB6" w:rsidP="00310114">
      <w:pPr>
        <w:pStyle w:val="ListParagraph"/>
        <w:numPr>
          <w:ilvl w:val="0"/>
          <w:numId w:val="16"/>
        </w:numPr>
        <w:spacing w:after="360"/>
        <w:rPr>
          <w:rFonts w:ascii="Calibri" w:eastAsia="Times New Roman" w:hAnsi="Calibri" w:cs="Calibri"/>
          <w:i/>
          <w:iCs/>
          <w:color w:val="000000"/>
          <w:kern w:val="0"/>
          <w:sz w:val="20"/>
          <w:szCs w:val="20"/>
          <w14:ligatures w14:val="none"/>
        </w:rPr>
      </w:pPr>
      <w:r w:rsidRPr="097CE612">
        <w:rPr>
          <w:rFonts w:ascii="Calibri" w:eastAsia="Times New Roman" w:hAnsi="Calibri" w:cs="Calibri"/>
          <w:i/>
          <w:iCs/>
          <w:color w:val="000000"/>
          <w:kern w:val="0"/>
          <w:sz w:val="20"/>
          <w:szCs w:val="20"/>
          <w14:ligatures w14:val="none"/>
        </w:rPr>
        <w:t xml:space="preserve">Total assets turnover ratio = </w:t>
      </w:r>
      <m:oMath>
        <m:f>
          <m:fPr>
            <m:ctrlPr>
              <w:rPr>
                <w:rFonts w:ascii="Cambria Math" w:eastAsia="Times New Roman" w:hAnsi="Cambria Math" w:cs="Calibri"/>
                <w:i/>
                <w:iCs/>
                <w:color w:val="000000"/>
                <w:kern w:val="0"/>
                <w:sz w:val="20"/>
                <w:szCs w:val="20"/>
                <w14:ligatures w14:val="none"/>
              </w:rPr>
            </m:ctrlPr>
          </m:fPr>
          <m:num>
            <m:r>
              <w:rPr>
                <w:rFonts w:ascii="Cambria Math" w:eastAsia="Times New Roman" w:hAnsi="Cambria Math" w:cs="Calibri"/>
                <w:color w:val="000000"/>
                <w:kern w:val="0"/>
                <w:sz w:val="20"/>
                <w:szCs w:val="20"/>
                <w14:ligatures w14:val="none"/>
              </w:rPr>
              <m:t>Net sales</m:t>
            </m:r>
          </m:num>
          <m:den>
            <m:r>
              <w:rPr>
                <w:rFonts w:ascii="Cambria Math" w:eastAsia="Times New Roman" w:hAnsi="Cambria Math" w:cs="Calibri"/>
                <w:color w:val="000000"/>
                <w:kern w:val="0"/>
                <w:sz w:val="20"/>
                <w:szCs w:val="20"/>
                <w14:ligatures w14:val="none"/>
              </w:rPr>
              <m:t>Average total Assets</m:t>
            </m:r>
          </m:den>
        </m:f>
      </m:oMath>
    </w:p>
    <w:p w14:paraId="3451A696" w14:textId="45945351" w:rsidR="00135CA5" w:rsidRDefault="00135CA5" w:rsidP="00135CA5">
      <w:pPr>
        <w:spacing w:after="360"/>
        <w:jc w:val="center"/>
        <w:rPr>
          <w:rFonts w:ascii="Calibri" w:eastAsia="Times New Roman" w:hAnsi="Calibri" w:cs="Calibri"/>
          <w:b/>
          <w:bCs/>
          <w:color w:val="000000"/>
          <w:kern w:val="0"/>
          <w:sz w:val="48"/>
          <w:szCs w:val="48"/>
          <w:u w:val="single"/>
          <w14:ligatures w14:val="none"/>
        </w:rPr>
      </w:pPr>
      <w:r w:rsidRPr="00135CA5">
        <w:rPr>
          <w:rFonts w:ascii="Calibri" w:eastAsia="Times New Roman" w:hAnsi="Calibri" w:cs="Calibri"/>
          <w:b/>
          <w:bCs/>
          <w:color w:val="000000"/>
          <w:kern w:val="0"/>
          <w:sz w:val="48"/>
          <w:szCs w:val="48"/>
          <w:u w:val="single"/>
          <w14:ligatures w14:val="none"/>
        </w:rPr>
        <w:lastRenderedPageBreak/>
        <w:t>Ratio’s Graphs</w:t>
      </w:r>
    </w:p>
    <w:p w14:paraId="77AE4084" w14:textId="296A8405" w:rsidR="00135CA5" w:rsidRDefault="0C8B897E" w:rsidP="00135CA5">
      <w:pPr>
        <w:spacing w:after="0"/>
        <w:rPr>
          <w:rFonts w:ascii="Calibri" w:eastAsia="Times New Roman" w:hAnsi="Calibri" w:cs="Calibri"/>
          <w:b/>
          <w:bCs/>
          <w:color w:val="000000"/>
          <w:kern w:val="0"/>
          <w:sz w:val="28"/>
          <w:szCs w:val="28"/>
          <w14:ligatures w14:val="none"/>
        </w:rPr>
      </w:pPr>
      <w:r w:rsidRPr="00135CA5">
        <w:rPr>
          <w:rFonts w:ascii="Calibri" w:eastAsia="Times New Roman" w:hAnsi="Calibri" w:cs="Calibri"/>
          <w:b/>
          <w:bCs/>
          <w:color w:val="000000"/>
          <w:kern w:val="0"/>
          <w:sz w:val="28"/>
          <w:szCs w:val="28"/>
          <w14:ligatures w14:val="none"/>
        </w:rPr>
        <w:t>1.</w:t>
      </w:r>
      <w:r>
        <w:rPr>
          <w:rFonts w:ascii="Calibri" w:eastAsia="Times New Roman" w:hAnsi="Calibri" w:cs="Calibri"/>
          <w:b/>
          <w:bCs/>
          <w:color w:val="000000"/>
          <w:kern w:val="0"/>
          <w:sz w:val="28"/>
          <w:szCs w:val="28"/>
          <w14:ligatures w14:val="none"/>
        </w:rPr>
        <w:t xml:space="preserve"> </w:t>
      </w:r>
      <w:r w:rsidR="39302914">
        <w:rPr>
          <w:rFonts w:ascii="Calibri" w:eastAsia="Times New Roman" w:hAnsi="Calibri" w:cs="Calibri"/>
          <w:b/>
          <w:bCs/>
          <w:color w:val="000000"/>
          <w:kern w:val="0"/>
          <w:sz w:val="28"/>
          <w:szCs w:val="28"/>
          <w14:ligatures w14:val="none"/>
        </w:rPr>
        <w:t>Current Ratio</w:t>
      </w:r>
      <w:r w:rsidRPr="00135CA5">
        <w:rPr>
          <w:rFonts w:ascii="Calibri" w:eastAsia="Times New Roman" w:hAnsi="Calibri" w:cs="Calibri"/>
          <w:b/>
          <w:bCs/>
          <w:color w:val="000000"/>
          <w:kern w:val="0"/>
          <w:sz w:val="28"/>
          <w:szCs w:val="28"/>
          <w14:ligatures w14:val="none"/>
        </w:rPr>
        <w:t xml:space="preserve">: </w:t>
      </w:r>
    </w:p>
    <w:p w14:paraId="6B1AE4AF" w14:textId="0DCD4A3B" w:rsidR="00135CA5" w:rsidRPr="00135CA5" w:rsidRDefault="00135CA5" w:rsidP="00135CA5">
      <w:pPr>
        <w:spacing w:after="0"/>
        <w:rPr>
          <w:rFonts w:ascii="Calibri" w:eastAsia="Times New Roman" w:hAnsi="Calibri" w:cs="Calibri"/>
          <w:b/>
          <w:bCs/>
          <w:color w:val="000000"/>
          <w:kern w:val="0"/>
          <w:sz w:val="28"/>
          <w:szCs w:val="28"/>
          <w14:ligatures w14:val="none"/>
        </w:rPr>
      </w:pPr>
    </w:p>
    <w:p w14:paraId="11186175" w14:textId="31BE90BD" w:rsidR="00135CA5" w:rsidRDefault="00827390" w:rsidP="00827390">
      <w:pPr>
        <w:spacing w:after="360"/>
        <w:jc w:val="center"/>
      </w:pPr>
      <w:r>
        <w:rPr>
          <w:noProof/>
        </w:rPr>
        <w:drawing>
          <wp:inline distT="0" distB="0" distL="0" distR="0" wp14:anchorId="76C376F4" wp14:editId="699E1E9C">
            <wp:extent cx="4572000" cy="2743200"/>
            <wp:effectExtent l="0" t="0" r="0" b="0"/>
            <wp:docPr id="454568331" name="Chart 1">
              <a:extLst xmlns:a="http://schemas.openxmlformats.org/drawingml/2006/main">
                <a:ext uri="{FF2B5EF4-FFF2-40B4-BE49-F238E27FC236}">
                  <a16:creationId xmlns:a16="http://schemas.microsoft.com/office/drawing/2014/main" id="{CB051095-3A35-44CE-A42F-CD328602DE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A09423" w14:textId="77777777" w:rsidR="00C4120E" w:rsidRDefault="00C4120E" w:rsidP="00135CA5">
      <w:pPr>
        <w:spacing w:after="360"/>
        <w:rPr>
          <w:rFonts w:ascii="Calibri" w:eastAsia="Times New Roman" w:hAnsi="Calibri" w:cs="Calibri"/>
          <w:b/>
          <w:bCs/>
          <w:i/>
          <w:iCs/>
          <w:color w:val="000000"/>
          <w:kern w:val="0"/>
          <w:sz w:val="24"/>
          <w:szCs w:val="24"/>
          <w14:ligatures w14:val="none"/>
        </w:rPr>
      </w:pPr>
    </w:p>
    <w:p w14:paraId="59F48C2F" w14:textId="42CE2CFC" w:rsidR="00135CA5" w:rsidRDefault="0C8B897E" w:rsidP="00135CA5">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1A055BA1" w14:textId="77777777" w:rsidR="00C4120E" w:rsidRPr="00C4120E" w:rsidRDefault="00B94AFB" w:rsidP="00866DFD">
      <w:pPr>
        <w:spacing w:after="360"/>
        <w:jc w:val="both"/>
        <w:rPr>
          <w:rFonts w:ascii="Calibri" w:eastAsia="Times New Roman" w:hAnsi="Calibri" w:cs="Calibri"/>
          <w:color w:val="000000"/>
          <w:kern w:val="0"/>
          <w:sz w:val="24"/>
          <w:szCs w:val="24"/>
          <w14:ligatures w14:val="none"/>
        </w:rPr>
      </w:pPr>
      <w:r w:rsidRPr="00C4120E">
        <w:rPr>
          <w:rFonts w:ascii="Calibri" w:eastAsia="Times New Roman" w:hAnsi="Calibri" w:cs="Calibri"/>
          <w:color w:val="000000"/>
          <w:kern w:val="0"/>
          <w:sz w:val="24"/>
          <w:szCs w:val="24"/>
          <w14:ligatures w14:val="none"/>
        </w:rPr>
        <w:t>The current ratio has been fluctuating over the past five years. It decreased from 2019 to 2020, increased in 2021, decreased again in 2022, and increased in 2023. This indicates some variability in the company's ability to meet its short-term obligations. A current ratio above 1 (which all the values are) generally suggests that the company has more current assets than current liabilities. This implies that, in the short term, the company should be able to cover its obligations.</w:t>
      </w:r>
    </w:p>
    <w:p w14:paraId="19B4FBBD"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2441EEFD"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38A7F338"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61805F85"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099603D3"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156A853A" w14:textId="77777777" w:rsidR="00C4120E" w:rsidRDefault="00C4120E" w:rsidP="00866DFD">
      <w:pPr>
        <w:spacing w:after="360"/>
        <w:jc w:val="both"/>
        <w:rPr>
          <w:rFonts w:ascii="Calibri" w:eastAsia="Times New Roman" w:hAnsi="Calibri" w:cs="Calibri"/>
          <w:b/>
          <w:bCs/>
          <w:color w:val="000000"/>
          <w:kern w:val="0"/>
          <w:sz w:val="28"/>
          <w:szCs w:val="28"/>
          <w14:ligatures w14:val="none"/>
        </w:rPr>
      </w:pPr>
    </w:p>
    <w:p w14:paraId="3287A11D" w14:textId="5B1D7DA8" w:rsidR="00135CA5" w:rsidRPr="00C4120E" w:rsidRDefault="0C8B897E" w:rsidP="00866DFD">
      <w:pPr>
        <w:spacing w:after="360"/>
        <w:jc w:val="both"/>
        <w:rPr>
          <w:rFonts w:ascii="Calibri" w:eastAsia="Times New Roman" w:hAnsi="Calibri" w:cs="Calibri"/>
          <w:b/>
          <w:bCs/>
          <w:color w:val="000000"/>
          <w:kern w:val="0"/>
          <w:sz w:val="28"/>
          <w:szCs w:val="28"/>
          <w14:ligatures w14:val="none"/>
        </w:rPr>
      </w:pPr>
      <w:r w:rsidRPr="00C4120E">
        <w:rPr>
          <w:rFonts w:ascii="Calibri" w:eastAsia="Times New Roman" w:hAnsi="Calibri" w:cs="Calibri"/>
          <w:b/>
          <w:bCs/>
          <w:color w:val="000000"/>
          <w:kern w:val="0"/>
          <w:sz w:val="28"/>
          <w:szCs w:val="28"/>
          <w14:ligatures w14:val="none"/>
        </w:rPr>
        <w:t xml:space="preserve">2. Quick Ratio: </w:t>
      </w:r>
    </w:p>
    <w:p w14:paraId="48EDBADE" w14:textId="0F1B023B" w:rsidR="00135CA5" w:rsidRDefault="00135CA5" w:rsidP="097CE612">
      <w:pPr>
        <w:spacing w:after="360"/>
        <w:jc w:val="center"/>
      </w:pPr>
    </w:p>
    <w:p w14:paraId="10975483" w14:textId="0D2D41FC" w:rsidR="00135CA5" w:rsidRDefault="00827390" w:rsidP="00827390">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1C492136" wp14:editId="7DA390E4">
            <wp:extent cx="4572000" cy="2743200"/>
            <wp:effectExtent l="0" t="0" r="0" b="0"/>
            <wp:docPr id="1896952712" name="Chart 1">
              <a:extLst xmlns:a="http://schemas.openxmlformats.org/drawingml/2006/main">
                <a:ext uri="{FF2B5EF4-FFF2-40B4-BE49-F238E27FC236}">
                  <a16:creationId xmlns:a16="http://schemas.microsoft.com/office/drawing/2014/main" id="{20DF5B7F-8BED-448D-A4B2-83F2C90E9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9D9B35" w14:textId="77777777" w:rsidR="00C4120E" w:rsidRDefault="00C4120E" w:rsidP="097CE612">
      <w:pPr>
        <w:spacing w:after="360"/>
        <w:rPr>
          <w:rFonts w:ascii="Calibri" w:eastAsia="Times New Roman" w:hAnsi="Calibri" w:cs="Calibri"/>
          <w:b/>
          <w:bCs/>
          <w:i/>
          <w:iCs/>
          <w:color w:val="000000"/>
          <w:kern w:val="0"/>
          <w:sz w:val="24"/>
          <w:szCs w:val="24"/>
          <w14:ligatures w14:val="none"/>
        </w:rPr>
      </w:pPr>
    </w:p>
    <w:p w14:paraId="3FE9097E" w14:textId="72192497" w:rsidR="00135CA5" w:rsidRDefault="0C8B897E" w:rsidP="097CE612">
      <w:pPr>
        <w:spacing w:after="360"/>
        <w:rPr>
          <w:rFonts w:ascii="Calibri" w:eastAsia="Times New Roman" w:hAnsi="Calibri" w:cs="Calibri"/>
          <w:b/>
          <w:bCs/>
          <w:i/>
          <w:iCs/>
          <w:color w:val="000000" w:themeColor="text1"/>
          <w:sz w:val="24"/>
          <w:szCs w:val="24"/>
        </w:rPr>
      </w:pPr>
      <w:r w:rsidRPr="097CE612">
        <w:rPr>
          <w:rFonts w:ascii="Calibri" w:eastAsia="Times New Roman" w:hAnsi="Calibri" w:cs="Calibri"/>
          <w:b/>
          <w:bCs/>
          <w:i/>
          <w:iCs/>
          <w:color w:val="000000"/>
          <w:kern w:val="0"/>
          <w:sz w:val="24"/>
          <w:szCs w:val="24"/>
          <w14:ligatures w14:val="none"/>
        </w:rPr>
        <w:t xml:space="preserve">Interpretation: </w:t>
      </w:r>
    </w:p>
    <w:p w14:paraId="0406D398" w14:textId="77777777" w:rsidR="00C133FE" w:rsidRPr="00C133FE" w:rsidRDefault="67741A8C" w:rsidP="00C133FE">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quick </w:t>
      </w:r>
      <w:r w:rsidR="5B98A509" w:rsidRPr="097CE612">
        <w:rPr>
          <w:rFonts w:ascii="Calibri" w:eastAsia="Times New Roman" w:hAnsi="Calibri" w:cs="Calibri"/>
          <w:color w:val="000000" w:themeColor="text1"/>
          <w:sz w:val="24"/>
          <w:szCs w:val="24"/>
        </w:rPr>
        <w:t>ratio</w:t>
      </w:r>
      <w:r w:rsidRPr="097CE612">
        <w:rPr>
          <w:rFonts w:ascii="Calibri" w:eastAsia="Times New Roman" w:hAnsi="Calibri" w:cs="Calibri"/>
          <w:color w:val="000000" w:themeColor="text1"/>
          <w:sz w:val="24"/>
          <w:szCs w:val="24"/>
        </w:rPr>
        <w:t xml:space="preserve"> in March-2021 is the highest which is 0.533 which interprets that company</w:t>
      </w:r>
      <w:r w:rsidR="3EAAF50A" w:rsidRPr="097CE612">
        <w:rPr>
          <w:rFonts w:ascii="Calibri" w:eastAsia="Times New Roman" w:hAnsi="Calibri" w:cs="Calibri"/>
          <w:color w:val="000000" w:themeColor="text1"/>
          <w:sz w:val="24"/>
          <w:szCs w:val="24"/>
        </w:rPr>
        <w:t xml:space="preserve"> for every 1 Rupee of current liabilities there is only </w:t>
      </w:r>
      <w:r w:rsidR="7D55B2CD" w:rsidRPr="097CE612">
        <w:rPr>
          <w:rFonts w:ascii="Calibri" w:eastAsia="Times New Roman" w:hAnsi="Calibri" w:cs="Calibri"/>
          <w:color w:val="000000" w:themeColor="text1"/>
          <w:sz w:val="24"/>
          <w:szCs w:val="24"/>
        </w:rPr>
        <w:t xml:space="preserve">rupee </w:t>
      </w:r>
      <w:r w:rsidR="3EAAF50A" w:rsidRPr="097CE612">
        <w:rPr>
          <w:rFonts w:ascii="Calibri" w:eastAsia="Times New Roman" w:hAnsi="Calibri" w:cs="Calibri"/>
          <w:color w:val="000000" w:themeColor="text1"/>
          <w:sz w:val="24"/>
          <w:szCs w:val="24"/>
        </w:rPr>
        <w:t xml:space="preserve">0.533 of quick assets </w:t>
      </w:r>
      <w:r w:rsidR="11B46CFD" w:rsidRPr="097CE612">
        <w:rPr>
          <w:rFonts w:ascii="Calibri" w:eastAsia="Times New Roman" w:hAnsi="Calibri" w:cs="Calibri"/>
          <w:color w:val="000000" w:themeColor="text1"/>
          <w:sz w:val="24"/>
          <w:szCs w:val="24"/>
        </w:rPr>
        <w:t>which also indicates that they have roughly shortage of</w:t>
      </w:r>
      <w:r w:rsidR="5827FB54" w:rsidRPr="097CE612">
        <w:rPr>
          <w:rFonts w:ascii="Calibri" w:eastAsia="Times New Roman" w:hAnsi="Calibri" w:cs="Calibri"/>
          <w:color w:val="000000" w:themeColor="text1"/>
          <w:sz w:val="24"/>
          <w:szCs w:val="24"/>
        </w:rPr>
        <w:t xml:space="preserve"> rupee</w:t>
      </w:r>
      <w:r w:rsidR="11B46CFD" w:rsidRPr="097CE612">
        <w:rPr>
          <w:rFonts w:ascii="Calibri" w:eastAsia="Times New Roman" w:hAnsi="Calibri" w:cs="Calibri"/>
          <w:color w:val="000000" w:themeColor="text1"/>
          <w:sz w:val="24"/>
          <w:szCs w:val="24"/>
        </w:rPr>
        <w:t xml:space="preserve"> 0.467. The lowest is in </w:t>
      </w:r>
      <w:r w:rsidR="02E56FBE" w:rsidRPr="097CE612">
        <w:rPr>
          <w:rFonts w:ascii="Calibri" w:eastAsia="Times New Roman" w:hAnsi="Calibri" w:cs="Calibri"/>
          <w:color w:val="000000" w:themeColor="text1"/>
          <w:sz w:val="24"/>
          <w:szCs w:val="24"/>
        </w:rPr>
        <w:t>March-22, the ratio overall isn’t impressive</w:t>
      </w:r>
      <w:r w:rsidR="4D1EEA6F" w:rsidRPr="097CE612">
        <w:rPr>
          <w:rFonts w:ascii="Calibri" w:eastAsia="Times New Roman" w:hAnsi="Calibri" w:cs="Calibri"/>
          <w:color w:val="000000" w:themeColor="text1"/>
          <w:sz w:val="24"/>
          <w:szCs w:val="24"/>
        </w:rPr>
        <w:t xml:space="preserve"> because the company doesn’t have good amounts of qui</w:t>
      </w:r>
      <w:r w:rsidR="39866727" w:rsidRPr="097CE612">
        <w:rPr>
          <w:rFonts w:ascii="Calibri" w:eastAsia="Times New Roman" w:hAnsi="Calibri" w:cs="Calibri"/>
          <w:color w:val="000000" w:themeColor="text1"/>
          <w:sz w:val="24"/>
          <w:szCs w:val="24"/>
        </w:rPr>
        <w:t>ck ratio to re-pay for the current liabilities.</w:t>
      </w:r>
      <w:r w:rsidR="00C133FE">
        <w:rPr>
          <w:rFonts w:ascii="Calibri" w:eastAsia="Times New Roman" w:hAnsi="Calibri" w:cs="Calibri"/>
          <w:color w:val="000000" w:themeColor="text1"/>
          <w:sz w:val="24"/>
          <w:szCs w:val="24"/>
        </w:rPr>
        <w:t xml:space="preserve">  </w:t>
      </w:r>
    </w:p>
    <w:p w14:paraId="2977AAAE" w14:textId="14F0151C" w:rsidR="00135CA5" w:rsidRDefault="00C133FE" w:rsidP="00C133FE">
      <w:pPr>
        <w:spacing w:after="360"/>
        <w:jc w:val="both"/>
        <w:rPr>
          <w:rFonts w:ascii="Calibri" w:eastAsia="Times New Roman" w:hAnsi="Calibri" w:cs="Calibri"/>
          <w:color w:val="000000" w:themeColor="text1"/>
          <w:sz w:val="24"/>
          <w:szCs w:val="24"/>
        </w:rPr>
      </w:pPr>
      <w:proofErr w:type="gramStart"/>
      <w:r w:rsidRPr="00C133FE">
        <w:rPr>
          <w:rFonts w:ascii="Calibri" w:eastAsia="Times New Roman" w:hAnsi="Calibri" w:cs="Calibri"/>
          <w:color w:val="000000" w:themeColor="text1"/>
          <w:sz w:val="24"/>
          <w:szCs w:val="24"/>
        </w:rPr>
        <w:t>Similar to</w:t>
      </w:r>
      <w:proofErr w:type="gramEnd"/>
      <w:r w:rsidRPr="00C133FE">
        <w:rPr>
          <w:rFonts w:ascii="Calibri" w:eastAsia="Times New Roman" w:hAnsi="Calibri" w:cs="Calibri"/>
          <w:color w:val="000000" w:themeColor="text1"/>
          <w:sz w:val="24"/>
          <w:szCs w:val="24"/>
        </w:rPr>
        <w:t xml:space="preserve"> the current ratio, the quick ratio has also been fluctuating over the past five years. It decreased from 2019 to 2020, increased in 2021, decreased in 2022, and decreased further in 2023. This indicates variability in the company's ability to cover its short-term liabilities with its most liquid assets. A quick ratio above 1 (which all the values are) suggests that the company has more liquid assets than short-term liabilities. This indicates a positive ability to meet immediate financial obligations without relying on the sale of inventory.</w:t>
      </w:r>
    </w:p>
    <w:p w14:paraId="3ED7B9E3" w14:textId="77777777" w:rsidR="00135CA5" w:rsidRDefault="0C8B897E"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3. Cash Ratio or Absolute cash ratio:</w:t>
      </w:r>
    </w:p>
    <w:p w14:paraId="74A1A00E" w14:textId="6216589F" w:rsidR="00135CA5" w:rsidRDefault="00827390" w:rsidP="00827390">
      <w:pPr>
        <w:spacing w:after="360"/>
        <w:jc w:val="center"/>
      </w:pPr>
      <w:r>
        <w:rPr>
          <w:noProof/>
        </w:rPr>
        <w:drawing>
          <wp:inline distT="0" distB="0" distL="0" distR="0" wp14:anchorId="0E52BD22" wp14:editId="43108834">
            <wp:extent cx="4572000" cy="2743200"/>
            <wp:effectExtent l="0" t="0" r="0" b="0"/>
            <wp:docPr id="1931614505" name="Chart 1">
              <a:extLst xmlns:a="http://schemas.openxmlformats.org/drawingml/2006/main">
                <a:ext uri="{FF2B5EF4-FFF2-40B4-BE49-F238E27FC236}">
                  <a16:creationId xmlns:a16="http://schemas.microsoft.com/office/drawing/2014/main" id="{8B1603A7-D3B6-49BF-91D8-0F21777A6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1F1E14" w14:textId="77777777" w:rsidR="00135CA5" w:rsidRDefault="0C8B897E" w:rsidP="00135CA5">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078209D8" w14:textId="2DCF3CC9" w:rsidR="2521D466" w:rsidRDefault="2521D466"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highest Cash ratio is in March-2021 which indicates that</w:t>
      </w:r>
      <w:r w:rsidR="07714A86" w:rsidRPr="097CE612">
        <w:rPr>
          <w:rFonts w:ascii="Calibri" w:eastAsia="Times New Roman" w:hAnsi="Calibri" w:cs="Calibri"/>
          <w:color w:val="000000" w:themeColor="text1"/>
          <w:sz w:val="24"/>
          <w:szCs w:val="24"/>
        </w:rPr>
        <w:t xml:space="preserve"> in 2021 they have current liabilities worth rupee 1 but the cash worth rupee 0.08</w:t>
      </w:r>
      <w:r w:rsidR="4033CB75" w:rsidRPr="097CE612">
        <w:rPr>
          <w:rFonts w:ascii="Calibri" w:eastAsia="Times New Roman" w:hAnsi="Calibri" w:cs="Calibri"/>
          <w:color w:val="000000" w:themeColor="text1"/>
          <w:sz w:val="24"/>
          <w:szCs w:val="24"/>
        </w:rPr>
        <w:t xml:space="preserve"> which means out of all the assets they have they can only convert rupee 0.08 worth assets readily into cash which is a good number in general</w:t>
      </w:r>
      <w:r w:rsidR="2BCF38B4" w:rsidRPr="097CE612">
        <w:rPr>
          <w:rFonts w:ascii="Calibri" w:eastAsia="Times New Roman" w:hAnsi="Calibri" w:cs="Calibri"/>
          <w:color w:val="000000" w:themeColor="text1"/>
          <w:sz w:val="24"/>
          <w:szCs w:val="24"/>
        </w:rPr>
        <w:t xml:space="preserve"> as they readily repay the current liabilities worth rupee 0.08  </w:t>
      </w:r>
      <w:r w:rsidR="4033CB75" w:rsidRPr="097CE612">
        <w:rPr>
          <w:rFonts w:ascii="Calibri" w:eastAsia="Times New Roman" w:hAnsi="Calibri" w:cs="Calibri"/>
          <w:color w:val="000000" w:themeColor="text1"/>
          <w:sz w:val="24"/>
          <w:szCs w:val="24"/>
        </w:rPr>
        <w:t xml:space="preserve">, but when we look at March-2023 the </w:t>
      </w:r>
      <w:r w:rsidR="2A04CD85" w:rsidRPr="097CE612">
        <w:rPr>
          <w:rFonts w:ascii="Calibri" w:eastAsia="Times New Roman" w:hAnsi="Calibri" w:cs="Calibri"/>
          <w:color w:val="000000" w:themeColor="text1"/>
          <w:sz w:val="24"/>
          <w:szCs w:val="24"/>
        </w:rPr>
        <w:t>assets that can be converted to cash are of value rupee 0.02 which is very low and indicates that company might have high assets but not those assets that can be converted to cash readily.</w:t>
      </w:r>
    </w:p>
    <w:p w14:paraId="5C40CC49" w14:textId="0C697AA2" w:rsidR="00F37310" w:rsidRDefault="00F37310" w:rsidP="097CE612">
      <w:pPr>
        <w:spacing w:after="360"/>
        <w:jc w:val="both"/>
        <w:rPr>
          <w:rFonts w:ascii="Calibri" w:eastAsia="Times New Roman" w:hAnsi="Calibri" w:cs="Calibri"/>
          <w:color w:val="000000" w:themeColor="text1"/>
          <w:sz w:val="24"/>
          <w:szCs w:val="24"/>
        </w:rPr>
      </w:pPr>
      <w:r w:rsidRPr="00F37310">
        <w:rPr>
          <w:rFonts w:ascii="Calibri" w:eastAsia="Times New Roman" w:hAnsi="Calibri" w:cs="Calibri"/>
          <w:color w:val="000000" w:themeColor="text1"/>
          <w:sz w:val="24"/>
          <w:szCs w:val="24"/>
        </w:rPr>
        <w:t>With a cash ratio below 1 for all the years, it suggests that the company may have limited liquidity in terms of covering its short-term obligations with cash and cash equivalents alone. This could potentially make it more challenging to meet immediate financial commitments without relying on other sources of funds.</w:t>
      </w:r>
      <w:r>
        <w:rPr>
          <w:rFonts w:ascii="Calibri" w:eastAsia="Times New Roman" w:hAnsi="Calibri" w:cs="Calibri"/>
          <w:color w:val="000000" w:themeColor="text1"/>
          <w:sz w:val="24"/>
          <w:szCs w:val="24"/>
        </w:rPr>
        <w:t xml:space="preserve"> </w:t>
      </w:r>
      <w:r w:rsidRPr="00F37310">
        <w:rPr>
          <w:rFonts w:ascii="Calibri" w:eastAsia="Times New Roman" w:hAnsi="Calibri" w:cs="Calibri"/>
          <w:color w:val="000000" w:themeColor="text1"/>
          <w:sz w:val="24"/>
          <w:szCs w:val="24"/>
        </w:rPr>
        <w:t>The cash ratio has been on a declining trend over the past five years. This trend suggests that the company's ability to cover its short-term liabilities with its cash and cash equivalents has been decreasing. A declining cash ratio can be a cause for concern because it indicates that the company has less cash on hand relative to its short-term liabilities.</w:t>
      </w:r>
    </w:p>
    <w:p w14:paraId="1702EEA6" w14:textId="490D4888" w:rsidR="097CE612" w:rsidRDefault="097CE612" w:rsidP="097CE612">
      <w:pPr>
        <w:spacing w:after="360"/>
        <w:rPr>
          <w:rFonts w:ascii="Calibri" w:eastAsia="Times New Roman" w:hAnsi="Calibri" w:cs="Calibri"/>
          <w:b/>
          <w:bCs/>
          <w:color w:val="000000" w:themeColor="text1"/>
          <w:sz w:val="28"/>
          <w:szCs w:val="28"/>
        </w:rPr>
      </w:pPr>
    </w:p>
    <w:p w14:paraId="55A5D41D"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57248B0B"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53928C59" w14:textId="55C73AB8" w:rsidR="00135CA5" w:rsidRDefault="0C8B897E"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 xml:space="preserve">4. </w:t>
      </w:r>
      <w:r w:rsidR="01087E07">
        <w:rPr>
          <w:rFonts w:ascii="Calibri" w:eastAsia="Times New Roman" w:hAnsi="Calibri" w:cs="Calibri"/>
          <w:b/>
          <w:bCs/>
          <w:color w:val="000000"/>
          <w:kern w:val="0"/>
          <w:sz w:val="28"/>
          <w:szCs w:val="28"/>
          <w14:ligatures w14:val="none"/>
        </w:rPr>
        <w:t>Gross Profit Margin:</w:t>
      </w:r>
    </w:p>
    <w:p w14:paraId="5983925E" w14:textId="0A684D40" w:rsidR="00523462" w:rsidRDefault="00827390" w:rsidP="00523462">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5E683916" wp14:editId="6C46186B">
            <wp:extent cx="4572000" cy="2743200"/>
            <wp:effectExtent l="0" t="0" r="0" b="0"/>
            <wp:docPr id="1071107664" name="Chart 1">
              <a:extLst xmlns:a="http://schemas.openxmlformats.org/drawingml/2006/main">
                <a:ext uri="{FF2B5EF4-FFF2-40B4-BE49-F238E27FC236}">
                  <a16:creationId xmlns:a16="http://schemas.microsoft.com/office/drawing/2014/main" id="{41C32F80-03E7-4058-965F-19641C78A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2DAF29"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62A22FE6" w14:textId="6DE83831" w:rsidR="00523462" w:rsidRDefault="1DE52C50"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highest Gross profit Ratio is in the March-22 which indicates that for every Rupee 100 of sales the com</w:t>
      </w:r>
      <w:r w:rsidR="65DEE6F3" w:rsidRPr="097CE612">
        <w:rPr>
          <w:rFonts w:ascii="Calibri" w:eastAsia="Times New Roman" w:hAnsi="Calibri" w:cs="Calibri"/>
          <w:color w:val="000000" w:themeColor="text1"/>
          <w:sz w:val="24"/>
          <w:szCs w:val="24"/>
        </w:rPr>
        <w:t>pany made a profit of 48.04% which is a good percentage, whereas the lowest ratio is in March-2023 which indicates that for every rupee 100 of sales the company earns 27</w:t>
      </w:r>
      <w:r w:rsidR="730791C7" w:rsidRPr="097CE612">
        <w:rPr>
          <w:rFonts w:ascii="Calibri" w:eastAsia="Times New Roman" w:hAnsi="Calibri" w:cs="Calibri"/>
          <w:color w:val="000000" w:themeColor="text1"/>
          <w:sz w:val="24"/>
          <w:szCs w:val="24"/>
        </w:rPr>
        <w:t>.31% of profit which is low as compared to March-2022.</w:t>
      </w:r>
    </w:p>
    <w:p w14:paraId="0D5D42DE" w14:textId="6492DD19" w:rsidR="000C68DB" w:rsidRDefault="000C68DB" w:rsidP="097CE612">
      <w:pPr>
        <w:spacing w:after="360"/>
        <w:jc w:val="both"/>
        <w:rPr>
          <w:rFonts w:ascii="Calibri" w:eastAsia="Times New Roman" w:hAnsi="Calibri" w:cs="Calibri"/>
          <w:color w:val="000000" w:themeColor="text1"/>
          <w:sz w:val="24"/>
          <w:szCs w:val="24"/>
        </w:rPr>
      </w:pPr>
      <w:r w:rsidRPr="000C68DB">
        <w:rPr>
          <w:rFonts w:ascii="Calibri" w:eastAsia="Times New Roman" w:hAnsi="Calibri" w:cs="Calibri"/>
          <w:color w:val="000000" w:themeColor="text1"/>
          <w:sz w:val="24"/>
          <w:szCs w:val="24"/>
        </w:rPr>
        <w:t>The gross profit margin is a key indicator of a company's profitability. A higher gross profit margin generally indicates better profitability. The decline in the margin from 2022 to 2023 is noteworthy. It may be a result of various factors such as changes in pricing, cost of goods sold, or sales mix.</w:t>
      </w:r>
    </w:p>
    <w:p w14:paraId="35F6773D"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F22F474"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6E9C70D1"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76993532"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2223C99"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093A5DD0" w14:textId="6E9AC270" w:rsidR="00523462" w:rsidRDefault="01087E07"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5.Operating Profit Margin:</w:t>
      </w:r>
    </w:p>
    <w:p w14:paraId="3CFA7DB7" w14:textId="6B66DB71" w:rsidR="00523462" w:rsidRDefault="00827390" w:rsidP="00523462">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63FD5FE8" wp14:editId="58239F6E">
            <wp:extent cx="4572000" cy="2743200"/>
            <wp:effectExtent l="0" t="0" r="0" b="0"/>
            <wp:docPr id="141007022" name="Chart 1">
              <a:extLst xmlns:a="http://schemas.openxmlformats.org/drawingml/2006/main">
                <a:ext uri="{FF2B5EF4-FFF2-40B4-BE49-F238E27FC236}">
                  <a16:creationId xmlns:a16="http://schemas.microsoft.com/office/drawing/2014/main" id="{14AC0F86-1134-4FDF-BA5E-67607626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EFD47" w14:textId="02E99B9E" w:rsidR="097CE612" w:rsidRDefault="097CE612" w:rsidP="097CE612">
      <w:pPr>
        <w:spacing w:after="360"/>
        <w:jc w:val="center"/>
        <w:rPr>
          <w:rFonts w:ascii="Calibri" w:eastAsia="Times New Roman" w:hAnsi="Calibri" w:cs="Calibri"/>
          <w:b/>
          <w:bCs/>
          <w:color w:val="000000" w:themeColor="text1"/>
          <w:sz w:val="28"/>
          <w:szCs w:val="28"/>
        </w:rPr>
      </w:pPr>
    </w:p>
    <w:p w14:paraId="05440916"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45160C49" w14:textId="57658302" w:rsidR="00523462" w:rsidRDefault="7FF4A126"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highest ratio is in March-2022 with ratio of 40.75 which indicates that for every rupee 100 of sales the company </w:t>
      </w:r>
      <w:r w:rsidR="3E998658" w:rsidRPr="097CE612">
        <w:rPr>
          <w:rFonts w:ascii="Calibri" w:eastAsia="Times New Roman" w:hAnsi="Calibri" w:cs="Calibri"/>
          <w:color w:val="000000" w:themeColor="text1"/>
          <w:sz w:val="24"/>
          <w:szCs w:val="24"/>
        </w:rPr>
        <w:t>can</w:t>
      </w:r>
      <w:r w:rsidRPr="097CE612">
        <w:rPr>
          <w:rFonts w:ascii="Calibri" w:eastAsia="Times New Roman" w:hAnsi="Calibri" w:cs="Calibri"/>
          <w:color w:val="000000" w:themeColor="text1"/>
          <w:sz w:val="24"/>
          <w:szCs w:val="24"/>
        </w:rPr>
        <w:t xml:space="preserve"> generate 40.</w:t>
      </w:r>
      <w:r w:rsidR="1070A41D" w:rsidRPr="097CE612">
        <w:rPr>
          <w:rFonts w:ascii="Calibri" w:eastAsia="Times New Roman" w:hAnsi="Calibri" w:cs="Calibri"/>
          <w:color w:val="000000" w:themeColor="text1"/>
          <w:sz w:val="24"/>
          <w:szCs w:val="24"/>
        </w:rPr>
        <w:t>75% of operating profits</w:t>
      </w:r>
      <w:r w:rsidR="098CBDE2" w:rsidRPr="097CE612">
        <w:rPr>
          <w:rFonts w:ascii="Calibri" w:eastAsia="Times New Roman" w:hAnsi="Calibri" w:cs="Calibri"/>
          <w:color w:val="000000" w:themeColor="text1"/>
          <w:sz w:val="24"/>
          <w:szCs w:val="24"/>
        </w:rPr>
        <w:t xml:space="preserve">, the lowest ratio is in March- 2023 2ith ratio of 24.05 </w:t>
      </w:r>
      <w:r w:rsidR="1211C6F5" w:rsidRPr="097CE612">
        <w:rPr>
          <w:rFonts w:ascii="Calibri" w:eastAsia="Times New Roman" w:hAnsi="Calibri" w:cs="Calibri"/>
          <w:color w:val="000000" w:themeColor="text1"/>
          <w:sz w:val="24"/>
          <w:szCs w:val="24"/>
        </w:rPr>
        <w:t>it indicates that with every rupee 100 of sales the company is able to generate 24.05% of operating profits which</w:t>
      </w:r>
      <w:r w:rsidR="098CBDE2" w:rsidRPr="097CE612">
        <w:rPr>
          <w:rFonts w:ascii="Calibri" w:eastAsia="Times New Roman" w:hAnsi="Calibri" w:cs="Calibri"/>
          <w:color w:val="000000" w:themeColor="text1"/>
          <w:sz w:val="24"/>
          <w:szCs w:val="24"/>
        </w:rPr>
        <w:t xml:space="preserve"> is low as compared to March-2022.</w:t>
      </w:r>
    </w:p>
    <w:p w14:paraId="39CBB1B3" w14:textId="4F2D1C93" w:rsidR="00770369" w:rsidRDefault="00770369" w:rsidP="097CE612">
      <w:pPr>
        <w:spacing w:after="360"/>
        <w:jc w:val="both"/>
        <w:rPr>
          <w:rFonts w:ascii="Calibri" w:eastAsia="Times New Roman" w:hAnsi="Calibri" w:cs="Calibri"/>
          <w:color w:val="000000" w:themeColor="text1"/>
          <w:sz w:val="24"/>
          <w:szCs w:val="24"/>
        </w:rPr>
      </w:pPr>
      <w:r w:rsidRPr="00770369">
        <w:rPr>
          <w:rFonts w:ascii="Calibri" w:eastAsia="Times New Roman" w:hAnsi="Calibri" w:cs="Calibri"/>
          <w:color w:val="000000" w:themeColor="text1"/>
          <w:sz w:val="24"/>
          <w:szCs w:val="24"/>
        </w:rPr>
        <w:t>The operating profit has shown fluctuations over the past five years. It decreased from 2019 to 2020, then increased in 2021, decreased again in 2022, and decreased further in 2023. These fluctuations suggest changes in the company's ability to generate profits from its core business activities. The declining trend in operating profit from 2022 to 2023 is notable and may raise concerns. It's important to investigate the reasons behind this decline. Factors such as changes in revenue, cost structure, and operating efficiency could be contributing to this trend.</w:t>
      </w:r>
    </w:p>
    <w:p w14:paraId="3B2186F2"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6C3C4C0B"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D900685"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2AD1679" w14:textId="603E354F" w:rsidR="00523462" w:rsidRDefault="01087E07"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6. EBIT / PBIT Margin:</w:t>
      </w:r>
    </w:p>
    <w:p w14:paraId="05E1D5C2" w14:textId="4BFF309F" w:rsidR="00523462" w:rsidRDefault="00827390" w:rsidP="00523462">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17F92E3D" wp14:editId="69A821CA">
            <wp:extent cx="4572000" cy="2743200"/>
            <wp:effectExtent l="0" t="0" r="0" b="0"/>
            <wp:docPr id="580017716" name="Chart 1">
              <a:extLst xmlns:a="http://schemas.openxmlformats.org/drawingml/2006/main">
                <a:ext uri="{FF2B5EF4-FFF2-40B4-BE49-F238E27FC236}">
                  <a16:creationId xmlns:a16="http://schemas.microsoft.com/office/drawing/2014/main" id="{A766F203-C177-47A0-A8B3-74F89466D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C1109D"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1F811EFC" w14:textId="32C8FF78" w:rsidR="277EBDFA" w:rsidRDefault="277EBDFA"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small difference that exists between operating profit and (EBIT) margin is because of value reduction of depreciation in </w:t>
      </w:r>
      <w:r w:rsidR="6623A32B" w:rsidRPr="097CE612">
        <w:rPr>
          <w:rFonts w:ascii="Calibri" w:eastAsia="Times New Roman" w:hAnsi="Calibri" w:cs="Calibri"/>
          <w:color w:val="000000" w:themeColor="text1"/>
          <w:sz w:val="24"/>
          <w:szCs w:val="24"/>
        </w:rPr>
        <w:t xml:space="preserve">(EBIT) margin, the highest value of (EBIT) margin ratio is in March-2022 which is 36.52% which indicates that for rupee 100 of sales the company </w:t>
      </w:r>
      <w:r w:rsidR="7DB46491" w:rsidRPr="097CE612">
        <w:rPr>
          <w:rFonts w:ascii="Calibri" w:eastAsia="Times New Roman" w:hAnsi="Calibri" w:cs="Calibri"/>
          <w:color w:val="000000" w:themeColor="text1"/>
          <w:sz w:val="24"/>
          <w:szCs w:val="24"/>
        </w:rPr>
        <w:t>generates 36.52% of (EBIT) that is earnings before profits and taxes.</w:t>
      </w:r>
    </w:p>
    <w:p w14:paraId="5478A950" w14:textId="261DFFD3" w:rsidR="097CE612" w:rsidRPr="00F91DC6" w:rsidRDefault="00F91DC6" w:rsidP="00F91DC6">
      <w:pPr>
        <w:spacing w:after="360"/>
        <w:jc w:val="both"/>
        <w:rPr>
          <w:rFonts w:ascii="Calibri" w:eastAsia="Times New Roman" w:hAnsi="Calibri" w:cs="Calibri"/>
          <w:color w:val="000000" w:themeColor="text1"/>
          <w:sz w:val="24"/>
          <w:szCs w:val="24"/>
        </w:rPr>
      </w:pPr>
      <w:proofErr w:type="gramStart"/>
      <w:r w:rsidRPr="00F91DC6">
        <w:rPr>
          <w:rFonts w:ascii="Calibri" w:eastAsia="Times New Roman" w:hAnsi="Calibri" w:cs="Calibri"/>
          <w:color w:val="000000" w:themeColor="text1"/>
          <w:sz w:val="24"/>
          <w:szCs w:val="24"/>
        </w:rPr>
        <w:t>Similar to</w:t>
      </w:r>
      <w:proofErr w:type="gramEnd"/>
      <w:r w:rsidRPr="00F91DC6">
        <w:rPr>
          <w:rFonts w:ascii="Calibri" w:eastAsia="Times New Roman" w:hAnsi="Calibri" w:cs="Calibri"/>
          <w:color w:val="000000" w:themeColor="text1"/>
          <w:sz w:val="24"/>
          <w:szCs w:val="24"/>
        </w:rPr>
        <w:t xml:space="preserve"> the operating profit trend, the EBIT has shown fluctuations over the past five years. It decreased from 2019 to 2020, increased in 2021, decreased in 2022, and decreased further in 2023. These fluctuations indicate changes in the company's ability to generate earnings from its core operations. The decline in EBIT from 2022 to 2023 is significant and may raise concerns. It's essential to investigate the reasons behind this decline. Factors such as changes in revenue, operating expenses, and operating efficiency could be contributing to this trend.</w:t>
      </w:r>
    </w:p>
    <w:p w14:paraId="39549530" w14:textId="3526D7FF" w:rsidR="097CE612" w:rsidRDefault="097CE612" w:rsidP="097CE612">
      <w:pPr>
        <w:spacing w:after="360"/>
        <w:rPr>
          <w:rFonts w:ascii="Calibri" w:eastAsia="Times New Roman" w:hAnsi="Calibri" w:cs="Calibri"/>
          <w:b/>
          <w:bCs/>
          <w:color w:val="000000" w:themeColor="text1"/>
          <w:sz w:val="28"/>
          <w:szCs w:val="28"/>
        </w:rPr>
      </w:pPr>
    </w:p>
    <w:p w14:paraId="1F1E8137" w14:textId="2071D2DF" w:rsidR="097CE612" w:rsidRDefault="097CE612" w:rsidP="097CE612">
      <w:pPr>
        <w:spacing w:after="360"/>
        <w:rPr>
          <w:rFonts w:ascii="Calibri" w:eastAsia="Times New Roman" w:hAnsi="Calibri" w:cs="Calibri"/>
          <w:b/>
          <w:bCs/>
          <w:color w:val="000000" w:themeColor="text1"/>
          <w:sz w:val="28"/>
          <w:szCs w:val="28"/>
        </w:rPr>
      </w:pPr>
    </w:p>
    <w:p w14:paraId="0625E59D"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033295AF"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2F21F4DA" w14:textId="76E67C11" w:rsidR="00523462" w:rsidRDefault="00523462"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 xml:space="preserve">7. EBT / PBT Margin: </w:t>
      </w:r>
    </w:p>
    <w:p w14:paraId="359F5599" w14:textId="01F26F42" w:rsidR="00DD6F50" w:rsidRDefault="00827390" w:rsidP="00DD6F50">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4CA2F7F0" wp14:editId="7225329F">
            <wp:extent cx="4572000" cy="2743200"/>
            <wp:effectExtent l="0" t="0" r="0" b="0"/>
            <wp:docPr id="643570254" name="Chart 1">
              <a:extLst xmlns:a="http://schemas.openxmlformats.org/drawingml/2006/main">
                <a:ext uri="{FF2B5EF4-FFF2-40B4-BE49-F238E27FC236}">
                  <a16:creationId xmlns:a16="http://schemas.microsoft.com/office/drawing/2014/main" id="{47107A3C-B3C6-4F1E-A2D5-72C6351FB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407358" w14:textId="4797C7E4" w:rsidR="00DD6F50" w:rsidRDefault="2B4F368D" w:rsidP="00135CA5">
      <w:pPr>
        <w:spacing w:after="360"/>
        <w:rPr>
          <w:rFonts w:ascii="Calibri" w:eastAsia="Times New Roman" w:hAnsi="Calibri" w:cs="Calibri"/>
          <w:b/>
          <w:bCs/>
          <w:color w:val="000000"/>
          <w:kern w:val="0"/>
          <w:sz w:val="28"/>
          <w:szCs w:val="28"/>
          <w14:ligatures w14:val="none"/>
        </w:rPr>
      </w:pPr>
      <w:r w:rsidRPr="097CE612">
        <w:rPr>
          <w:rFonts w:ascii="Calibri" w:eastAsia="Times New Roman" w:hAnsi="Calibri" w:cs="Calibri"/>
          <w:b/>
          <w:bCs/>
          <w:i/>
          <w:iCs/>
          <w:color w:val="000000"/>
          <w:kern w:val="0"/>
          <w:sz w:val="24"/>
          <w:szCs w:val="24"/>
          <w14:ligatures w14:val="none"/>
        </w:rPr>
        <w:t>Interpretation:</w:t>
      </w:r>
    </w:p>
    <w:p w14:paraId="73567D6A" w14:textId="44896C59" w:rsidR="48A24469" w:rsidRDefault="48A24469"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difference in value of (EBIT) and (EBT) is because of interest on loans and exceptional income expenses, the highest ratio is </w:t>
      </w:r>
      <w:r w:rsidR="603305CF" w:rsidRPr="097CE612">
        <w:rPr>
          <w:rFonts w:ascii="Calibri" w:eastAsia="Times New Roman" w:hAnsi="Calibri" w:cs="Calibri"/>
          <w:color w:val="000000" w:themeColor="text1"/>
          <w:sz w:val="24"/>
          <w:szCs w:val="24"/>
        </w:rPr>
        <w:t>34.36% in Mrch-2022 which indicates that for rupee 100 of sales the company can generate 34.36</w:t>
      </w:r>
      <w:r w:rsidR="31877C0B" w:rsidRPr="097CE612">
        <w:rPr>
          <w:rFonts w:ascii="Calibri" w:eastAsia="Times New Roman" w:hAnsi="Calibri" w:cs="Calibri"/>
          <w:color w:val="000000" w:themeColor="text1"/>
          <w:sz w:val="24"/>
          <w:szCs w:val="24"/>
        </w:rPr>
        <w:t>% of</w:t>
      </w:r>
      <w:r w:rsidR="3BDC47FF" w:rsidRPr="097CE612">
        <w:rPr>
          <w:rFonts w:ascii="Calibri" w:eastAsia="Times New Roman" w:hAnsi="Calibri" w:cs="Calibri"/>
          <w:color w:val="000000" w:themeColor="text1"/>
          <w:sz w:val="24"/>
          <w:szCs w:val="24"/>
        </w:rPr>
        <w:t xml:space="preserve"> (EBT) margin, the lowest ratio is 13.72 in March-2020 which is low as compared to March-2022.</w:t>
      </w:r>
    </w:p>
    <w:p w14:paraId="4688C9D8"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04B23C1C"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7BF7254F"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0AC909E9"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280F8545"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06E8E0CB"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5D5A5F4E"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385C1C93" w14:textId="2F0491CE" w:rsidR="00523462" w:rsidRDefault="00DD6F50"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8</w:t>
      </w:r>
      <w:r w:rsidR="00523462">
        <w:rPr>
          <w:rFonts w:ascii="Calibri" w:eastAsia="Times New Roman" w:hAnsi="Calibri" w:cs="Calibri"/>
          <w:b/>
          <w:bCs/>
          <w:color w:val="000000"/>
          <w:kern w:val="0"/>
          <w:sz w:val="28"/>
          <w:szCs w:val="28"/>
          <w14:ligatures w14:val="none"/>
        </w:rPr>
        <w:t>. Net Profit Margin:</w:t>
      </w:r>
    </w:p>
    <w:p w14:paraId="572EF6F5" w14:textId="189791C3" w:rsidR="00523462" w:rsidRDefault="00827390" w:rsidP="00523462">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09BF956C" wp14:editId="181401B7">
            <wp:extent cx="4572000" cy="2743200"/>
            <wp:effectExtent l="0" t="0" r="0" b="0"/>
            <wp:docPr id="1814704739" name="Chart 1">
              <a:extLst xmlns:a="http://schemas.openxmlformats.org/drawingml/2006/main">
                <a:ext uri="{FF2B5EF4-FFF2-40B4-BE49-F238E27FC236}">
                  <a16:creationId xmlns:a16="http://schemas.microsoft.com/office/drawing/2014/main" id="{264939E8-9172-4DEB-A59D-9BDAADB95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EFAD2D" w14:textId="38929589" w:rsidR="097CE612" w:rsidRDefault="097CE612" w:rsidP="097CE612">
      <w:pPr>
        <w:spacing w:after="360"/>
        <w:jc w:val="center"/>
        <w:rPr>
          <w:rFonts w:ascii="Calibri" w:eastAsia="Times New Roman" w:hAnsi="Calibri" w:cs="Calibri"/>
          <w:b/>
          <w:bCs/>
          <w:color w:val="000000" w:themeColor="text1"/>
          <w:sz w:val="28"/>
          <w:szCs w:val="28"/>
        </w:rPr>
      </w:pPr>
    </w:p>
    <w:p w14:paraId="784A7844"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6A1F9AC1" w14:textId="484D5C86" w:rsidR="00DD6F50" w:rsidRDefault="4E7D9FEF"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highest Net profit margin is in March-2022 which is 25.59% it indicates that</w:t>
      </w:r>
      <w:r w:rsidR="407FA392" w:rsidRPr="097CE612">
        <w:rPr>
          <w:rFonts w:ascii="Calibri" w:eastAsia="Times New Roman" w:hAnsi="Calibri" w:cs="Calibri"/>
          <w:color w:val="000000" w:themeColor="text1"/>
          <w:sz w:val="24"/>
          <w:szCs w:val="24"/>
        </w:rPr>
        <w:t xml:space="preserve"> for every sale of rupee 100 there is Net profit margin of 25.59%, </w:t>
      </w:r>
      <w:r w:rsidR="2C1B10D1" w:rsidRPr="097CE612">
        <w:rPr>
          <w:rFonts w:ascii="Calibri" w:eastAsia="Times New Roman" w:hAnsi="Calibri" w:cs="Calibri"/>
          <w:color w:val="000000" w:themeColor="text1"/>
          <w:sz w:val="24"/>
          <w:szCs w:val="24"/>
        </w:rPr>
        <w:t>whereas the lowest net profit margin is in March-2020 which is 11.16%.</w:t>
      </w:r>
    </w:p>
    <w:p w14:paraId="7A1F83A6" w14:textId="32B31CE0" w:rsidR="00C40224" w:rsidRDefault="00C40224" w:rsidP="097CE612">
      <w:pPr>
        <w:spacing w:after="360"/>
        <w:jc w:val="both"/>
        <w:rPr>
          <w:rFonts w:ascii="Calibri" w:eastAsia="Times New Roman" w:hAnsi="Calibri" w:cs="Calibri"/>
          <w:color w:val="000000" w:themeColor="text1"/>
          <w:sz w:val="24"/>
          <w:szCs w:val="24"/>
        </w:rPr>
      </w:pPr>
      <w:r w:rsidRPr="00C40224">
        <w:rPr>
          <w:rFonts w:ascii="Calibri" w:eastAsia="Times New Roman" w:hAnsi="Calibri" w:cs="Calibri"/>
          <w:color w:val="000000" w:themeColor="text1"/>
          <w:sz w:val="24"/>
          <w:szCs w:val="24"/>
        </w:rPr>
        <w:t>The net profit margin has shown significant fluctuations over the past five years. It increased from 2019 to 2020, further increased in 2021, decreased significantly in 2022, and decreased further in 2023. These fluctuations indicate changes in the company's ability to generate bottom-line profits relative to its revenue. The decline in the net profit margin from 2022 to 2023 is particularly noteworthy. It suggests that the company's profitability has decreased significantly during this period. It's crucial to investigate the reasons behind this decline. Factors such as rising expenses, changes in revenue, and tax implications could contribute to this trend.</w:t>
      </w:r>
    </w:p>
    <w:p w14:paraId="7E90F1FF"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6C269A5"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7B8722E6"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5ACC141F" w14:textId="2B5BCAFD" w:rsidR="00DD6F50" w:rsidRDefault="2B4F368D"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9. Return on Assets:</w:t>
      </w:r>
    </w:p>
    <w:p w14:paraId="4817C427" w14:textId="77B8CBAC" w:rsidR="00DD6F50" w:rsidRDefault="00827390" w:rsidP="00DD6F50">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076A7834" wp14:editId="52927803">
            <wp:extent cx="4572000" cy="2743200"/>
            <wp:effectExtent l="0" t="0" r="0" b="0"/>
            <wp:docPr id="672585148" name="Chart 1">
              <a:extLst xmlns:a="http://schemas.openxmlformats.org/drawingml/2006/main">
                <a:ext uri="{FF2B5EF4-FFF2-40B4-BE49-F238E27FC236}">
                  <a16:creationId xmlns:a16="http://schemas.microsoft.com/office/drawing/2014/main" id="{A688EEB1-9DE5-4687-88DB-B5ECB37F3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1C2C6D" w14:textId="77777777" w:rsidR="00523462" w:rsidRDefault="00523462" w:rsidP="00523462">
      <w:pPr>
        <w:spacing w:after="360"/>
        <w:jc w:val="center"/>
        <w:rPr>
          <w:rFonts w:ascii="Calibri" w:eastAsia="Times New Roman" w:hAnsi="Calibri" w:cs="Calibri"/>
          <w:b/>
          <w:bCs/>
          <w:color w:val="000000"/>
          <w:kern w:val="0"/>
          <w:sz w:val="28"/>
          <w:szCs w:val="28"/>
          <w14:ligatures w14:val="none"/>
        </w:rPr>
      </w:pPr>
    </w:p>
    <w:p w14:paraId="274E21A6"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28BE8218" w14:textId="31A2A38B" w:rsidR="61A32A01" w:rsidRDefault="61A32A01"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highest ratio is in Mrch-2022 which is 109.71% it indicates that for every rupee 100 of invested by company in assets the company earns net prof</w:t>
      </w:r>
      <w:r w:rsidR="13FF148D" w:rsidRPr="097CE612">
        <w:rPr>
          <w:rFonts w:ascii="Calibri" w:eastAsia="Times New Roman" w:hAnsi="Calibri" w:cs="Calibri"/>
          <w:color w:val="000000" w:themeColor="text1"/>
          <w:sz w:val="24"/>
          <w:szCs w:val="24"/>
        </w:rPr>
        <w:t>it of 109.71%, whereas the lowest ratio is in March-2020 which is 36.46</w:t>
      </w:r>
      <w:r w:rsidR="52A3F9BE" w:rsidRPr="097CE612">
        <w:rPr>
          <w:rFonts w:ascii="Calibri" w:eastAsia="Times New Roman" w:hAnsi="Calibri" w:cs="Calibri"/>
          <w:color w:val="000000" w:themeColor="text1"/>
          <w:sz w:val="24"/>
          <w:szCs w:val="24"/>
        </w:rPr>
        <w:t>%</w:t>
      </w:r>
      <w:r w:rsidR="13FF148D" w:rsidRPr="097CE612">
        <w:rPr>
          <w:rFonts w:ascii="Calibri" w:eastAsia="Times New Roman" w:hAnsi="Calibri" w:cs="Calibri"/>
          <w:color w:val="000000" w:themeColor="text1"/>
          <w:sz w:val="24"/>
          <w:szCs w:val="24"/>
        </w:rPr>
        <w:t xml:space="preserve"> which indicates that for every rupee 100 invested by company in assets the </w:t>
      </w:r>
      <w:r w:rsidR="64CF58A6" w:rsidRPr="097CE612">
        <w:rPr>
          <w:rFonts w:ascii="Calibri" w:eastAsia="Times New Roman" w:hAnsi="Calibri" w:cs="Calibri"/>
          <w:color w:val="000000" w:themeColor="text1"/>
          <w:sz w:val="24"/>
          <w:szCs w:val="24"/>
        </w:rPr>
        <w:t xml:space="preserve">company earns the net profit of </w:t>
      </w:r>
      <w:r w:rsidR="7D88DB62" w:rsidRPr="097CE612">
        <w:rPr>
          <w:rFonts w:ascii="Calibri" w:eastAsia="Times New Roman" w:hAnsi="Calibri" w:cs="Calibri"/>
          <w:color w:val="000000" w:themeColor="text1"/>
          <w:sz w:val="24"/>
          <w:szCs w:val="24"/>
        </w:rPr>
        <w:t>36.46%.</w:t>
      </w:r>
    </w:p>
    <w:p w14:paraId="38184EB1" w14:textId="7B65E80D" w:rsidR="00864CFA" w:rsidRDefault="00864CFA" w:rsidP="097CE612">
      <w:pPr>
        <w:spacing w:after="360"/>
        <w:jc w:val="both"/>
        <w:rPr>
          <w:rFonts w:ascii="Calibri" w:eastAsia="Times New Roman" w:hAnsi="Calibri" w:cs="Calibri"/>
          <w:color w:val="000000" w:themeColor="text1"/>
          <w:sz w:val="24"/>
          <w:szCs w:val="24"/>
        </w:rPr>
      </w:pPr>
      <w:r w:rsidRPr="00864CFA">
        <w:rPr>
          <w:rFonts w:ascii="Calibri" w:eastAsia="Times New Roman" w:hAnsi="Calibri" w:cs="Calibri"/>
          <w:color w:val="000000" w:themeColor="text1"/>
          <w:sz w:val="24"/>
          <w:szCs w:val="24"/>
        </w:rPr>
        <w:t>The ROA has exhibited substantial fluctuations over the past five years. It increased from 2019 to 2020, further increased in 2021, reached a peak in 2022, and then decreased significantly in 2023. These fluctuations indicate changes in the company's ability to generate profits relative to its assets. The decrease in ROA from 2022 to 2023 is particularly notable. It suggests that the company's profitability has decreased significantly during this period. Investigating the reasons behind this decline is crucial. Factors such as increased expenses, changes in revenue, and asset management practices could contribute to this trend.</w:t>
      </w:r>
    </w:p>
    <w:p w14:paraId="796C3E94" w14:textId="41962135" w:rsidR="097CE612" w:rsidRDefault="097CE612" w:rsidP="097CE612">
      <w:pPr>
        <w:spacing w:after="360"/>
        <w:rPr>
          <w:rFonts w:ascii="Calibri" w:eastAsia="Times New Roman" w:hAnsi="Calibri" w:cs="Calibri"/>
          <w:b/>
          <w:bCs/>
          <w:color w:val="000000" w:themeColor="text1"/>
          <w:sz w:val="28"/>
          <w:szCs w:val="28"/>
        </w:rPr>
      </w:pPr>
    </w:p>
    <w:p w14:paraId="12F4A1F4" w14:textId="6F6D60E5" w:rsidR="097CE612" w:rsidRDefault="097CE612" w:rsidP="097CE612">
      <w:pPr>
        <w:spacing w:after="360"/>
        <w:rPr>
          <w:rFonts w:ascii="Calibri" w:eastAsia="Times New Roman" w:hAnsi="Calibri" w:cs="Calibri"/>
          <w:b/>
          <w:bCs/>
          <w:color w:val="000000" w:themeColor="text1"/>
          <w:sz w:val="28"/>
          <w:szCs w:val="28"/>
        </w:rPr>
      </w:pPr>
    </w:p>
    <w:p w14:paraId="259C38C8"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5997214F" w14:textId="0A52CD57" w:rsidR="00523462" w:rsidRDefault="00523462"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10. Return on Equity:</w:t>
      </w:r>
    </w:p>
    <w:p w14:paraId="43CEE861" w14:textId="6B836FC7" w:rsidR="00DD6F50" w:rsidRDefault="00827390" w:rsidP="00DD6F50">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2C641430" wp14:editId="5812DD36">
            <wp:extent cx="4572000" cy="2743200"/>
            <wp:effectExtent l="0" t="0" r="0" b="0"/>
            <wp:docPr id="1707574825" name="Chart 1">
              <a:extLst xmlns:a="http://schemas.openxmlformats.org/drawingml/2006/main">
                <a:ext uri="{FF2B5EF4-FFF2-40B4-BE49-F238E27FC236}">
                  <a16:creationId xmlns:a16="http://schemas.microsoft.com/office/drawing/2014/main" id="{A8C6027A-EAB2-4D3D-98D6-68F38A68A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6AD7DD"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1A5BB3DB" w14:textId="6ECF9CD3" w:rsidR="2F4036BA" w:rsidRDefault="2F4036BA"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highest ratio is in March-2022 where the ratio is 1.17% it indicates that for every rupee 100 invested by equity sharehol</w:t>
      </w:r>
      <w:r w:rsidR="7A2E1691" w:rsidRPr="097CE612">
        <w:rPr>
          <w:rFonts w:ascii="Calibri" w:eastAsia="Times New Roman" w:hAnsi="Calibri" w:cs="Calibri"/>
          <w:color w:val="000000" w:themeColor="text1"/>
          <w:sz w:val="24"/>
          <w:szCs w:val="24"/>
        </w:rPr>
        <w:t xml:space="preserve">ders the company </w:t>
      </w:r>
      <w:r w:rsidR="76F3AED2" w:rsidRPr="097CE612">
        <w:rPr>
          <w:rFonts w:ascii="Calibri" w:eastAsia="Times New Roman" w:hAnsi="Calibri" w:cs="Calibri"/>
          <w:color w:val="000000" w:themeColor="text1"/>
          <w:sz w:val="24"/>
          <w:szCs w:val="24"/>
        </w:rPr>
        <w:t>can</w:t>
      </w:r>
      <w:r w:rsidR="7A2E1691" w:rsidRPr="097CE612">
        <w:rPr>
          <w:rFonts w:ascii="Calibri" w:eastAsia="Times New Roman" w:hAnsi="Calibri" w:cs="Calibri"/>
          <w:color w:val="000000" w:themeColor="text1"/>
          <w:sz w:val="24"/>
          <w:szCs w:val="24"/>
        </w:rPr>
        <w:t xml:space="preserve"> generate 1.17% of net profits and the lowest ratio is </w:t>
      </w:r>
      <w:r w:rsidR="2E5BFB7A" w:rsidRPr="097CE612">
        <w:rPr>
          <w:rFonts w:ascii="Calibri" w:eastAsia="Times New Roman" w:hAnsi="Calibri" w:cs="Calibri"/>
          <w:color w:val="000000" w:themeColor="text1"/>
          <w:sz w:val="24"/>
          <w:szCs w:val="24"/>
        </w:rPr>
        <w:t>0.83% in March-2020 which indicates that for every rupee 100 invested by equity shareholder the company is able to generate net profit of 0.83%.</w:t>
      </w:r>
      <w:r w:rsidR="29A23036" w:rsidRPr="097CE612">
        <w:rPr>
          <w:rFonts w:ascii="Calibri" w:eastAsia="Times New Roman" w:hAnsi="Calibri" w:cs="Calibri"/>
          <w:color w:val="000000" w:themeColor="text1"/>
          <w:sz w:val="24"/>
          <w:szCs w:val="24"/>
        </w:rPr>
        <w:t xml:space="preserve"> </w:t>
      </w:r>
    </w:p>
    <w:p w14:paraId="6D7DE561" w14:textId="6AB57508" w:rsidR="00E80439" w:rsidRDefault="00E80439" w:rsidP="097CE612">
      <w:pPr>
        <w:spacing w:after="360"/>
        <w:jc w:val="both"/>
        <w:rPr>
          <w:rFonts w:ascii="Calibri" w:eastAsia="Times New Roman" w:hAnsi="Calibri" w:cs="Calibri"/>
          <w:color w:val="000000" w:themeColor="text1"/>
          <w:sz w:val="24"/>
          <w:szCs w:val="24"/>
        </w:rPr>
      </w:pPr>
      <w:r w:rsidRPr="00E80439">
        <w:rPr>
          <w:rFonts w:ascii="Calibri" w:eastAsia="Times New Roman" w:hAnsi="Calibri" w:cs="Calibri"/>
          <w:color w:val="000000" w:themeColor="text1"/>
          <w:sz w:val="24"/>
          <w:szCs w:val="24"/>
        </w:rPr>
        <w:t>The ROE has exhibited fluctuations over the past five years. It increased from 2019 to 2020, remained relatively stable in 2021, reached a peak in 2022, and then decreased in 2023. These fluctuations indicate changes in the company's ability to generate returns for its shareholders from their equity investment. The decrease in ROE from 2022 to 2023 is noteworthy. It suggests that the company's profitability in relation to shareholders' equity has decreased during this period. Investigating the reasons behind this decline is crucial. Factors such as changes in net income, equity levels, or financial leverage could contribute to this trend.</w:t>
      </w:r>
    </w:p>
    <w:p w14:paraId="75FA686C"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62601212"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596C1FF3"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774EEAA0" w14:textId="77777777" w:rsidR="00C4120E" w:rsidRDefault="00C4120E" w:rsidP="00135CA5">
      <w:pPr>
        <w:spacing w:after="360"/>
        <w:rPr>
          <w:rFonts w:ascii="Calibri" w:eastAsia="Times New Roman" w:hAnsi="Calibri" w:cs="Calibri"/>
          <w:b/>
          <w:bCs/>
          <w:color w:val="000000"/>
          <w:kern w:val="0"/>
          <w:sz w:val="28"/>
          <w:szCs w:val="28"/>
          <w14:ligatures w14:val="none"/>
        </w:rPr>
      </w:pPr>
    </w:p>
    <w:p w14:paraId="3B070F38" w14:textId="241290EF" w:rsidR="00523462" w:rsidRDefault="00523462"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11. Return on Capital Employed:</w:t>
      </w:r>
    </w:p>
    <w:p w14:paraId="1CC83FB4" w14:textId="7B02E195" w:rsidR="00DD6F50" w:rsidRDefault="00827390" w:rsidP="00DD6F50">
      <w:pPr>
        <w:spacing w:after="360"/>
        <w:jc w:val="center"/>
        <w:rPr>
          <w:rFonts w:ascii="Calibri" w:eastAsia="Times New Roman" w:hAnsi="Calibri" w:cs="Calibri"/>
          <w:b/>
          <w:bCs/>
          <w:color w:val="000000"/>
          <w:kern w:val="0"/>
          <w:sz w:val="28"/>
          <w:szCs w:val="28"/>
          <w14:ligatures w14:val="none"/>
        </w:rPr>
      </w:pPr>
      <w:r>
        <w:rPr>
          <w:noProof/>
        </w:rPr>
        <w:drawing>
          <wp:inline distT="0" distB="0" distL="0" distR="0" wp14:anchorId="38951215" wp14:editId="7669D3EC">
            <wp:extent cx="4572000" cy="2743200"/>
            <wp:effectExtent l="0" t="0" r="0" b="0"/>
            <wp:docPr id="2090009241" name="Chart 1">
              <a:extLst xmlns:a="http://schemas.openxmlformats.org/drawingml/2006/main">
                <a:ext uri="{FF2B5EF4-FFF2-40B4-BE49-F238E27FC236}">
                  <a16:creationId xmlns:a16="http://schemas.microsoft.com/office/drawing/2014/main" id="{7AB7B84A-EAF6-4EF0-8AEA-98F59614A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E26B49" w14:textId="3C7BD1E9" w:rsidR="097CE612" w:rsidRDefault="097CE612" w:rsidP="097CE612">
      <w:pPr>
        <w:spacing w:after="360"/>
        <w:jc w:val="center"/>
        <w:rPr>
          <w:rFonts w:ascii="Calibri" w:eastAsia="Times New Roman" w:hAnsi="Calibri" w:cs="Calibri"/>
          <w:b/>
          <w:bCs/>
          <w:color w:val="000000" w:themeColor="text1"/>
          <w:sz w:val="28"/>
          <w:szCs w:val="28"/>
        </w:rPr>
      </w:pPr>
    </w:p>
    <w:p w14:paraId="648E5FE7"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49AC42B7" w14:textId="41C98662" w:rsidR="00523462" w:rsidRDefault="7EBC08AC"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highest (ROCE) ratio is in March-2022 which is 0.28% it indicates that for every rupee 100 of capital employed the </w:t>
      </w:r>
      <w:r w:rsidR="605D1896" w:rsidRPr="097CE612">
        <w:rPr>
          <w:rFonts w:ascii="Calibri" w:eastAsia="Times New Roman" w:hAnsi="Calibri" w:cs="Calibri"/>
          <w:color w:val="000000" w:themeColor="text1"/>
          <w:sz w:val="24"/>
          <w:szCs w:val="24"/>
        </w:rPr>
        <w:t>return is 0.28%, the lowest is in March 2020 which is 0.09%.</w:t>
      </w:r>
    </w:p>
    <w:p w14:paraId="2C9CB1E1" w14:textId="0A6141C3" w:rsidR="00E80439" w:rsidRDefault="00A04FB6" w:rsidP="097CE612">
      <w:pPr>
        <w:spacing w:after="360"/>
        <w:jc w:val="both"/>
        <w:rPr>
          <w:rFonts w:ascii="Calibri" w:eastAsia="Times New Roman" w:hAnsi="Calibri" w:cs="Calibri"/>
          <w:color w:val="000000" w:themeColor="text1"/>
          <w:sz w:val="24"/>
          <w:szCs w:val="24"/>
        </w:rPr>
      </w:pPr>
      <w:r w:rsidRPr="00A04FB6">
        <w:rPr>
          <w:rFonts w:ascii="Calibri" w:eastAsia="Times New Roman" w:hAnsi="Calibri" w:cs="Calibri"/>
          <w:color w:val="000000" w:themeColor="text1"/>
          <w:sz w:val="24"/>
          <w:szCs w:val="24"/>
        </w:rPr>
        <w:t xml:space="preserve">The ROC has shown fluctuations over the past five years. It increased from 2019 to 2020, decreased in 2021, increased significantly in 2022, and decreased again in 2023. These fluctuations indicate changes in the company's ability to generate returns from its invested </w:t>
      </w:r>
      <w:r w:rsidR="00C4120E" w:rsidRPr="00A04FB6">
        <w:rPr>
          <w:rFonts w:ascii="Calibri" w:eastAsia="Times New Roman" w:hAnsi="Calibri" w:cs="Calibri"/>
          <w:color w:val="000000" w:themeColor="text1"/>
          <w:sz w:val="24"/>
          <w:szCs w:val="24"/>
        </w:rPr>
        <w:t>capital. The</w:t>
      </w:r>
      <w:r w:rsidRPr="00A04FB6">
        <w:rPr>
          <w:rFonts w:ascii="Calibri" w:eastAsia="Times New Roman" w:hAnsi="Calibri" w:cs="Calibri"/>
          <w:color w:val="000000" w:themeColor="text1"/>
          <w:sz w:val="24"/>
          <w:szCs w:val="24"/>
        </w:rPr>
        <w:t xml:space="preserve"> significant decrease in ROC from 2022 to 2023 is noteworthy. It suggests that the company's ability to generate returns from its invested capital decreased during this period. Investigating the reasons behind this decline is crucial. Factors such as changes in net income, capital structure, or investment decisions could contribute to this trend.</w:t>
      </w:r>
    </w:p>
    <w:p w14:paraId="79E059BF"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5E7550AC"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25F0EBE0"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29B9D594"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12B92A09" w14:textId="55A4AE26" w:rsidR="00523462" w:rsidRDefault="01087E07"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12. Inventory Turnover Ratio:</w:t>
      </w:r>
    </w:p>
    <w:p w14:paraId="07B5F6B8" w14:textId="70F44AEF" w:rsidR="75A5870C" w:rsidRDefault="00827390" w:rsidP="097CE612">
      <w:pPr>
        <w:spacing w:after="360"/>
        <w:jc w:val="center"/>
      </w:pPr>
      <w:r>
        <w:rPr>
          <w:noProof/>
        </w:rPr>
        <w:drawing>
          <wp:inline distT="0" distB="0" distL="0" distR="0" wp14:anchorId="66EBA83C" wp14:editId="54F40396">
            <wp:extent cx="4572000" cy="2743200"/>
            <wp:effectExtent l="0" t="0" r="0" b="0"/>
            <wp:docPr id="734340635" name="Chart 1">
              <a:extLst xmlns:a="http://schemas.openxmlformats.org/drawingml/2006/main">
                <a:ext uri="{FF2B5EF4-FFF2-40B4-BE49-F238E27FC236}">
                  <a16:creationId xmlns:a16="http://schemas.microsoft.com/office/drawing/2014/main" id="{AAAA5442-598F-4C05-96C4-06BDC2EBE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7850CE" w14:textId="589DECE7" w:rsidR="4B8C5940" w:rsidRDefault="4B8C5940" w:rsidP="4B8C5940">
      <w:pPr>
        <w:spacing w:after="360"/>
        <w:rPr>
          <w:rFonts w:ascii="Calibri" w:eastAsia="Times New Roman" w:hAnsi="Calibri" w:cs="Calibri"/>
          <w:b/>
          <w:bCs/>
          <w:color w:val="000000" w:themeColor="text1"/>
          <w:sz w:val="28"/>
          <w:szCs w:val="28"/>
        </w:rPr>
      </w:pPr>
    </w:p>
    <w:p w14:paraId="3E079686"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59F5ABDD" w14:textId="05D93591" w:rsidR="5B9349E6" w:rsidRDefault="5B9349E6"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inventory turnover ratio has been increasing over the past five years. This suggests that the company is managing its inventory more efficiently and is selling its products at a faster rate compared to previous years.</w:t>
      </w:r>
      <w:r w:rsidR="14CAB471" w:rsidRPr="097CE612">
        <w:rPr>
          <w:rFonts w:ascii="Calibri" w:eastAsia="Times New Roman" w:hAnsi="Calibri" w:cs="Calibri"/>
          <w:color w:val="000000" w:themeColor="text1"/>
          <w:sz w:val="24"/>
          <w:szCs w:val="24"/>
        </w:rPr>
        <w:t xml:space="preserve"> </w:t>
      </w:r>
      <w:r w:rsidRPr="097CE612">
        <w:rPr>
          <w:rFonts w:ascii="Calibri" w:eastAsia="Times New Roman" w:hAnsi="Calibri" w:cs="Calibri"/>
          <w:color w:val="000000" w:themeColor="text1"/>
          <w:sz w:val="24"/>
          <w:szCs w:val="24"/>
        </w:rPr>
        <w:t>A higher inventory turnover ratio generally signifies that a company is reducing its holding costs, generating sales more efficiently, and potentially improving its cash flow.</w:t>
      </w:r>
    </w:p>
    <w:p w14:paraId="1C47C642" w14:textId="6AA6A0C7" w:rsidR="097CE612" w:rsidRDefault="097CE612" w:rsidP="097CE612">
      <w:pPr>
        <w:spacing w:after="360"/>
        <w:rPr>
          <w:rFonts w:ascii="Calibri" w:eastAsia="Times New Roman" w:hAnsi="Calibri" w:cs="Calibri"/>
          <w:b/>
          <w:bCs/>
          <w:color w:val="000000" w:themeColor="text1"/>
          <w:sz w:val="28"/>
          <w:szCs w:val="28"/>
        </w:rPr>
      </w:pPr>
    </w:p>
    <w:p w14:paraId="41FAF9CC" w14:textId="2B1C4530" w:rsidR="097CE612" w:rsidRDefault="097CE612" w:rsidP="097CE612">
      <w:pPr>
        <w:spacing w:after="360"/>
        <w:rPr>
          <w:rFonts w:ascii="Calibri" w:eastAsia="Times New Roman" w:hAnsi="Calibri" w:cs="Calibri"/>
          <w:b/>
          <w:bCs/>
          <w:color w:val="000000" w:themeColor="text1"/>
          <w:sz w:val="28"/>
          <w:szCs w:val="28"/>
        </w:rPr>
      </w:pPr>
    </w:p>
    <w:p w14:paraId="56B8A87C" w14:textId="77777777" w:rsidR="00C4120E" w:rsidRDefault="00C4120E" w:rsidP="097CE612">
      <w:pPr>
        <w:spacing w:after="360"/>
        <w:rPr>
          <w:rFonts w:ascii="Calibri" w:eastAsia="Times New Roman" w:hAnsi="Calibri" w:cs="Calibri"/>
          <w:b/>
          <w:bCs/>
          <w:color w:val="000000" w:themeColor="text1"/>
          <w:sz w:val="28"/>
          <w:szCs w:val="28"/>
        </w:rPr>
      </w:pPr>
    </w:p>
    <w:p w14:paraId="660550B3" w14:textId="77777777" w:rsidR="00C4120E" w:rsidRDefault="00C4120E" w:rsidP="097CE612">
      <w:pPr>
        <w:spacing w:after="360"/>
        <w:rPr>
          <w:rFonts w:ascii="Calibri" w:eastAsia="Times New Roman" w:hAnsi="Calibri" w:cs="Calibri"/>
          <w:b/>
          <w:bCs/>
          <w:color w:val="000000" w:themeColor="text1"/>
          <w:sz w:val="28"/>
          <w:szCs w:val="28"/>
        </w:rPr>
      </w:pPr>
    </w:p>
    <w:p w14:paraId="158BBD98" w14:textId="77777777" w:rsidR="00C4120E" w:rsidRDefault="00C4120E" w:rsidP="097CE612">
      <w:pPr>
        <w:spacing w:after="360"/>
        <w:rPr>
          <w:rFonts w:ascii="Calibri" w:eastAsia="Times New Roman" w:hAnsi="Calibri" w:cs="Calibri"/>
          <w:b/>
          <w:bCs/>
          <w:color w:val="000000" w:themeColor="text1"/>
          <w:sz w:val="28"/>
          <w:szCs w:val="28"/>
        </w:rPr>
      </w:pPr>
    </w:p>
    <w:p w14:paraId="307DB05D" w14:textId="77777777" w:rsidR="00C4120E" w:rsidRDefault="00C4120E" w:rsidP="097CE612">
      <w:pPr>
        <w:spacing w:after="360"/>
        <w:rPr>
          <w:rFonts w:ascii="Calibri" w:eastAsia="Times New Roman" w:hAnsi="Calibri" w:cs="Calibri"/>
          <w:b/>
          <w:bCs/>
          <w:color w:val="000000" w:themeColor="text1"/>
          <w:sz w:val="28"/>
          <w:szCs w:val="28"/>
        </w:rPr>
      </w:pPr>
    </w:p>
    <w:p w14:paraId="349F5C31" w14:textId="79220607" w:rsidR="00523462" w:rsidRDefault="01087E07" w:rsidP="00135CA5">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13. Inventory Turnover Period:</w:t>
      </w:r>
    </w:p>
    <w:p w14:paraId="0767CC30" w14:textId="25629C4A" w:rsidR="7B87EB4E" w:rsidRDefault="00827390" w:rsidP="097CE612">
      <w:pPr>
        <w:spacing w:after="360"/>
        <w:jc w:val="center"/>
      </w:pPr>
      <w:r>
        <w:rPr>
          <w:noProof/>
        </w:rPr>
        <w:drawing>
          <wp:inline distT="0" distB="0" distL="0" distR="0" wp14:anchorId="5312833F" wp14:editId="303A7F43">
            <wp:extent cx="4572000" cy="2743200"/>
            <wp:effectExtent l="0" t="0" r="0" b="0"/>
            <wp:docPr id="508592899" name="Chart 1">
              <a:extLst xmlns:a="http://schemas.openxmlformats.org/drawingml/2006/main">
                <a:ext uri="{FF2B5EF4-FFF2-40B4-BE49-F238E27FC236}">
                  <a16:creationId xmlns:a16="http://schemas.microsoft.com/office/drawing/2014/main" id="{DD3B9CC8-FD5B-4350-A9A1-79EA8952A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8668E1A"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0662A85B" w14:textId="0A8BAFC2" w:rsidR="00523462" w:rsidRDefault="546A1AE3"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inventory turnover period has improved from 2020 to 2023. This means that in the most recent year (Mar-23), the company is selling its inventory more quickly than it did in previous years. A decreasing inventory turnover period indicates more efficient inventory management. The company is either selling products more quickly, reducing excess inventory, or both.</w:t>
      </w:r>
    </w:p>
    <w:p w14:paraId="1A918998"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423F8DF0"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5C16887E"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12BCD8C3"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7F04A778"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51FCADB8"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75742DD5" w14:textId="77777777" w:rsidR="00C4120E" w:rsidRDefault="00C4120E" w:rsidP="097CE612">
      <w:pPr>
        <w:spacing w:after="360"/>
        <w:rPr>
          <w:rFonts w:ascii="Calibri" w:eastAsia="Times New Roman" w:hAnsi="Calibri" w:cs="Calibri"/>
          <w:b/>
          <w:bCs/>
          <w:color w:val="000000"/>
          <w:kern w:val="0"/>
          <w:sz w:val="28"/>
          <w:szCs w:val="28"/>
          <w14:ligatures w14:val="none"/>
        </w:rPr>
      </w:pPr>
    </w:p>
    <w:p w14:paraId="6FB44E3D" w14:textId="050F3526" w:rsidR="00523462" w:rsidRDefault="01087E07"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14. Debtors Turnover Ratio:</w:t>
      </w:r>
    </w:p>
    <w:p w14:paraId="348C2A6F" w14:textId="1FB577BA" w:rsidR="6D7EE41E" w:rsidRDefault="00827390" w:rsidP="097CE612">
      <w:pPr>
        <w:spacing w:after="360"/>
        <w:jc w:val="center"/>
      </w:pPr>
      <w:r>
        <w:rPr>
          <w:noProof/>
        </w:rPr>
        <w:drawing>
          <wp:inline distT="0" distB="0" distL="0" distR="0" wp14:anchorId="0FBEE068" wp14:editId="4F310B26">
            <wp:extent cx="4572000" cy="2743200"/>
            <wp:effectExtent l="0" t="0" r="0" b="0"/>
            <wp:docPr id="207987397" name="Chart 1">
              <a:extLst xmlns:a="http://schemas.openxmlformats.org/drawingml/2006/main">
                <a:ext uri="{FF2B5EF4-FFF2-40B4-BE49-F238E27FC236}">
                  <a16:creationId xmlns:a16="http://schemas.microsoft.com/office/drawing/2014/main" id="{27666DEA-F443-4ACF-ABF0-540BA09F2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5497C17" w14:textId="0008F41C" w:rsidR="097CE612" w:rsidRDefault="097CE612" w:rsidP="097CE612">
      <w:pPr>
        <w:spacing w:after="360"/>
        <w:jc w:val="center"/>
      </w:pPr>
    </w:p>
    <w:p w14:paraId="1BB144ED"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3753EAED" w14:textId="1202070B" w:rsidR="7C4EA655" w:rsidRDefault="7C4EA655"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w:t>
      </w:r>
      <w:r w:rsidR="6AECB380" w:rsidRPr="097CE612">
        <w:rPr>
          <w:rFonts w:ascii="Calibri" w:eastAsia="Times New Roman" w:hAnsi="Calibri" w:cs="Calibri"/>
          <w:color w:val="000000" w:themeColor="text1"/>
          <w:sz w:val="24"/>
          <w:szCs w:val="24"/>
        </w:rPr>
        <w:t>debtor's</w:t>
      </w:r>
      <w:r w:rsidRPr="097CE612">
        <w:rPr>
          <w:rFonts w:ascii="Calibri" w:eastAsia="Times New Roman" w:hAnsi="Calibri" w:cs="Calibri"/>
          <w:color w:val="000000" w:themeColor="text1"/>
          <w:sz w:val="24"/>
          <w:szCs w:val="24"/>
        </w:rPr>
        <w:t xml:space="preserve"> turnover ratio has been fluctuating over the past five years. It has generally been decreasing from 2020 to 2023. This suggests that the company might be taking more time to collect payments from customers in recent </w:t>
      </w:r>
      <w:r w:rsidR="3354A72E" w:rsidRPr="097CE612">
        <w:rPr>
          <w:rFonts w:ascii="Calibri" w:eastAsia="Times New Roman" w:hAnsi="Calibri" w:cs="Calibri"/>
          <w:color w:val="000000" w:themeColor="text1"/>
          <w:sz w:val="24"/>
          <w:szCs w:val="24"/>
        </w:rPr>
        <w:t>years. A</w:t>
      </w:r>
      <w:r w:rsidRPr="097CE612">
        <w:rPr>
          <w:rFonts w:ascii="Calibri" w:eastAsia="Times New Roman" w:hAnsi="Calibri" w:cs="Calibri"/>
          <w:color w:val="000000" w:themeColor="text1"/>
          <w:sz w:val="24"/>
          <w:szCs w:val="24"/>
        </w:rPr>
        <w:t xml:space="preserve"> lower </w:t>
      </w:r>
      <w:r w:rsidR="6665F1C3" w:rsidRPr="097CE612">
        <w:rPr>
          <w:rFonts w:ascii="Calibri" w:eastAsia="Times New Roman" w:hAnsi="Calibri" w:cs="Calibri"/>
          <w:color w:val="000000" w:themeColor="text1"/>
          <w:sz w:val="24"/>
          <w:szCs w:val="24"/>
        </w:rPr>
        <w:t>debtor's</w:t>
      </w:r>
      <w:r w:rsidRPr="097CE612">
        <w:rPr>
          <w:rFonts w:ascii="Calibri" w:eastAsia="Times New Roman" w:hAnsi="Calibri" w:cs="Calibri"/>
          <w:color w:val="000000" w:themeColor="text1"/>
          <w:sz w:val="24"/>
          <w:szCs w:val="24"/>
        </w:rPr>
        <w:t xml:space="preserve"> turnover ratio may lead to delayed cash inflows, which can impact the company's cash flow and working capital.</w:t>
      </w:r>
    </w:p>
    <w:p w14:paraId="26BADAA2"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97BBF75"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99EB2E7"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A9D5217"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4B069D4"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0AE770DE"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F9AB34F" w14:textId="6ED8B6BD"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 xml:space="preserve">15. Average Collection </w:t>
      </w:r>
      <w:r w:rsidR="2B4F368D">
        <w:rPr>
          <w:rFonts w:ascii="Calibri" w:eastAsia="Times New Roman" w:hAnsi="Calibri" w:cs="Calibri"/>
          <w:b/>
          <w:bCs/>
          <w:color w:val="000000"/>
          <w:kern w:val="0"/>
          <w:sz w:val="28"/>
          <w:szCs w:val="28"/>
          <w14:ligatures w14:val="none"/>
        </w:rPr>
        <w:t>Period</w:t>
      </w:r>
      <w:r>
        <w:rPr>
          <w:rFonts w:ascii="Calibri" w:eastAsia="Times New Roman" w:hAnsi="Calibri" w:cs="Calibri"/>
          <w:b/>
          <w:bCs/>
          <w:color w:val="000000"/>
          <w:kern w:val="0"/>
          <w:sz w:val="28"/>
          <w:szCs w:val="28"/>
          <w14:ligatures w14:val="none"/>
        </w:rPr>
        <w:t>:</w:t>
      </w:r>
    </w:p>
    <w:p w14:paraId="0B372121" w14:textId="79944AB2" w:rsidR="28F4164D" w:rsidRDefault="00827390" w:rsidP="097CE612">
      <w:pPr>
        <w:spacing w:after="360"/>
        <w:jc w:val="center"/>
      </w:pPr>
      <w:r>
        <w:rPr>
          <w:noProof/>
        </w:rPr>
        <w:drawing>
          <wp:inline distT="0" distB="0" distL="0" distR="0" wp14:anchorId="4902928A" wp14:editId="27859A88">
            <wp:extent cx="4572000" cy="2743200"/>
            <wp:effectExtent l="0" t="0" r="0" b="0"/>
            <wp:docPr id="979683561" name="Chart 1">
              <a:extLst xmlns:a="http://schemas.openxmlformats.org/drawingml/2006/main">
                <a:ext uri="{FF2B5EF4-FFF2-40B4-BE49-F238E27FC236}">
                  <a16:creationId xmlns:a16="http://schemas.microsoft.com/office/drawing/2014/main" id="{42029536-244A-44E7-92F2-9E6DB60BC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F3481B" w14:textId="371B6DE4" w:rsidR="097CE612" w:rsidRDefault="097CE612" w:rsidP="097CE612">
      <w:pPr>
        <w:spacing w:after="360"/>
        <w:rPr>
          <w:rFonts w:ascii="Calibri" w:eastAsia="Times New Roman" w:hAnsi="Calibri" w:cs="Calibri"/>
          <w:b/>
          <w:bCs/>
          <w:color w:val="000000" w:themeColor="text1"/>
          <w:sz w:val="28"/>
          <w:szCs w:val="28"/>
        </w:rPr>
      </w:pPr>
    </w:p>
    <w:p w14:paraId="12DAF483"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74716DA9" w14:textId="03C7E19E" w:rsidR="00523462" w:rsidRDefault="7545EB9D"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Compared to the average collection period in Mar-20, which was 7.19 days, the average collection period in Mar-23 has increased slightly to 9.38 days. This indicates that, on average, it is taking the company a bit longer to collect payments from customers in recent </w:t>
      </w:r>
      <w:r w:rsidR="575D5269" w:rsidRPr="097CE612">
        <w:rPr>
          <w:rFonts w:ascii="Calibri" w:eastAsia="Times New Roman" w:hAnsi="Calibri" w:cs="Calibri"/>
          <w:color w:val="000000" w:themeColor="text1"/>
          <w:sz w:val="24"/>
          <w:szCs w:val="24"/>
        </w:rPr>
        <w:t>years. An</w:t>
      </w:r>
      <w:r w:rsidRPr="097CE612">
        <w:rPr>
          <w:rFonts w:ascii="Calibri" w:eastAsia="Times New Roman" w:hAnsi="Calibri" w:cs="Calibri"/>
          <w:color w:val="000000" w:themeColor="text1"/>
          <w:sz w:val="24"/>
          <w:szCs w:val="24"/>
        </w:rPr>
        <w:t xml:space="preserve"> increasing average collection period can have implications for the company's cash flow. A longer average collection period means that cash from sales is being received more slowly, which may </w:t>
      </w:r>
      <w:r w:rsidR="6AFCFEE8" w:rsidRPr="097CE612">
        <w:rPr>
          <w:rFonts w:ascii="Calibri" w:eastAsia="Times New Roman" w:hAnsi="Calibri" w:cs="Calibri"/>
          <w:color w:val="000000" w:themeColor="text1"/>
          <w:sz w:val="24"/>
          <w:szCs w:val="24"/>
        </w:rPr>
        <w:t>impact on</w:t>
      </w:r>
      <w:r w:rsidRPr="097CE612">
        <w:rPr>
          <w:rFonts w:ascii="Calibri" w:eastAsia="Times New Roman" w:hAnsi="Calibri" w:cs="Calibri"/>
          <w:color w:val="000000" w:themeColor="text1"/>
          <w:sz w:val="24"/>
          <w:szCs w:val="24"/>
        </w:rPr>
        <w:t xml:space="preserve"> the company's working capital and liquidity.</w:t>
      </w:r>
    </w:p>
    <w:p w14:paraId="43279A4B" w14:textId="59CFDE35" w:rsidR="00523462" w:rsidRDefault="00523462" w:rsidP="097CE612">
      <w:pPr>
        <w:spacing w:after="360"/>
        <w:rPr>
          <w:rFonts w:ascii="Calibri" w:eastAsia="Times New Roman" w:hAnsi="Calibri" w:cs="Calibri"/>
          <w:b/>
          <w:bCs/>
          <w:color w:val="000000" w:themeColor="text1"/>
          <w:sz w:val="28"/>
          <w:szCs w:val="28"/>
        </w:rPr>
      </w:pPr>
    </w:p>
    <w:p w14:paraId="49C53344" w14:textId="77777777" w:rsidR="00C4120E" w:rsidRDefault="00C4120E" w:rsidP="097CE612">
      <w:pPr>
        <w:spacing w:after="360"/>
        <w:rPr>
          <w:rFonts w:ascii="Calibri" w:eastAsia="Times New Roman" w:hAnsi="Calibri" w:cs="Calibri"/>
          <w:b/>
          <w:bCs/>
          <w:color w:val="000000" w:themeColor="text1"/>
          <w:sz w:val="28"/>
          <w:szCs w:val="28"/>
        </w:rPr>
      </w:pPr>
    </w:p>
    <w:p w14:paraId="6B226E11" w14:textId="77777777" w:rsidR="00C4120E" w:rsidRDefault="00C4120E" w:rsidP="097CE612">
      <w:pPr>
        <w:spacing w:after="360"/>
        <w:rPr>
          <w:rFonts w:ascii="Calibri" w:eastAsia="Times New Roman" w:hAnsi="Calibri" w:cs="Calibri"/>
          <w:b/>
          <w:bCs/>
          <w:color w:val="000000" w:themeColor="text1"/>
          <w:sz w:val="28"/>
          <w:szCs w:val="28"/>
        </w:rPr>
      </w:pPr>
    </w:p>
    <w:p w14:paraId="55F08137" w14:textId="77777777" w:rsidR="00C4120E" w:rsidRDefault="00C4120E" w:rsidP="097CE612">
      <w:pPr>
        <w:spacing w:after="360"/>
        <w:rPr>
          <w:rFonts w:ascii="Calibri" w:eastAsia="Times New Roman" w:hAnsi="Calibri" w:cs="Calibri"/>
          <w:b/>
          <w:bCs/>
          <w:color w:val="000000" w:themeColor="text1"/>
          <w:sz w:val="28"/>
          <w:szCs w:val="28"/>
        </w:rPr>
      </w:pPr>
    </w:p>
    <w:p w14:paraId="5ACAD40A" w14:textId="77777777" w:rsidR="00C4120E" w:rsidRDefault="00C4120E" w:rsidP="097CE612">
      <w:pPr>
        <w:spacing w:after="360"/>
        <w:rPr>
          <w:rFonts w:ascii="Calibri" w:eastAsia="Times New Roman" w:hAnsi="Calibri" w:cs="Calibri"/>
          <w:b/>
          <w:bCs/>
          <w:color w:val="000000" w:themeColor="text1"/>
          <w:sz w:val="28"/>
          <w:szCs w:val="28"/>
        </w:rPr>
      </w:pPr>
    </w:p>
    <w:p w14:paraId="32AC30DA" w14:textId="4DD82821" w:rsidR="00523462" w:rsidRDefault="01087E07" w:rsidP="097CE61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16. Working Capital Turnover Ratio:</w:t>
      </w:r>
    </w:p>
    <w:p w14:paraId="22DFEE04" w14:textId="24758175" w:rsidR="68F8A01A" w:rsidRDefault="00827390" w:rsidP="097CE612">
      <w:pPr>
        <w:spacing w:after="360"/>
        <w:jc w:val="center"/>
      </w:pPr>
      <w:r>
        <w:rPr>
          <w:noProof/>
        </w:rPr>
        <w:drawing>
          <wp:inline distT="0" distB="0" distL="0" distR="0" wp14:anchorId="4AF43DB2" wp14:editId="4B861232">
            <wp:extent cx="4572000" cy="2743200"/>
            <wp:effectExtent l="0" t="0" r="0" b="0"/>
            <wp:docPr id="2085727124" name="Chart 1">
              <a:extLst xmlns:a="http://schemas.openxmlformats.org/drawingml/2006/main">
                <a:ext uri="{FF2B5EF4-FFF2-40B4-BE49-F238E27FC236}">
                  <a16:creationId xmlns:a16="http://schemas.microsoft.com/office/drawing/2014/main" id="{1A830884-7E13-4917-BE42-38A6FE76E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657F11" w14:textId="77777777" w:rsidR="00523462" w:rsidRDefault="01087E07" w:rsidP="097CE612">
      <w:pPr>
        <w:spacing w:after="360"/>
        <w:rPr>
          <w:rFonts w:ascii="Calibri" w:eastAsia="Times New Roman" w:hAnsi="Calibri" w:cs="Calibri"/>
          <w:b/>
          <w:bCs/>
          <w:color w:val="000000"/>
          <w:kern w:val="0"/>
          <w:sz w:val="24"/>
          <w:szCs w:val="24"/>
          <w14:ligatures w14:val="none"/>
        </w:rPr>
      </w:pPr>
      <w:r w:rsidRPr="097CE612">
        <w:rPr>
          <w:rFonts w:ascii="Calibri" w:eastAsia="Times New Roman" w:hAnsi="Calibri" w:cs="Calibri"/>
          <w:b/>
          <w:bCs/>
          <w:color w:val="000000"/>
          <w:kern w:val="0"/>
          <w:sz w:val="24"/>
          <w:szCs w:val="24"/>
          <w14:ligatures w14:val="none"/>
        </w:rPr>
        <w:t xml:space="preserve">Interpretation: </w:t>
      </w:r>
    </w:p>
    <w:p w14:paraId="2F6E1C52" w14:textId="5D344EB2" w:rsidR="435FFA1A" w:rsidRDefault="435FFA1A"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working capital turnover ratios for all the years in your data are negative. A negative working capital turnover ratio is unusual and suggests that the company's working capital is not effectively supporting its sales </w:t>
      </w:r>
      <w:r w:rsidR="7CA949BE" w:rsidRPr="097CE612">
        <w:rPr>
          <w:rFonts w:ascii="Calibri" w:eastAsia="Times New Roman" w:hAnsi="Calibri" w:cs="Calibri"/>
          <w:color w:val="000000" w:themeColor="text1"/>
          <w:sz w:val="24"/>
          <w:szCs w:val="24"/>
        </w:rPr>
        <w:t>operations. Negative</w:t>
      </w:r>
      <w:r w:rsidRPr="097CE612">
        <w:rPr>
          <w:rFonts w:ascii="Calibri" w:eastAsia="Times New Roman" w:hAnsi="Calibri" w:cs="Calibri"/>
          <w:color w:val="000000" w:themeColor="text1"/>
          <w:sz w:val="24"/>
          <w:szCs w:val="24"/>
        </w:rPr>
        <w:t xml:space="preserve"> working capital turnover ratios may raise concerns about the company's financial health and liquidity. It suggests that the company might not have sufficient current assets to cover its short-term liabilities, which can lead to financial instability.</w:t>
      </w:r>
    </w:p>
    <w:p w14:paraId="44865A2C"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7A38AD0"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A403132"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165BEF8"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9F9F7EF"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34E4726"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BD81B76"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0D54FDC" w14:textId="2D0C4C4E"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 xml:space="preserve">17. Fixed Assets Turnover Ratio: </w:t>
      </w:r>
    </w:p>
    <w:p w14:paraId="51F50F25" w14:textId="6EA8CB2E" w:rsidR="1F379AE9" w:rsidRDefault="00827390" w:rsidP="097CE612">
      <w:pPr>
        <w:spacing w:after="360"/>
        <w:jc w:val="center"/>
      </w:pPr>
      <w:r>
        <w:rPr>
          <w:noProof/>
        </w:rPr>
        <w:drawing>
          <wp:inline distT="0" distB="0" distL="0" distR="0" wp14:anchorId="5C87844B" wp14:editId="7174EA3E">
            <wp:extent cx="4572000" cy="2743200"/>
            <wp:effectExtent l="0" t="0" r="0" b="0"/>
            <wp:docPr id="1776389551" name="Chart 1">
              <a:extLst xmlns:a="http://schemas.openxmlformats.org/drawingml/2006/main">
                <a:ext uri="{FF2B5EF4-FFF2-40B4-BE49-F238E27FC236}">
                  <a16:creationId xmlns:a16="http://schemas.microsoft.com/office/drawing/2014/main" id="{E36022EF-8A17-41C7-9E5D-F7360DA5A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97A8471"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150002DF" w14:textId="26F18019" w:rsidR="60E3F56F" w:rsidRDefault="60E3F56F"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ratio in Mar-22 (0.7547) is the highest among the years, indicating that the company was able to generate the most sales revenue relative to its fixed assets in that year. Conversely, </w:t>
      </w:r>
      <w:r w:rsidR="23AF3470"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Mar-20 (0.4819), the ratio was the lowest, indicating less efficient utilization of fixed assets. There appears to be an improvement in the fixed asset turnover ratio from 2020 (0.4819) to 2023 (0.6607). This suggests that the company is using its fixed assets more efficiently to generate sales revenue in the most recent year.</w:t>
      </w:r>
    </w:p>
    <w:p w14:paraId="39F798D7"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36F46A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3BCFC8E"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DF161A3"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490F26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0BC210D"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C3BC443"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E8CF200"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FD27FB8" w14:textId="0BE51616"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18. Total Assets Turnover Ratio: </w:t>
      </w:r>
    </w:p>
    <w:p w14:paraId="3A987C8B" w14:textId="7C41E4EA" w:rsidR="54A5F273" w:rsidRDefault="00827390" w:rsidP="097CE612">
      <w:pPr>
        <w:spacing w:after="360"/>
        <w:jc w:val="center"/>
      </w:pPr>
      <w:r>
        <w:rPr>
          <w:noProof/>
        </w:rPr>
        <w:drawing>
          <wp:inline distT="0" distB="0" distL="0" distR="0" wp14:anchorId="06F7CCB6" wp14:editId="2D4B43D0">
            <wp:extent cx="4572000" cy="2743200"/>
            <wp:effectExtent l="0" t="0" r="0" b="0"/>
            <wp:docPr id="1892687135" name="Chart 1">
              <a:extLst xmlns:a="http://schemas.openxmlformats.org/drawingml/2006/main">
                <a:ext uri="{FF2B5EF4-FFF2-40B4-BE49-F238E27FC236}">
                  <a16:creationId xmlns:a16="http://schemas.microsoft.com/office/drawing/2014/main" id="{6E07FC78-A358-436D-BB99-DB2E3ED6B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6EE67D"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311676BE" w14:textId="2A22139C" w:rsidR="31BB69E7" w:rsidRDefault="31BB69E7"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ratio in Mar-22 (0.6411) is the highest among the years, indicating that the company was able to generate the most sales revenue relative to its total assets in that year. Conversely, in Mar-20 (0.4199), the ratio was the lowest, indicating less efficient utilization of total assets. There appears to be an improvement in the total asset turnover ratio from 2020 (0.4199) to 2023 (0.5661). This suggests that the company is using its total assets more efficiently to generate sales revenue in the most recent year.</w:t>
      </w:r>
    </w:p>
    <w:p w14:paraId="2A8DB5F5" w14:textId="2792FD9D" w:rsidR="097CE612" w:rsidRDefault="097CE612" w:rsidP="097CE612">
      <w:pPr>
        <w:spacing w:after="360"/>
        <w:rPr>
          <w:rFonts w:ascii="Calibri" w:eastAsia="Times New Roman" w:hAnsi="Calibri" w:cs="Calibri"/>
          <w:b/>
          <w:bCs/>
          <w:color w:val="000000" w:themeColor="text1"/>
          <w:sz w:val="28"/>
          <w:szCs w:val="28"/>
        </w:rPr>
      </w:pPr>
    </w:p>
    <w:p w14:paraId="461BDEE5" w14:textId="77777777" w:rsidR="00C4120E" w:rsidRDefault="00C4120E" w:rsidP="00523462">
      <w:pPr>
        <w:spacing w:after="360"/>
        <w:rPr>
          <w:rFonts w:ascii="Calibri" w:eastAsia="Times New Roman" w:hAnsi="Calibri" w:cs="Calibri"/>
          <w:b/>
          <w:bCs/>
          <w:color w:val="000000" w:themeColor="text1"/>
          <w:sz w:val="28"/>
          <w:szCs w:val="28"/>
        </w:rPr>
      </w:pPr>
    </w:p>
    <w:p w14:paraId="3E90381A" w14:textId="77777777" w:rsidR="00C4120E" w:rsidRDefault="00C4120E" w:rsidP="00523462">
      <w:pPr>
        <w:spacing w:after="360"/>
        <w:rPr>
          <w:rFonts w:ascii="Calibri" w:eastAsia="Times New Roman" w:hAnsi="Calibri" w:cs="Calibri"/>
          <w:b/>
          <w:bCs/>
          <w:color w:val="000000" w:themeColor="text1"/>
          <w:sz w:val="28"/>
          <w:szCs w:val="28"/>
        </w:rPr>
      </w:pPr>
    </w:p>
    <w:p w14:paraId="4C1B48B3" w14:textId="77777777" w:rsidR="00C4120E" w:rsidRDefault="00C4120E" w:rsidP="00523462">
      <w:pPr>
        <w:spacing w:after="360"/>
        <w:rPr>
          <w:rFonts w:ascii="Calibri" w:eastAsia="Times New Roman" w:hAnsi="Calibri" w:cs="Calibri"/>
          <w:b/>
          <w:bCs/>
          <w:color w:val="000000" w:themeColor="text1"/>
          <w:sz w:val="28"/>
          <w:szCs w:val="28"/>
        </w:rPr>
      </w:pPr>
    </w:p>
    <w:p w14:paraId="7CDAD5FA" w14:textId="77777777" w:rsidR="00C4120E" w:rsidRDefault="00C4120E" w:rsidP="00523462">
      <w:pPr>
        <w:spacing w:after="360"/>
        <w:rPr>
          <w:rFonts w:ascii="Calibri" w:eastAsia="Times New Roman" w:hAnsi="Calibri" w:cs="Calibri"/>
          <w:b/>
          <w:bCs/>
          <w:color w:val="000000" w:themeColor="text1"/>
          <w:sz w:val="28"/>
          <w:szCs w:val="28"/>
        </w:rPr>
      </w:pPr>
    </w:p>
    <w:p w14:paraId="7AFCDD0F" w14:textId="77777777" w:rsidR="00C4120E" w:rsidRDefault="00C4120E" w:rsidP="00523462">
      <w:pPr>
        <w:spacing w:after="360"/>
        <w:rPr>
          <w:rFonts w:ascii="Calibri" w:eastAsia="Times New Roman" w:hAnsi="Calibri" w:cs="Calibri"/>
          <w:b/>
          <w:bCs/>
          <w:color w:val="000000" w:themeColor="text1"/>
          <w:sz w:val="28"/>
          <w:szCs w:val="28"/>
        </w:rPr>
      </w:pPr>
    </w:p>
    <w:p w14:paraId="4CA04B20" w14:textId="724FD074"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19. Debt Equity Ratio: </w:t>
      </w:r>
    </w:p>
    <w:p w14:paraId="2C060B20" w14:textId="377C59EA" w:rsidR="770FB1EF" w:rsidRDefault="00827390" w:rsidP="097CE612">
      <w:pPr>
        <w:spacing w:after="360"/>
        <w:jc w:val="center"/>
      </w:pPr>
      <w:r>
        <w:rPr>
          <w:noProof/>
        </w:rPr>
        <w:drawing>
          <wp:inline distT="0" distB="0" distL="0" distR="0" wp14:anchorId="3892276C" wp14:editId="3B753CA2">
            <wp:extent cx="4572000" cy="2743200"/>
            <wp:effectExtent l="0" t="0" r="0" b="0"/>
            <wp:docPr id="1030841583" name="Chart 1">
              <a:extLst xmlns:a="http://schemas.openxmlformats.org/drawingml/2006/main">
                <a:ext uri="{FF2B5EF4-FFF2-40B4-BE49-F238E27FC236}">
                  <a16:creationId xmlns:a16="http://schemas.microsoft.com/office/drawing/2014/main" id="{B80C73A7-13E7-41F6-9765-11339890B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BD543FC"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3FAE967C" w14:textId="7AC1E510" w:rsidR="6B70E5A2" w:rsidRDefault="6B70E5A2"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 lower D/E ratio generally indicates lower financial leverage and less reliance on debt financing. Conversely, a higher D/E ratio suggests higher financial leverage and greater reliance on debt. The D/E ratio in Mar-22 (0.2573) is the lowest among the years, indicating that the company had a relatively lower proportion of debt in its capital structure in that year. On the other hand, in Mar-20 (0.5861), the D/E ratio was the highest, indicating a higher level of debt relative to equity. The D/E ratio reflects the company's capital structure and how it chooses to finance its operations. A company with a low D/E ratio may have more conservative financial policies, while a company with a high D/E ratio may be willing to take on more financial risk to fund growth.</w:t>
      </w:r>
    </w:p>
    <w:p w14:paraId="56E732F7"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C7B5DD8"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F2B011E"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5E933C8A"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A9ADA42"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CEA6EC8"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E909CC4"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07FCE476" w14:textId="08A8CB6C"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20. Total Debt to Assets Ratio:</w:t>
      </w:r>
    </w:p>
    <w:p w14:paraId="13F40861" w14:textId="1F963704" w:rsidR="026DF195" w:rsidRDefault="00827390" w:rsidP="097CE612">
      <w:pPr>
        <w:spacing w:after="360"/>
        <w:jc w:val="center"/>
      </w:pPr>
      <w:r>
        <w:rPr>
          <w:noProof/>
        </w:rPr>
        <w:drawing>
          <wp:inline distT="0" distB="0" distL="0" distR="0" wp14:anchorId="60C94D9F" wp14:editId="1BA3E3ED">
            <wp:extent cx="4572000" cy="2743200"/>
            <wp:effectExtent l="0" t="0" r="0" b="0"/>
            <wp:docPr id="14326895" name="Chart 1">
              <a:extLst xmlns:a="http://schemas.openxmlformats.org/drawingml/2006/main">
                <a:ext uri="{FF2B5EF4-FFF2-40B4-BE49-F238E27FC236}">
                  <a16:creationId xmlns:a16="http://schemas.microsoft.com/office/drawing/2014/main" id="{1DA1D529-55CA-47FC-9426-D4286B7CE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C61767D" w14:textId="26EC68D9" w:rsidR="097CE612" w:rsidRDefault="097CE612" w:rsidP="097CE612">
      <w:pPr>
        <w:spacing w:after="360"/>
        <w:rPr>
          <w:rFonts w:ascii="Calibri" w:eastAsia="Times New Roman" w:hAnsi="Calibri" w:cs="Calibri"/>
          <w:b/>
          <w:bCs/>
          <w:i/>
          <w:iCs/>
          <w:color w:val="000000" w:themeColor="text1"/>
          <w:sz w:val="24"/>
          <w:szCs w:val="24"/>
        </w:rPr>
      </w:pPr>
    </w:p>
    <w:p w14:paraId="163BF2AE"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50C8B766" w14:textId="7F353F89" w:rsidR="17A690AC" w:rsidRDefault="17A690AC"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A lower debt ratio indicates a lower level of financial leverage and less reliance on debt financing to support the company's assets. Conversely, a higher debt ratio suggests greater financial leverage and a higher proportion of assets financed by </w:t>
      </w:r>
      <w:proofErr w:type="gramStart"/>
      <w:r w:rsidRPr="097CE612">
        <w:rPr>
          <w:rFonts w:ascii="Calibri" w:eastAsia="Times New Roman" w:hAnsi="Calibri" w:cs="Calibri"/>
          <w:color w:val="000000" w:themeColor="text1"/>
          <w:sz w:val="24"/>
          <w:szCs w:val="24"/>
        </w:rPr>
        <w:t>debt.The</w:t>
      </w:r>
      <w:proofErr w:type="gramEnd"/>
      <w:r w:rsidRPr="097CE612">
        <w:rPr>
          <w:rFonts w:ascii="Calibri" w:eastAsia="Times New Roman" w:hAnsi="Calibri" w:cs="Calibri"/>
          <w:color w:val="000000" w:themeColor="text1"/>
          <w:sz w:val="24"/>
          <w:szCs w:val="24"/>
        </w:rPr>
        <w:t xml:space="preserve"> debt ratio in Mar-22 (0.1454) is the lowest among the years, indicating that the company had a relatively lower proportion of debt in its capital structure in that year. In contrast, </w:t>
      </w:r>
      <w:proofErr w:type="gramStart"/>
      <w:r w:rsidRPr="097CE612">
        <w:rPr>
          <w:rFonts w:ascii="Calibri" w:eastAsia="Times New Roman" w:hAnsi="Calibri" w:cs="Calibri"/>
          <w:color w:val="000000" w:themeColor="text1"/>
          <w:sz w:val="24"/>
          <w:szCs w:val="24"/>
        </w:rPr>
        <w:t>in</w:t>
      </w:r>
      <w:proofErr w:type="gramEnd"/>
      <w:r w:rsidRPr="097CE612">
        <w:rPr>
          <w:rFonts w:ascii="Calibri" w:eastAsia="Times New Roman" w:hAnsi="Calibri" w:cs="Calibri"/>
          <w:color w:val="000000" w:themeColor="text1"/>
          <w:sz w:val="24"/>
          <w:szCs w:val="24"/>
        </w:rPr>
        <w:t xml:space="preserve"> Mar-20 (0.2906), the debt ratio was the highest, indicating a higher level of debt relative to total assets.</w:t>
      </w:r>
    </w:p>
    <w:p w14:paraId="136995FE"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1C107EE"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B8B28D4"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59C4C93A"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7BFDADB" w14:textId="56793C11"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21. Proprietary Ratio:</w:t>
      </w:r>
    </w:p>
    <w:p w14:paraId="731DFA61" w14:textId="1C255089" w:rsidR="2D799A28" w:rsidRDefault="00827390" w:rsidP="097CE612">
      <w:pPr>
        <w:spacing w:after="360"/>
        <w:jc w:val="center"/>
      </w:pPr>
      <w:r>
        <w:rPr>
          <w:noProof/>
        </w:rPr>
        <w:drawing>
          <wp:inline distT="0" distB="0" distL="0" distR="0" wp14:anchorId="5E8F4EEA" wp14:editId="796BC31A">
            <wp:extent cx="4572000" cy="2743200"/>
            <wp:effectExtent l="0" t="0" r="0" b="0"/>
            <wp:docPr id="906579685" name="Chart 1">
              <a:extLst xmlns:a="http://schemas.openxmlformats.org/drawingml/2006/main">
                <a:ext uri="{FF2B5EF4-FFF2-40B4-BE49-F238E27FC236}">
                  <a16:creationId xmlns:a16="http://schemas.microsoft.com/office/drawing/2014/main" id="{566B8AAB-1563-4EEE-9155-9534E8627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FCADCA3"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44D4972C" w14:textId="6444030F" w:rsidR="6BE2CA50" w:rsidRDefault="6BE2CA50"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A higher proprietary ratio indicates a higher proportion of assets financed by shareholders' equity, which suggests a lower reliance on debt financing. This can be seen as a positive sign as it reflects financial stability and a strong equity </w:t>
      </w:r>
      <w:r w:rsidR="00C4120E" w:rsidRPr="097CE612">
        <w:rPr>
          <w:rFonts w:ascii="Calibri" w:eastAsia="Times New Roman" w:hAnsi="Calibri" w:cs="Calibri"/>
          <w:color w:val="000000" w:themeColor="text1"/>
          <w:sz w:val="24"/>
          <w:szCs w:val="24"/>
        </w:rPr>
        <w:t>base. A</w:t>
      </w:r>
      <w:r w:rsidRPr="097CE612">
        <w:rPr>
          <w:rFonts w:ascii="Calibri" w:eastAsia="Times New Roman" w:hAnsi="Calibri" w:cs="Calibri"/>
          <w:color w:val="000000" w:themeColor="text1"/>
          <w:sz w:val="24"/>
          <w:szCs w:val="24"/>
        </w:rPr>
        <w:t xml:space="preserve"> high proprietary ratio can indicate a financially healthy company with a strong equity base. It may also imply that the company has a lower financial risk and is better positioned to weather economic downturns.</w:t>
      </w:r>
    </w:p>
    <w:p w14:paraId="390B5BF7" w14:textId="5BD688AC" w:rsidR="097CE612" w:rsidRDefault="097CE612" w:rsidP="097CE612">
      <w:pPr>
        <w:spacing w:after="360"/>
        <w:rPr>
          <w:rFonts w:ascii="Calibri" w:eastAsia="Times New Roman" w:hAnsi="Calibri" w:cs="Calibri"/>
          <w:b/>
          <w:bCs/>
          <w:color w:val="000000" w:themeColor="text1"/>
          <w:sz w:val="28"/>
          <w:szCs w:val="28"/>
        </w:rPr>
      </w:pPr>
    </w:p>
    <w:p w14:paraId="5D3A3246" w14:textId="77777777" w:rsidR="00C4120E" w:rsidRDefault="00C4120E" w:rsidP="097CE612">
      <w:pPr>
        <w:spacing w:after="360"/>
        <w:rPr>
          <w:rFonts w:ascii="Calibri" w:eastAsia="Times New Roman" w:hAnsi="Calibri" w:cs="Calibri"/>
          <w:b/>
          <w:bCs/>
          <w:color w:val="000000" w:themeColor="text1"/>
          <w:sz w:val="28"/>
          <w:szCs w:val="28"/>
        </w:rPr>
      </w:pPr>
    </w:p>
    <w:p w14:paraId="6230B910" w14:textId="77777777" w:rsidR="00C4120E" w:rsidRDefault="00C4120E" w:rsidP="097CE612">
      <w:pPr>
        <w:spacing w:after="360"/>
        <w:rPr>
          <w:rFonts w:ascii="Calibri" w:eastAsia="Times New Roman" w:hAnsi="Calibri" w:cs="Calibri"/>
          <w:b/>
          <w:bCs/>
          <w:color w:val="000000" w:themeColor="text1"/>
          <w:sz w:val="28"/>
          <w:szCs w:val="28"/>
        </w:rPr>
      </w:pPr>
    </w:p>
    <w:p w14:paraId="4D865DD2" w14:textId="77777777" w:rsidR="00C4120E" w:rsidRDefault="00C4120E" w:rsidP="097CE612">
      <w:pPr>
        <w:spacing w:after="360"/>
        <w:rPr>
          <w:rFonts w:ascii="Calibri" w:eastAsia="Times New Roman" w:hAnsi="Calibri" w:cs="Calibri"/>
          <w:b/>
          <w:bCs/>
          <w:color w:val="000000" w:themeColor="text1"/>
          <w:sz w:val="28"/>
          <w:szCs w:val="28"/>
        </w:rPr>
      </w:pPr>
    </w:p>
    <w:p w14:paraId="006901B9" w14:textId="77777777" w:rsidR="00C4120E" w:rsidRDefault="00C4120E" w:rsidP="097CE612">
      <w:pPr>
        <w:spacing w:after="360"/>
        <w:rPr>
          <w:rFonts w:ascii="Calibri" w:eastAsia="Times New Roman" w:hAnsi="Calibri" w:cs="Calibri"/>
          <w:b/>
          <w:bCs/>
          <w:color w:val="000000" w:themeColor="text1"/>
          <w:sz w:val="28"/>
          <w:szCs w:val="28"/>
        </w:rPr>
      </w:pPr>
    </w:p>
    <w:p w14:paraId="2C5801DB" w14:textId="0EAB5F0B" w:rsidR="097CE612" w:rsidRDefault="097CE612" w:rsidP="097CE612">
      <w:pPr>
        <w:spacing w:after="360"/>
        <w:rPr>
          <w:rFonts w:ascii="Calibri" w:eastAsia="Times New Roman" w:hAnsi="Calibri" w:cs="Calibri"/>
          <w:b/>
          <w:bCs/>
          <w:color w:val="000000" w:themeColor="text1"/>
          <w:sz w:val="28"/>
          <w:szCs w:val="28"/>
        </w:rPr>
      </w:pPr>
    </w:p>
    <w:p w14:paraId="5FFD2389" w14:textId="16D39EAB" w:rsidR="097CE612" w:rsidRDefault="097CE612" w:rsidP="097CE612">
      <w:pPr>
        <w:spacing w:after="360"/>
        <w:rPr>
          <w:rFonts w:ascii="Calibri" w:eastAsia="Times New Roman" w:hAnsi="Calibri" w:cs="Calibri"/>
          <w:b/>
          <w:bCs/>
          <w:color w:val="000000" w:themeColor="text1"/>
          <w:sz w:val="28"/>
          <w:szCs w:val="28"/>
        </w:rPr>
      </w:pPr>
    </w:p>
    <w:p w14:paraId="170AAE3B" w14:textId="5DBDC7BC"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22. Interest Coverage Ratio: </w:t>
      </w:r>
    </w:p>
    <w:p w14:paraId="2A9937B1" w14:textId="2B1192A3" w:rsidR="50FF5E9D" w:rsidRDefault="00827390" w:rsidP="097CE612">
      <w:pPr>
        <w:spacing w:after="360"/>
        <w:jc w:val="center"/>
      </w:pPr>
      <w:r>
        <w:rPr>
          <w:noProof/>
        </w:rPr>
        <w:drawing>
          <wp:inline distT="0" distB="0" distL="0" distR="0" wp14:anchorId="5C333F4B" wp14:editId="3628ABA4">
            <wp:extent cx="4572000" cy="2743200"/>
            <wp:effectExtent l="0" t="0" r="0" b="0"/>
            <wp:docPr id="111083591" name="Chart 1">
              <a:extLst xmlns:a="http://schemas.openxmlformats.org/drawingml/2006/main">
                <a:ext uri="{FF2B5EF4-FFF2-40B4-BE49-F238E27FC236}">
                  <a16:creationId xmlns:a16="http://schemas.microsoft.com/office/drawing/2014/main" id="{DD8F14D4-DC28-4453-B56C-A1141F42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473D5F2"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31A04790" w14:textId="03335A7C" w:rsidR="58877440" w:rsidRDefault="58877440"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 higher interest coverage ratio indicates that the company has a greater ability to cover its interest expenses from its operating income. It suggests that the company is in a better position to meet its debt obligations. The substantial increase in the ratio from Mar-20 to Mar-22 is noteworthy, indicating a significant improvement in the company's ability to cover its interest expenses during that period. However, the ratio has since decreased in Mar-</w:t>
      </w:r>
      <w:proofErr w:type="gramStart"/>
      <w:r w:rsidRPr="097CE612">
        <w:rPr>
          <w:rFonts w:ascii="Calibri" w:eastAsia="Times New Roman" w:hAnsi="Calibri" w:cs="Calibri"/>
          <w:color w:val="000000" w:themeColor="text1"/>
          <w:sz w:val="24"/>
          <w:szCs w:val="24"/>
        </w:rPr>
        <w:t>23.A</w:t>
      </w:r>
      <w:proofErr w:type="gramEnd"/>
      <w:r w:rsidRPr="097CE612">
        <w:rPr>
          <w:rFonts w:ascii="Calibri" w:eastAsia="Times New Roman" w:hAnsi="Calibri" w:cs="Calibri"/>
          <w:color w:val="000000" w:themeColor="text1"/>
          <w:sz w:val="24"/>
          <w:szCs w:val="24"/>
        </w:rPr>
        <w:t xml:space="preserve"> high and stable interest coverage ratio can instill confidence in investors and lenders, as it suggests that the company has the capacity to manage its debt obligations without significant financial strain.</w:t>
      </w:r>
    </w:p>
    <w:p w14:paraId="0E8341F8"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E8EDF69"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A1E88C5"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17B5D55"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214DFB3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286B252" w14:textId="620D67F8"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23. Dividend Yield:</w:t>
      </w:r>
    </w:p>
    <w:p w14:paraId="4E732C1E" w14:textId="25733892" w:rsidR="00CE1DB9" w:rsidRDefault="00827390" w:rsidP="097CE612">
      <w:pPr>
        <w:spacing w:after="360"/>
        <w:jc w:val="center"/>
      </w:pPr>
      <w:r>
        <w:rPr>
          <w:noProof/>
        </w:rPr>
        <w:drawing>
          <wp:inline distT="0" distB="0" distL="0" distR="0" wp14:anchorId="504E1221" wp14:editId="514D7B55">
            <wp:extent cx="4572000" cy="2743200"/>
            <wp:effectExtent l="0" t="0" r="0" b="0"/>
            <wp:docPr id="1257868221" name="Chart 1">
              <a:extLst xmlns:a="http://schemas.openxmlformats.org/drawingml/2006/main">
                <a:ext uri="{FF2B5EF4-FFF2-40B4-BE49-F238E27FC236}">
                  <a16:creationId xmlns:a16="http://schemas.microsoft.com/office/drawing/2014/main" id="{E1CF5172-A8F6-469C-B10E-FB35B2C5F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960D4F0" w14:textId="41E8CD94" w:rsidR="097CE612" w:rsidRDefault="097CE612" w:rsidP="097CE612">
      <w:pPr>
        <w:spacing w:after="360"/>
        <w:rPr>
          <w:rFonts w:ascii="Calibri" w:eastAsia="Times New Roman" w:hAnsi="Calibri" w:cs="Calibri"/>
          <w:b/>
          <w:bCs/>
          <w:i/>
          <w:iCs/>
          <w:color w:val="000000" w:themeColor="text1"/>
          <w:sz w:val="24"/>
          <w:szCs w:val="24"/>
        </w:rPr>
      </w:pPr>
    </w:p>
    <w:p w14:paraId="07E06013"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2E6286D4" w14:textId="13F87063" w:rsidR="0B6AE22E" w:rsidRDefault="0B6AE22E"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dividend yield ratio has shown significant variation over the past five years, ranging from a low of 24.95% in Mar-19 to a high of 344.50% in Mar-</w:t>
      </w:r>
      <w:proofErr w:type="gramStart"/>
      <w:r w:rsidRPr="097CE612">
        <w:rPr>
          <w:rFonts w:ascii="Calibri" w:eastAsia="Times New Roman" w:hAnsi="Calibri" w:cs="Calibri"/>
          <w:color w:val="000000" w:themeColor="text1"/>
          <w:sz w:val="24"/>
          <w:szCs w:val="24"/>
        </w:rPr>
        <w:t>23.The</w:t>
      </w:r>
      <w:proofErr w:type="gramEnd"/>
      <w:r w:rsidRPr="097CE612">
        <w:rPr>
          <w:rFonts w:ascii="Calibri" w:eastAsia="Times New Roman" w:hAnsi="Calibri" w:cs="Calibri"/>
          <w:color w:val="000000" w:themeColor="text1"/>
          <w:sz w:val="24"/>
          <w:szCs w:val="24"/>
        </w:rPr>
        <w:t xml:space="preserve"> substantial increase in the dividend yield ratio from Mar-22 to Mar-23 is noteworthy. It suggests a significant increase in dividend payouts or a significant decrease in the stock price during that period.  A high dividend yield can be attractive to income-oriented investors seeking regular dividend income from their investments. However, it's important to consider the sustainability of the dividend payments.</w:t>
      </w:r>
    </w:p>
    <w:p w14:paraId="416AFB32"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27332B0"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1B68BE16"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F8D0D40"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3EAD3C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35732A3"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417AAA1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8D32932" w14:textId="19DCAA59"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24. Price Earnings Ratio:</w:t>
      </w:r>
    </w:p>
    <w:p w14:paraId="40E73419" w14:textId="51ED3D1A" w:rsidR="63420A3A" w:rsidRDefault="00827390" w:rsidP="097CE612">
      <w:pPr>
        <w:spacing w:after="360"/>
        <w:jc w:val="center"/>
      </w:pPr>
      <w:r>
        <w:rPr>
          <w:noProof/>
        </w:rPr>
        <w:drawing>
          <wp:inline distT="0" distB="0" distL="0" distR="0" wp14:anchorId="154DFDDE" wp14:editId="24815408">
            <wp:extent cx="4572000" cy="2743200"/>
            <wp:effectExtent l="0" t="0" r="0" b="0"/>
            <wp:docPr id="826831600" name="Chart 1">
              <a:extLst xmlns:a="http://schemas.openxmlformats.org/drawingml/2006/main">
                <a:ext uri="{FF2B5EF4-FFF2-40B4-BE49-F238E27FC236}">
                  <a16:creationId xmlns:a16="http://schemas.microsoft.com/office/drawing/2014/main" id="{BE70130E-DBAB-440A-83FF-4903D7FA0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0E657C1"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7E15E3EE" w14:textId="2BAA6FC6" w:rsidR="27695482" w:rsidRDefault="27695482"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P/E ratio has shown fluctuations over the past five years, ranging from a low of 4.5811 in Mar-20 to a high of 8.2422 in Mar-</w:t>
      </w:r>
      <w:proofErr w:type="gramStart"/>
      <w:r w:rsidRPr="097CE612">
        <w:rPr>
          <w:rFonts w:ascii="Calibri" w:eastAsia="Times New Roman" w:hAnsi="Calibri" w:cs="Calibri"/>
          <w:color w:val="000000" w:themeColor="text1"/>
          <w:sz w:val="24"/>
          <w:szCs w:val="24"/>
        </w:rPr>
        <w:t>23.A</w:t>
      </w:r>
      <w:proofErr w:type="gramEnd"/>
      <w:r w:rsidRPr="097CE612">
        <w:rPr>
          <w:rFonts w:ascii="Calibri" w:eastAsia="Times New Roman" w:hAnsi="Calibri" w:cs="Calibri"/>
          <w:color w:val="000000" w:themeColor="text1"/>
          <w:sz w:val="24"/>
          <w:szCs w:val="24"/>
        </w:rPr>
        <w:t xml:space="preserve"> higher P/E ratio suggests that investors are willing to pay a higher price for each dollar of earnings, indicating optimism about the company's future growth and profitability. Conversely, a lower P/E ratio suggests a lower valuation relative to earnings.</w:t>
      </w:r>
      <w:r w:rsidR="6407CF52" w:rsidRPr="097CE612">
        <w:rPr>
          <w:rFonts w:ascii="Calibri" w:eastAsia="Times New Roman" w:hAnsi="Calibri" w:cs="Calibri"/>
          <w:color w:val="000000" w:themeColor="text1"/>
          <w:sz w:val="24"/>
          <w:szCs w:val="24"/>
        </w:rPr>
        <w:t xml:space="preserve"> </w:t>
      </w:r>
      <w:r w:rsidRPr="097CE612">
        <w:rPr>
          <w:rFonts w:ascii="Calibri" w:eastAsia="Times New Roman" w:hAnsi="Calibri" w:cs="Calibri"/>
          <w:color w:val="000000" w:themeColor="text1"/>
          <w:sz w:val="24"/>
          <w:szCs w:val="24"/>
        </w:rPr>
        <w:t>The P/E ratio in Mar-23 (8.2422) is higher than in previous years, suggesting that investors may be willing to pay a premium for the company's shares compared to recent history.</w:t>
      </w:r>
    </w:p>
    <w:p w14:paraId="03AC5FBB" w14:textId="30A1B20F" w:rsidR="097CE612" w:rsidRDefault="097CE612" w:rsidP="097CE612">
      <w:pPr>
        <w:spacing w:after="360"/>
        <w:rPr>
          <w:rFonts w:ascii="Calibri" w:eastAsia="Times New Roman" w:hAnsi="Calibri" w:cs="Calibri"/>
          <w:b/>
          <w:bCs/>
          <w:color w:val="000000" w:themeColor="text1"/>
          <w:sz w:val="28"/>
          <w:szCs w:val="28"/>
        </w:rPr>
      </w:pPr>
    </w:p>
    <w:p w14:paraId="27037925" w14:textId="77777777" w:rsidR="00C4120E" w:rsidRDefault="00C4120E" w:rsidP="097CE612">
      <w:pPr>
        <w:spacing w:after="360"/>
        <w:rPr>
          <w:rFonts w:ascii="Calibri" w:eastAsia="Times New Roman" w:hAnsi="Calibri" w:cs="Calibri"/>
          <w:b/>
          <w:bCs/>
          <w:color w:val="000000" w:themeColor="text1"/>
          <w:sz w:val="28"/>
          <w:szCs w:val="28"/>
        </w:rPr>
      </w:pPr>
    </w:p>
    <w:p w14:paraId="20F67A52" w14:textId="77777777" w:rsidR="00C4120E" w:rsidRDefault="00C4120E" w:rsidP="097CE612">
      <w:pPr>
        <w:spacing w:after="360"/>
        <w:rPr>
          <w:rFonts w:ascii="Calibri" w:eastAsia="Times New Roman" w:hAnsi="Calibri" w:cs="Calibri"/>
          <w:b/>
          <w:bCs/>
          <w:color w:val="000000" w:themeColor="text1"/>
          <w:sz w:val="28"/>
          <w:szCs w:val="28"/>
        </w:rPr>
      </w:pPr>
    </w:p>
    <w:p w14:paraId="07FA7942" w14:textId="77777777" w:rsidR="00C4120E" w:rsidRDefault="00C4120E" w:rsidP="097CE612">
      <w:pPr>
        <w:spacing w:after="360"/>
        <w:rPr>
          <w:rFonts w:ascii="Calibri" w:eastAsia="Times New Roman" w:hAnsi="Calibri" w:cs="Calibri"/>
          <w:b/>
          <w:bCs/>
          <w:color w:val="000000" w:themeColor="text1"/>
          <w:sz w:val="28"/>
          <w:szCs w:val="28"/>
        </w:rPr>
      </w:pPr>
    </w:p>
    <w:p w14:paraId="16EA6FC4" w14:textId="77777777" w:rsidR="00C4120E" w:rsidRDefault="00C4120E" w:rsidP="097CE612">
      <w:pPr>
        <w:spacing w:after="360"/>
        <w:rPr>
          <w:rFonts w:ascii="Calibri" w:eastAsia="Times New Roman" w:hAnsi="Calibri" w:cs="Calibri"/>
          <w:b/>
          <w:bCs/>
          <w:color w:val="000000" w:themeColor="text1"/>
          <w:sz w:val="28"/>
          <w:szCs w:val="28"/>
        </w:rPr>
      </w:pPr>
    </w:p>
    <w:p w14:paraId="6DF1EBA5" w14:textId="076F8D30" w:rsidR="097CE612" w:rsidRDefault="097CE612" w:rsidP="097CE612">
      <w:pPr>
        <w:spacing w:after="360"/>
        <w:rPr>
          <w:rFonts w:ascii="Calibri" w:eastAsia="Times New Roman" w:hAnsi="Calibri" w:cs="Calibri"/>
          <w:b/>
          <w:bCs/>
          <w:color w:val="000000" w:themeColor="text1"/>
          <w:sz w:val="28"/>
          <w:szCs w:val="28"/>
        </w:rPr>
      </w:pPr>
    </w:p>
    <w:p w14:paraId="0A343BCA" w14:textId="6E7EF37F"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25. Enterprise value to EBIDTA Ratio: </w:t>
      </w:r>
    </w:p>
    <w:p w14:paraId="119D62EA" w14:textId="4C5B32CF" w:rsidR="7D2387CB" w:rsidRDefault="00827390" w:rsidP="097CE612">
      <w:pPr>
        <w:spacing w:after="360"/>
        <w:jc w:val="center"/>
      </w:pPr>
      <w:r>
        <w:rPr>
          <w:noProof/>
        </w:rPr>
        <w:drawing>
          <wp:inline distT="0" distB="0" distL="0" distR="0" wp14:anchorId="61B91001" wp14:editId="10817CD1">
            <wp:extent cx="4572000" cy="2743200"/>
            <wp:effectExtent l="0" t="0" r="0" b="0"/>
            <wp:docPr id="1102083327" name="Chart 1">
              <a:extLst xmlns:a="http://schemas.openxmlformats.org/drawingml/2006/main">
                <a:ext uri="{FF2B5EF4-FFF2-40B4-BE49-F238E27FC236}">
                  <a16:creationId xmlns:a16="http://schemas.microsoft.com/office/drawing/2014/main" id="{D861DBCF-C938-4107-93A7-7365F588C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AC8E0EA" w14:textId="77777777" w:rsidR="00523462" w:rsidRDefault="01087E07" w:rsidP="097CE61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05035489" w14:textId="3EA20080" w:rsidR="54272882" w:rsidRDefault="54272882"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EV/EBITDA ratio has shown fluctuations over the past five years, ranging from a low of 2.0238 in Mar-20 to a high of 4.1162 in Mar-</w:t>
      </w:r>
      <w:proofErr w:type="gramStart"/>
      <w:r w:rsidRPr="097CE612">
        <w:rPr>
          <w:rFonts w:ascii="Calibri" w:eastAsia="Times New Roman" w:hAnsi="Calibri" w:cs="Calibri"/>
          <w:color w:val="000000" w:themeColor="text1"/>
          <w:sz w:val="24"/>
          <w:szCs w:val="24"/>
        </w:rPr>
        <w:t>23.A</w:t>
      </w:r>
      <w:proofErr w:type="gramEnd"/>
      <w:r w:rsidRPr="097CE612">
        <w:rPr>
          <w:rFonts w:ascii="Calibri" w:eastAsia="Times New Roman" w:hAnsi="Calibri" w:cs="Calibri"/>
          <w:color w:val="000000" w:themeColor="text1"/>
          <w:sz w:val="24"/>
          <w:szCs w:val="24"/>
        </w:rPr>
        <w:t xml:space="preserve"> higher EV/EBITDA ratio generally indicates that investors are willing to pay a higher valuation for the company's earnings before interest, taxes, depreciation, and amortization. Conversely, a lower ratio suggests a lower valuation relative to EBITDA. The most recent year, Mar-23, has a relatively higher EV/EBITDA ratio compared to previous years, indicating that the company may be valued more highly relative to its earnings before interest, taxes, depreciation, and amortization.</w:t>
      </w:r>
    </w:p>
    <w:p w14:paraId="1F41664B"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FC2729D"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3E600CBC"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680E3445" w14:textId="77777777" w:rsidR="00C4120E" w:rsidRDefault="00C4120E" w:rsidP="00523462">
      <w:pPr>
        <w:spacing w:after="360"/>
        <w:rPr>
          <w:rFonts w:ascii="Calibri" w:eastAsia="Times New Roman" w:hAnsi="Calibri" w:cs="Calibri"/>
          <w:b/>
          <w:bCs/>
          <w:color w:val="000000"/>
          <w:kern w:val="0"/>
          <w:sz w:val="28"/>
          <w:szCs w:val="28"/>
          <w14:ligatures w14:val="none"/>
        </w:rPr>
      </w:pPr>
    </w:p>
    <w:p w14:paraId="76E859C5" w14:textId="4669F7FC" w:rsidR="00523462" w:rsidRDefault="01087E07" w:rsidP="00523462">
      <w:pPr>
        <w:spacing w:after="360"/>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26. DU-Pont Analysis:</w:t>
      </w:r>
    </w:p>
    <w:p w14:paraId="1205EA80" w14:textId="22994941" w:rsidR="2647D543" w:rsidRDefault="00827390" w:rsidP="097CE612">
      <w:pPr>
        <w:spacing w:after="360"/>
        <w:jc w:val="center"/>
      </w:pPr>
      <w:r>
        <w:rPr>
          <w:noProof/>
        </w:rPr>
        <w:drawing>
          <wp:inline distT="0" distB="0" distL="0" distR="0" wp14:anchorId="6D9BF470" wp14:editId="529E2375">
            <wp:extent cx="4572000" cy="2743200"/>
            <wp:effectExtent l="0" t="0" r="0" b="0"/>
            <wp:docPr id="880823014" name="Chart 1">
              <a:extLst xmlns:a="http://schemas.openxmlformats.org/drawingml/2006/main">
                <a:ext uri="{FF2B5EF4-FFF2-40B4-BE49-F238E27FC236}">
                  <a16:creationId xmlns:a16="http://schemas.microsoft.com/office/drawing/2014/main" id="{7DC04C23-A168-4F2D-8B28-4D6DB6DBF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7A3AB20" w14:textId="77777777" w:rsidR="00523462" w:rsidRDefault="01087E07" w:rsidP="00523462">
      <w:pPr>
        <w:spacing w:after="360"/>
        <w:rPr>
          <w:rFonts w:ascii="Calibri" w:eastAsia="Times New Roman" w:hAnsi="Calibri" w:cs="Calibri"/>
          <w:b/>
          <w:bCs/>
          <w:i/>
          <w:iCs/>
          <w:color w:val="000000"/>
          <w:kern w:val="0"/>
          <w:sz w:val="24"/>
          <w:szCs w:val="24"/>
          <w14:ligatures w14:val="none"/>
        </w:rPr>
      </w:pPr>
      <w:r w:rsidRPr="097CE612">
        <w:rPr>
          <w:rFonts w:ascii="Calibri" w:eastAsia="Times New Roman" w:hAnsi="Calibri" w:cs="Calibri"/>
          <w:b/>
          <w:bCs/>
          <w:i/>
          <w:iCs/>
          <w:color w:val="000000"/>
          <w:kern w:val="0"/>
          <w:sz w:val="24"/>
          <w:szCs w:val="24"/>
          <w14:ligatures w14:val="none"/>
        </w:rPr>
        <w:t xml:space="preserve">Interpretation: </w:t>
      </w:r>
    </w:p>
    <w:p w14:paraId="526B17B7" w14:textId="4D25A219" w:rsidR="59A3BAD7" w:rsidRDefault="59A3BAD7" w:rsidP="097CE612">
      <w:pPr>
        <w:spacing w:after="36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 declining DuPont analysis should prompt company management to evaluate its business strategy, operational efficiency, cost structure, and capital allocation. Adjustments may be needed to reverse the declining trend and improve financial performance. It's important to note that while a declining trend in ROE and its components is a cause for concern, it doesn't provide specific solutions or pinpoint the root causes. Further analysis and investigation are necessary to identify the underlying reasons for the decline and develop a strategic plan to address the issues. Companies often work on improving profitability, asset management, and capital structure to enhance their ROE and overall financial health.</w:t>
      </w:r>
    </w:p>
    <w:p w14:paraId="779B8C2D" w14:textId="6FAA2854" w:rsidR="097CE612" w:rsidRDefault="097CE612" w:rsidP="097CE612">
      <w:pPr>
        <w:spacing w:after="360"/>
        <w:jc w:val="center"/>
        <w:rPr>
          <w:rFonts w:ascii="Calibri" w:eastAsia="Times New Roman" w:hAnsi="Calibri" w:cs="Calibri"/>
          <w:b/>
          <w:bCs/>
          <w:color w:val="000000" w:themeColor="text1"/>
          <w:sz w:val="40"/>
          <w:szCs w:val="40"/>
          <w:u w:val="single"/>
        </w:rPr>
      </w:pPr>
    </w:p>
    <w:p w14:paraId="6660A8FE" w14:textId="71B6DFE9" w:rsidR="097CE612" w:rsidRDefault="097CE612" w:rsidP="097CE612">
      <w:pPr>
        <w:spacing w:after="360"/>
        <w:jc w:val="center"/>
        <w:rPr>
          <w:rFonts w:ascii="Calibri" w:eastAsia="Times New Roman" w:hAnsi="Calibri" w:cs="Calibri"/>
          <w:b/>
          <w:bCs/>
          <w:color w:val="000000" w:themeColor="text1"/>
          <w:sz w:val="40"/>
          <w:szCs w:val="40"/>
          <w:u w:val="single"/>
        </w:rPr>
      </w:pPr>
    </w:p>
    <w:p w14:paraId="79BFCCB9" w14:textId="77777777" w:rsidR="00F16022" w:rsidRDefault="00F16022" w:rsidP="00F16022">
      <w:pPr>
        <w:spacing w:after="360"/>
        <w:rPr>
          <w:rFonts w:ascii="Calibri" w:eastAsia="Times New Roman" w:hAnsi="Calibri" w:cs="Calibri"/>
          <w:b/>
          <w:bCs/>
          <w:color w:val="000000" w:themeColor="text1"/>
          <w:sz w:val="40"/>
          <w:szCs w:val="40"/>
          <w:u w:val="single"/>
        </w:rPr>
      </w:pPr>
    </w:p>
    <w:p w14:paraId="24D7033B" w14:textId="31147B02" w:rsidR="00523462" w:rsidRPr="00DD6F50" w:rsidRDefault="00DD6F50" w:rsidP="00F16022">
      <w:pPr>
        <w:spacing w:after="360"/>
        <w:rPr>
          <w:rFonts w:ascii="Calibri" w:eastAsia="Times New Roman" w:hAnsi="Calibri" w:cs="Calibri"/>
          <w:b/>
          <w:bCs/>
          <w:color w:val="000000"/>
          <w:kern w:val="0"/>
          <w:sz w:val="40"/>
          <w:szCs w:val="40"/>
          <w:u w:val="single"/>
          <w14:ligatures w14:val="none"/>
        </w:rPr>
      </w:pPr>
      <w:r w:rsidRPr="00DD6F50">
        <w:rPr>
          <w:rFonts w:ascii="Calibri" w:eastAsia="Times New Roman" w:hAnsi="Calibri" w:cs="Calibri"/>
          <w:b/>
          <w:bCs/>
          <w:color w:val="000000"/>
          <w:kern w:val="0"/>
          <w:sz w:val="40"/>
          <w:szCs w:val="40"/>
          <w:u w:val="single"/>
          <w14:ligatures w14:val="none"/>
        </w:rPr>
        <w:lastRenderedPageBreak/>
        <w:t>Tata Steel Ratio’s Comparison with JSW Steel’s Ratio</w:t>
      </w:r>
    </w:p>
    <w:p w14:paraId="3547B9D7" w14:textId="6BEA1EDD" w:rsidR="00523462" w:rsidRPr="007C6DF8" w:rsidRDefault="00DD6F50"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u w:val="single"/>
          <w14:ligatures w14:val="none"/>
        </w:rPr>
        <w:t>1. Net Profit Margin:</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A8156F" w14:paraId="34433EFE" w14:textId="77777777" w:rsidTr="00A8156F">
        <w:trPr>
          <w:trHeight w:val="401"/>
        </w:trPr>
        <w:tc>
          <w:tcPr>
            <w:tcW w:w="1380" w:type="dxa"/>
          </w:tcPr>
          <w:p w14:paraId="44147E65" w14:textId="77777777" w:rsidR="00DD6F50" w:rsidRPr="00DD6F50" w:rsidRDefault="00DD6F50" w:rsidP="00A8156F">
            <w:pPr>
              <w:spacing w:after="360"/>
              <w:jc w:val="center"/>
              <w:rPr>
                <w:rFonts w:ascii="Calibri" w:eastAsia="Times New Roman" w:hAnsi="Calibri" w:cs="Calibri"/>
                <w:b/>
                <w:bCs/>
                <w:color w:val="000000"/>
                <w:kern w:val="0"/>
                <w:sz w:val="24"/>
                <w:szCs w:val="24"/>
                <w14:ligatures w14:val="none"/>
              </w:rPr>
            </w:pPr>
          </w:p>
        </w:tc>
        <w:tc>
          <w:tcPr>
            <w:tcW w:w="1403" w:type="dxa"/>
          </w:tcPr>
          <w:p w14:paraId="6141B0D8" w14:textId="0678A51A" w:rsidR="00DD6F50" w:rsidRPr="00DD6F50" w:rsidRDefault="00DD6F50"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 xml:space="preserve">March </w:t>
            </w:r>
            <w:r w:rsidR="00A8156F">
              <w:rPr>
                <w:rFonts w:ascii="Calibri" w:eastAsia="Times New Roman" w:hAnsi="Calibri" w:cs="Calibri"/>
                <w:b/>
                <w:bCs/>
                <w:color w:val="000000"/>
                <w:kern w:val="0"/>
                <w:sz w:val="24"/>
                <w:szCs w:val="24"/>
                <w14:ligatures w14:val="none"/>
              </w:rPr>
              <w:t>23</w:t>
            </w:r>
          </w:p>
        </w:tc>
        <w:tc>
          <w:tcPr>
            <w:tcW w:w="1403" w:type="dxa"/>
          </w:tcPr>
          <w:p w14:paraId="302A4B9A" w14:textId="3406B1B5" w:rsidR="00DD6F50" w:rsidRPr="00DD6F50" w:rsidRDefault="00DD6F50"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 xml:space="preserve">March </w:t>
            </w:r>
            <w:r w:rsidR="00A8156F">
              <w:rPr>
                <w:rFonts w:ascii="Calibri" w:eastAsia="Times New Roman" w:hAnsi="Calibri" w:cs="Calibri"/>
                <w:b/>
                <w:bCs/>
                <w:color w:val="000000"/>
                <w:kern w:val="0"/>
                <w:sz w:val="24"/>
                <w:szCs w:val="24"/>
                <w14:ligatures w14:val="none"/>
              </w:rPr>
              <w:t>22</w:t>
            </w:r>
          </w:p>
        </w:tc>
        <w:tc>
          <w:tcPr>
            <w:tcW w:w="1403" w:type="dxa"/>
          </w:tcPr>
          <w:p w14:paraId="61A31375" w14:textId="2DF3F8BC" w:rsidR="00DD6F50" w:rsidRPr="00DD6F50" w:rsidRDefault="00A8156F"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482E5867" w14:textId="74A0A7AA" w:rsidR="00DD6F50" w:rsidRPr="00DD6F50" w:rsidRDefault="00A8156F"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35024CA6" w14:textId="5F4BA345" w:rsidR="00DD6F50" w:rsidRPr="00DD6F50" w:rsidRDefault="00A8156F"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A8156F" w14:paraId="53EC4067" w14:textId="77777777" w:rsidTr="00A8156F">
        <w:trPr>
          <w:trHeight w:val="434"/>
        </w:trPr>
        <w:tc>
          <w:tcPr>
            <w:tcW w:w="1380" w:type="dxa"/>
          </w:tcPr>
          <w:p w14:paraId="12D46314" w14:textId="270E01D9" w:rsidR="00DD6F50" w:rsidRPr="00DD6F50" w:rsidRDefault="00543577" w:rsidP="00A8156F">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78E9B0B5" w14:textId="4F15A6D3" w:rsidR="00DD6F50" w:rsidRPr="00BA0723" w:rsidRDefault="00A8156F" w:rsidP="00A8156F">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12.01</w:t>
            </w:r>
          </w:p>
        </w:tc>
        <w:tc>
          <w:tcPr>
            <w:tcW w:w="1403" w:type="dxa"/>
          </w:tcPr>
          <w:p w14:paraId="382D03AB" w14:textId="487BD03C" w:rsidR="00DD6F50" w:rsidRPr="00BA0723" w:rsidRDefault="00A8156F" w:rsidP="00A8156F">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25.5</w:t>
            </w:r>
            <w:r w:rsidR="00BA0723">
              <w:rPr>
                <w:rFonts w:ascii="Calibri" w:eastAsia="Times New Roman" w:hAnsi="Calibri" w:cs="Calibri"/>
                <w:color w:val="000000"/>
                <w:kern w:val="0"/>
                <w:sz w:val="24"/>
                <w:szCs w:val="24"/>
                <w14:ligatures w14:val="none"/>
              </w:rPr>
              <w:t>9</w:t>
            </w:r>
          </w:p>
        </w:tc>
        <w:tc>
          <w:tcPr>
            <w:tcW w:w="1403" w:type="dxa"/>
          </w:tcPr>
          <w:p w14:paraId="31F290F6" w14:textId="177FCDB2" w:rsidR="00DD6F50" w:rsidRPr="00BA0723" w:rsidRDefault="00A8156F" w:rsidP="00A8156F">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20.</w:t>
            </w:r>
            <w:r w:rsidR="00BA0723">
              <w:rPr>
                <w:rFonts w:ascii="Calibri" w:eastAsia="Times New Roman" w:hAnsi="Calibri" w:cs="Calibri"/>
                <w:color w:val="000000"/>
                <w:kern w:val="0"/>
                <w:sz w:val="24"/>
                <w:szCs w:val="24"/>
                <w14:ligatures w14:val="none"/>
              </w:rPr>
              <w:t>30</w:t>
            </w:r>
          </w:p>
        </w:tc>
        <w:tc>
          <w:tcPr>
            <w:tcW w:w="1404" w:type="dxa"/>
          </w:tcPr>
          <w:p w14:paraId="41AFFF0A" w14:textId="121482F5" w:rsidR="00DD6F50" w:rsidRPr="00BA0723" w:rsidRDefault="00A8156F" w:rsidP="00A8156F">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11.1</w:t>
            </w:r>
            <w:r w:rsidR="00BA0723">
              <w:rPr>
                <w:rFonts w:ascii="Calibri" w:eastAsia="Times New Roman" w:hAnsi="Calibri" w:cs="Calibri"/>
                <w:color w:val="000000"/>
                <w:kern w:val="0"/>
                <w:sz w:val="24"/>
                <w:szCs w:val="24"/>
                <w14:ligatures w14:val="none"/>
              </w:rPr>
              <w:t>6</w:t>
            </w:r>
          </w:p>
        </w:tc>
        <w:tc>
          <w:tcPr>
            <w:tcW w:w="1404" w:type="dxa"/>
          </w:tcPr>
          <w:p w14:paraId="17D7FC06" w14:textId="77777777" w:rsidR="00DD6F50" w:rsidRPr="00BA0723" w:rsidRDefault="00A8156F" w:rsidP="00A8156F">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14.9</w:t>
            </w:r>
            <w:r w:rsidR="00BA0723">
              <w:rPr>
                <w:rFonts w:ascii="Calibri" w:eastAsia="Times New Roman" w:hAnsi="Calibri" w:cs="Calibri"/>
                <w:color w:val="000000"/>
                <w:kern w:val="0"/>
                <w:sz w:val="24"/>
                <w:szCs w:val="24"/>
                <w14:ligatures w14:val="none"/>
              </w:rPr>
              <w:t>2</w:t>
            </w:r>
          </w:p>
        </w:tc>
      </w:tr>
      <w:tr w:rsidR="00543577" w14:paraId="547EAFF9" w14:textId="77777777" w:rsidTr="00A8156F">
        <w:trPr>
          <w:trHeight w:val="434"/>
        </w:trPr>
        <w:tc>
          <w:tcPr>
            <w:tcW w:w="1380" w:type="dxa"/>
          </w:tcPr>
          <w:p w14:paraId="52F833DE" w14:textId="15A45403" w:rsidR="00543577" w:rsidRDefault="00543577" w:rsidP="005435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16EAA3B1" w14:textId="169CF06F"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3.7</w:t>
            </w:r>
            <w:r>
              <w:rPr>
                <w:rFonts w:ascii="Calibri" w:eastAsia="Times New Roman" w:hAnsi="Calibri" w:cs="Calibri"/>
                <w:color w:val="000000"/>
                <w:kern w:val="0"/>
                <w:sz w:val="24"/>
                <w:szCs w:val="24"/>
                <w14:ligatures w14:val="none"/>
              </w:rPr>
              <w:t>5</w:t>
            </w:r>
          </w:p>
        </w:tc>
        <w:tc>
          <w:tcPr>
            <w:tcW w:w="1403" w:type="dxa"/>
          </w:tcPr>
          <w:p w14:paraId="42968130" w14:textId="1DC09204"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14.0</w:t>
            </w:r>
            <w:r>
              <w:rPr>
                <w:rFonts w:ascii="Calibri" w:eastAsia="Times New Roman" w:hAnsi="Calibri" w:cs="Calibri"/>
                <w:color w:val="000000"/>
                <w:kern w:val="0"/>
                <w:sz w:val="24"/>
                <w:szCs w:val="24"/>
                <w14:ligatures w14:val="none"/>
              </w:rPr>
              <w:t>6</w:t>
            </w:r>
          </w:p>
        </w:tc>
        <w:tc>
          <w:tcPr>
            <w:tcW w:w="1403" w:type="dxa"/>
          </w:tcPr>
          <w:p w14:paraId="22E6D7A5" w14:textId="7FAE6610"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11.8</w:t>
            </w:r>
            <w:r>
              <w:rPr>
                <w:rFonts w:ascii="Calibri" w:eastAsia="Times New Roman" w:hAnsi="Calibri" w:cs="Calibri"/>
                <w:color w:val="000000"/>
                <w:kern w:val="0"/>
                <w:sz w:val="24"/>
                <w:szCs w:val="24"/>
                <w14:ligatures w14:val="none"/>
              </w:rPr>
              <w:t>7</w:t>
            </w:r>
          </w:p>
        </w:tc>
        <w:tc>
          <w:tcPr>
            <w:tcW w:w="1404" w:type="dxa"/>
          </w:tcPr>
          <w:p w14:paraId="0CEB9A2E" w14:textId="608E6002"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8.23</w:t>
            </w:r>
          </w:p>
        </w:tc>
        <w:tc>
          <w:tcPr>
            <w:tcW w:w="1404" w:type="dxa"/>
          </w:tcPr>
          <w:p w14:paraId="458683E5" w14:textId="510611A7"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10.52</w:t>
            </w:r>
          </w:p>
        </w:tc>
      </w:tr>
    </w:tbl>
    <w:p w14:paraId="0601EBE0" w14:textId="77777777" w:rsidR="00A8156F" w:rsidRPr="00210715" w:rsidRDefault="00A8156F" w:rsidP="00210715">
      <w:pPr>
        <w:spacing w:after="120"/>
        <w:rPr>
          <w:rFonts w:ascii="Calibri" w:eastAsia="Times New Roman" w:hAnsi="Calibri" w:cs="Calibri"/>
          <w:b/>
          <w:bCs/>
          <w:color w:val="000000"/>
          <w:kern w:val="0"/>
          <w:sz w:val="24"/>
          <w:szCs w:val="24"/>
          <w14:ligatures w14:val="none"/>
        </w:rPr>
      </w:pPr>
    </w:p>
    <w:p w14:paraId="30DE8B52" w14:textId="77777777" w:rsidR="00A8156F" w:rsidRDefault="00A8156F" w:rsidP="00A8156F">
      <w:pPr>
        <w:pStyle w:val="ListParagraph"/>
        <w:spacing w:after="360"/>
        <w:jc w:val="center"/>
        <w:rPr>
          <w:rFonts w:ascii="Calibri" w:eastAsia="Times New Roman" w:hAnsi="Calibri" w:cs="Calibri"/>
          <w:b/>
          <w:bCs/>
          <w:color w:val="000000"/>
          <w:kern w:val="0"/>
          <w:sz w:val="24"/>
          <w:szCs w:val="24"/>
          <w14:ligatures w14:val="none"/>
        </w:rPr>
      </w:pPr>
    </w:p>
    <w:p w14:paraId="674E314A" w14:textId="47F61F80" w:rsidR="00A8156F" w:rsidRDefault="00F16022" w:rsidP="00A8156F">
      <w:pPr>
        <w:pStyle w:val="ListParagraph"/>
        <w:spacing w:after="360"/>
        <w:jc w:val="center"/>
        <w:rPr>
          <w:rFonts w:ascii="Calibri" w:eastAsia="Times New Roman" w:hAnsi="Calibri" w:cs="Calibri"/>
          <w:b/>
          <w:bCs/>
          <w:color w:val="000000"/>
          <w:kern w:val="0"/>
          <w:sz w:val="24"/>
          <w:szCs w:val="24"/>
          <w14:ligatures w14:val="none"/>
        </w:rPr>
      </w:pPr>
      <w:r>
        <w:rPr>
          <w:noProof/>
        </w:rPr>
        <w:drawing>
          <wp:inline distT="0" distB="0" distL="0" distR="0" wp14:anchorId="4823547B" wp14:editId="0E6CCA81">
            <wp:extent cx="4572000" cy="2743200"/>
            <wp:effectExtent l="0" t="0" r="0" b="0"/>
            <wp:docPr id="99735828" name="Chart 1">
              <a:extLst xmlns:a="http://schemas.openxmlformats.org/drawingml/2006/main">
                <a:ext uri="{FF2B5EF4-FFF2-40B4-BE49-F238E27FC236}">
                  <a16:creationId xmlns:a16="http://schemas.microsoft.com/office/drawing/2014/main" id="{9AE9326B-45C9-22C5-4C5B-E3FF7A404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AC7F7D3" w14:textId="77777777" w:rsidR="00A8156F" w:rsidRDefault="00A8156F" w:rsidP="00A8156F">
      <w:pPr>
        <w:pStyle w:val="ListParagraph"/>
        <w:spacing w:after="360"/>
        <w:jc w:val="center"/>
        <w:rPr>
          <w:rFonts w:ascii="Calibri" w:eastAsia="Times New Roman" w:hAnsi="Calibri" w:cs="Calibri"/>
          <w:b/>
          <w:bCs/>
          <w:color w:val="000000"/>
          <w:kern w:val="0"/>
          <w:sz w:val="24"/>
          <w:szCs w:val="24"/>
          <w14:ligatures w14:val="none"/>
        </w:rPr>
      </w:pPr>
    </w:p>
    <w:p w14:paraId="69362F45" w14:textId="7BB78C49" w:rsidR="00A8156F" w:rsidRDefault="00A8156F" w:rsidP="00A8156F">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t xml:space="preserve">Interpretation: </w:t>
      </w:r>
    </w:p>
    <w:p w14:paraId="17A6618B" w14:textId="77777777" w:rsidR="00A8156F" w:rsidRDefault="00A8156F" w:rsidP="00A8156F">
      <w:pPr>
        <w:pStyle w:val="ListParagraph"/>
        <w:spacing w:after="360"/>
        <w:ind w:left="0"/>
        <w:rPr>
          <w:rFonts w:ascii="Calibri" w:eastAsia="Times New Roman" w:hAnsi="Calibri" w:cs="Calibri"/>
          <w:b/>
          <w:bCs/>
          <w:color w:val="000000"/>
          <w:kern w:val="0"/>
          <w:sz w:val="28"/>
          <w:szCs w:val="28"/>
          <w14:ligatures w14:val="none"/>
        </w:rPr>
      </w:pPr>
    </w:p>
    <w:p w14:paraId="768F5AC5" w14:textId="57D74376" w:rsidR="153362FD" w:rsidRDefault="153362FD"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Trend Analysis for Tata Steel:</w:t>
      </w:r>
    </w:p>
    <w:p w14:paraId="0510F65C" w14:textId="099124EE"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Net Profit Margin has varied over the past five years.</w:t>
      </w:r>
    </w:p>
    <w:p w14:paraId="7EEF9452" w14:textId="3D9A6756"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margin was highest in March 22 at 25.59%, indicating that Tata Steel was able to retain a significant portion of its revenue as profit in that year.</w:t>
      </w:r>
    </w:p>
    <w:p w14:paraId="2326822C" w14:textId="7DB544D5"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margin in March 23 is 12.01%, which is lower than the previous year but still healthy.</w:t>
      </w:r>
    </w:p>
    <w:p w14:paraId="46084EAF" w14:textId="3B3862E9" w:rsidR="153362FD" w:rsidRDefault="153362FD" w:rsidP="097CE612">
      <w:pPr>
        <w:pStyle w:val="ListParagraph"/>
        <w:spacing w:after="360"/>
        <w:ind w:left="0"/>
        <w:jc w:val="both"/>
      </w:pPr>
      <w:r w:rsidRPr="097CE612">
        <w:rPr>
          <w:rFonts w:ascii="Calibri" w:eastAsia="Times New Roman" w:hAnsi="Calibri" w:cs="Calibri"/>
          <w:b/>
          <w:bCs/>
          <w:color w:val="000000" w:themeColor="text1"/>
          <w:sz w:val="28"/>
          <w:szCs w:val="28"/>
        </w:rPr>
        <w:t xml:space="preserve"> </w:t>
      </w:r>
    </w:p>
    <w:p w14:paraId="066C1790" w14:textId="48AF6EBF" w:rsidR="153362FD" w:rsidRDefault="153362FD" w:rsidP="097CE612">
      <w:pPr>
        <w:pStyle w:val="ListParagraph"/>
        <w:spacing w:after="360"/>
        <w:ind w:left="0"/>
        <w:jc w:val="both"/>
        <w:rPr>
          <w:rFonts w:ascii="Calibri" w:eastAsia="Times New Roman" w:hAnsi="Calibri" w:cs="Calibri"/>
          <w:b/>
          <w:bCs/>
          <w:color w:val="000000" w:themeColor="text1"/>
        </w:rPr>
      </w:pPr>
      <w:r w:rsidRPr="097CE612">
        <w:rPr>
          <w:rFonts w:ascii="Calibri" w:eastAsia="Times New Roman" w:hAnsi="Calibri" w:cs="Calibri"/>
          <w:b/>
          <w:bCs/>
          <w:color w:val="000000" w:themeColor="text1"/>
          <w:sz w:val="24"/>
          <w:szCs w:val="24"/>
        </w:rPr>
        <w:t>Trend Analysis for JSW Steel:</w:t>
      </w:r>
    </w:p>
    <w:p w14:paraId="4A81276A" w14:textId="02A63B50"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JSW Steel's Net Profit Margin </w:t>
      </w:r>
      <w:r w:rsidR="49C6907E" w:rsidRPr="097CE612">
        <w:rPr>
          <w:rFonts w:ascii="Calibri" w:eastAsia="Times New Roman" w:hAnsi="Calibri" w:cs="Calibri"/>
          <w:color w:val="000000" w:themeColor="text1"/>
          <w:sz w:val="24"/>
          <w:szCs w:val="24"/>
        </w:rPr>
        <w:t>also fluctuated</w:t>
      </w:r>
      <w:r w:rsidRPr="097CE612">
        <w:rPr>
          <w:rFonts w:ascii="Calibri" w:eastAsia="Times New Roman" w:hAnsi="Calibri" w:cs="Calibri"/>
          <w:color w:val="000000" w:themeColor="text1"/>
          <w:sz w:val="24"/>
          <w:szCs w:val="24"/>
        </w:rPr>
        <w:t xml:space="preserve"> over the five-year period.</w:t>
      </w:r>
      <w:r w:rsidR="534EA0CB" w:rsidRPr="097CE612">
        <w:rPr>
          <w:rFonts w:ascii="Calibri" w:eastAsia="Times New Roman" w:hAnsi="Calibri" w:cs="Calibri"/>
          <w:color w:val="000000" w:themeColor="text1"/>
          <w:sz w:val="24"/>
          <w:szCs w:val="24"/>
        </w:rPr>
        <w:t xml:space="preserve"> </w:t>
      </w:r>
      <w:r w:rsidRPr="097CE612">
        <w:rPr>
          <w:rFonts w:ascii="Calibri" w:eastAsia="Times New Roman" w:hAnsi="Calibri" w:cs="Calibri"/>
          <w:color w:val="000000" w:themeColor="text1"/>
          <w:sz w:val="24"/>
          <w:szCs w:val="24"/>
        </w:rPr>
        <w:t xml:space="preserve">The margin was highest </w:t>
      </w:r>
      <w:r w:rsidR="78F8E8F7"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22 at 14.06% but dropped to 3.75% </w:t>
      </w:r>
      <w:r w:rsidR="31F1B155"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w:t>
      </w:r>
    </w:p>
    <w:p w14:paraId="0C0FE686" w14:textId="51CEC64A"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lastRenderedPageBreak/>
        <w:t>While there have been fluctuations, the margins for JSW Steel have generally been lower than those of Tata Steel.</w:t>
      </w:r>
    </w:p>
    <w:p w14:paraId="0C919C15" w14:textId="68AD9790"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It's essential to consider the industry's average Net Profit Margins and the company's historical performance when interpreting these numbers. Higher Net Profit Margins generally indicate better profitability and efficiency in managing expenses, while lower margins may suggest that a company is less efficient in converting revenue into profit.</w:t>
      </w:r>
    </w:p>
    <w:p w14:paraId="396DD28A" w14:textId="2814322B"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68282988" w14:textId="276AF32B" w:rsidR="153362FD" w:rsidRDefault="153362F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Investors and analysts often use Net Profit Margin as one of the factors in evaluating a company's financial health and performance. It provides insights into how well a company </w:t>
      </w:r>
      <w:r w:rsidR="6BCB2C9F" w:rsidRPr="097CE612">
        <w:rPr>
          <w:rFonts w:ascii="Calibri" w:eastAsia="Times New Roman" w:hAnsi="Calibri" w:cs="Calibri"/>
          <w:color w:val="000000" w:themeColor="text1"/>
          <w:sz w:val="24"/>
          <w:szCs w:val="24"/>
        </w:rPr>
        <w:t>manages</w:t>
      </w:r>
      <w:r w:rsidRPr="097CE612">
        <w:rPr>
          <w:rFonts w:ascii="Calibri" w:eastAsia="Times New Roman" w:hAnsi="Calibri" w:cs="Calibri"/>
          <w:color w:val="000000" w:themeColor="text1"/>
          <w:sz w:val="24"/>
          <w:szCs w:val="24"/>
        </w:rPr>
        <w:t xml:space="preserve"> its costs and </w:t>
      </w:r>
      <w:r w:rsidR="51206FB2" w:rsidRPr="097CE612">
        <w:rPr>
          <w:rFonts w:ascii="Calibri" w:eastAsia="Times New Roman" w:hAnsi="Calibri" w:cs="Calibri"/>
          <w:color w:val="000000" w:themeColor="text1"/>
          <w:sz w:val="24"/>
          <w:szCs w:val="24"/>
        </w:rPr>
        <w:t>generates</w:t>
      </w:r>
      <w:r w:rsidRPr="097CE612">
        <w:rPr>
          <w:rFonts w:ascii="Calibri" w:eastAsia="Times New Roman" w:hAnsi="Calibri" w:cs="Calibri"/>
          <w:color w:val="000000" w:themeColor="text1"/>
          <w:sz w:val="24"/>
          <w:szCs w:val="24"/>
        </w:rPr>
        <w:t xml:space="preserve"> profit from its core operations. However, it should be assessed alongside other financial metrics and qualitative factors to get a comprehensive view of a company's financial situation.</w:t>
      </w:r>
    </w:p>
    <w:p w14:paraId="3AE86D7E" w14:textId="22D9C988" w:rsidR="00BA0723" w:rsidRPr="007C6DF8" w:rsidRDefault="3578CD37"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u w:val="single"/>
          <w14:ligatures w14:val="none"/>
        </w:rPr>
        <w:t>2. Return on Assets:</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BA0723" w14:paraId="20D983C9" w14:textId="77777777" w:rsidTr="00DC0977">
        <w:trPr>
          <w:trHeight w:val="401"/>
        </w:trPr>
        <w:tc>
          <w:tcPr>
            <w:tcW w:w="1380" w:type="dxa"/>
          </w:tcPr>
          <w:p w14:paraId="01BD5C69"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p>
        </w:tc>
        <w:tc>
          <w:tcPr>
            <w:tcW w:w="1403" w:type="dxa"/>
          </w:tcPr>
          <w:p w14:paraId="588ECF42"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23</w:t>
            </w:r>
          </w:p>
        </w:tc>
        <w:tc>
          <w:tcPr>
            <w:tcW w:w="1403" w:type="dxa"/>
          </w:tcPr>
          <w:p w14:paraId="79B1E9C5"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22</w:t>
            </w:r>
          </w:p>
        </w:tc>
        <w:tc>
          <w:tcPr>
            <w:tcW w:w="1403" w:type="dxa"/>
          </w:tcPr>
          <w:p w14:paraId="396236C2"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07DB84A0"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0B7BA0EE" w14:textId="77777777" w:rsidR="00BA0723" w:rsidRPr="00DD6F50" w:rsidRDefault="00BA0723"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BA0723" w14:paraId="654A4C64" w14:textId="77777777" w:rsidTr="00DC0977">
        <w:trPr>
          <w:trHeight w:val="434"/>
        </w:trPr>
        <w:tc>
          <w:tcPr>
            <w:tcW w:w="1380" w:type="dxa"/>
          </w:tcPr>
          <w:p w14:paraId="53A167C5" w14:textId="2A594D06" w:rsidR="00BA0723"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7216E1C8" w14:textId="35DF9594" w:rsidR="00BA0723" w:rsidRPr="00BA0723" w:rsidRDefault="00BA0723" w:rsidP="00DC09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47.50</w:t>
            </w:r>
          </w:p>
        </w:tc>
        <w:tc>
          <w:tcPr>
            <w:tcW w:w="1403" w:type="dxa"/>
          </w:tcPr>
          <w:p w14:paraId="72E0A11A" w14:textId="461730F8" w:rsidR="00BA0723" w:rsidRPr="00BA0723" w:rsidRDefault="00BA0723" w:rsidP="00DC09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109.7</w:t>
            </w:r>
            <w:r>
              <w:rPr>
                <w:rFonts w:ascii="Calibri" w:eastAsia="Times New Roman" w:hAnsi="Calibri" w:cs="Calibri"/>
                <w:color w:val="000000"/>
                <w:kern w:val="0"/>
                <w:sz w:val="24"/>
                <w:szCs w:val="24"/>
                <w14:ligatures w14:val="none"/>
              </w:rPr>
              <w:t>1</w:t>
            </w:r>
          </w:p>
        </w:tc>
        <w:tc>
          <w:tcPr>
            <w:tcW w:w="1403" w:type="dxa"/>
          </w:tcPr>
          <w:p w14:paraId="2E914E91" w14:textId="26F193A3" w:rsidR="00BA0723" w:rsidRPr="00BA0723" w:rsidRDefault="00BA0723" w:rsidP="00DC09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69.92</w:t>
            </w:r>
          </w:p>
        </w:tc>
        <w:tc>
          <w:tcPr>
            <w:tcW w:w="1404" w:type="dxa"/>
          </w:tcPr>
          <w:p w14:paraId="177FEEB7" w14:textId="62580821" w:rsidR="00BA0723" w:rsidRPr="00BA0723" w:rsidRDefault="00BA0723" w:rsidP="00DC09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36.4</w:t>
            </w:r>
            <w:r>
              <w:rPr>
                <w:rFonts w:ascii="Calibri" w:eastAsia="Times New Roman" w:hAnsi="Calibri" w:cs="Calibri"/>
                <w:color w:val="000000"/>
                <w:kern w:val="0"/>
                <w:sz w:val="24"/>
                <w:szCs w:val="24"/>
                <w14:ligatures w14:val="none"/>
              </w:rPr>
              <w:t>6</w:t>
            </w:r>
          </w:p>
        </w:tc>
        <w:tc>
          <w:tcPr>
            <w:tcW w:w="1404" w:type="dxa"/>
          </w:tcPr>
          <w:p w14:paraId="21F59463" w14:textId="6653C34E" w:rsidR="00BA0723" w:rsidRPr="00BA0723" w:rsidRDefault="00BA0723" w:rsidP="00DC09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40.76</w:t>
            </w:r>
          </w:p>
        </w:tc>
      </w:tr>
      <w:tr w:rsidR="00543577" w14:paraId="1D833D68" w14:textId="77777777" w:rsidTr="00DC0977">
        <w:trPr>
          <w:trHeight w:val="434"/>
        </w:trPr>
        <w:tc>
          <w:tcPr>
            <w:tcW w:w="1380" w:type="dxa"/>
          </w:tcPr>
          <w:p w14:paraId="14A54FD2" w14:textId="47889D79" w:rsidR="00543577" w:rsidRDefault="00543577" w:rsidP="005435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24F3E2D0" w14:textId="046145E3"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2.94</w:t>
            </w:r>
          </w:p>
        </w:tc>
        <w:tc>
          <w:tcPr>
            <w:tcW w:w="1403" w:type="dxa"/>
          </w:tcPr>
          <w:p w14:paraId="3B510FE4" w14:textId="22C2D2AF"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11.28</w:t>
            </w:r>
          </w:p>
        </w:tc>
        <w:tc>
          <w:tcPr>
            <w:tcW w:w="1403" w:type="dxa"/>
          </w:tcPr>
          <w:p w14:paraId="2FDB7EDD" w14:textId="27194669"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6.57</w:t>
            </w:r>
          </w:p>
        </w:tc>
        <w:tc>
          <w:tcPr>
            <w:tcW w:w="1404" w:type="dxa"/>
          </w:tcPr>
          <w:p w14:paraId="129EA061" w14:textId="0FAF04E3"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4.61</w:t>
            </w:r>
          </w:p>
        </w:tc>
        <w:tc>
          <w:tcPr>
            <w:tcW w:w="1404" w:type="dxa"/>
          </w:tcPr>
          <w:p w14:paraId="6A7B76A3" w14:textId="485B2AAB" w:rsidR="00543577" w:rsidRPr="00BA0723" w:rsidRDefault="00543577" w:rsidP="00543577">
            <w:pPr>
              <w:spacing w:after="360"/>
              <w:jc w:val="center"/>
              <w:rPr>
                <w:rFonts w:ascii="Calibri" w:eastAsia="Times New Roman" w:hAnsi="Calibri" w:cs="Calibri"/>
                <w:color w:val="000000"/>
                <w:kern w:val="0"/>
                <w:sz w:val="24"/>
                <w:szCs w:val="24"/>
                <w14:ligatures w14:val="none"/>
              </w:rPr>
            </w:pPr>
            <w:r w:rsidRPr="00BA0723">
              <w:rPr>
                <w:rFonts w:ascii="Calibri" w:eastAsia="Times New Roman" w:hAnsi="Calibri" w:cs="Calibri"/>
                <w:color w:val="000000"/>
                <w:kern w:val="0"/>
                <w:sz w:val="24"/>
                <w:szCs w:val="24"/>
                <w14:ligatures w14:val="none"/>
              </w:rPr>
              <w:t>18.98</w:t>
            </w:r>
          </w:p>
        </w:tc>
      </w:tr>
    </w:tbl>
    <w:p w14:paraId="6E617B88" w14:textId="77777777" w:rsidR="00BA0723" w:rsidRDefault="00BA0723" w:rsidP="00BA0723">
      <w:pPr>
        <w:pStyle w:val="ListParagraph"/>
        <w:spacing w:after="360"/>
        <w:rPr>
          <w:rFonts w:ascii="Calibri" w:eastAsia="Times New Roman" w:hAnsi="Calibri" w:cs="Calibri"/>
          <w:b/>
          <w:bCs/>
          <w:color w:val="000000"/>
          <w:kern w:val="0"/>
          <w:sz w:val="24"/>
          <w:szCs w:val="24"/>
          <w14:ligatures w14:val="none"/>
        </w:rPr>
      </w:pPr>
    </w:p>
    <w:p w14:paraId="2CCCFD21" w14:textId="3B0A0F0B" w:rsidR="00BA0723" w:rsidRDefault="00BA0723" w:rsidP="00543577">
      <w:pPr>
        <w:pStyle w:val="ListParagraph"/>
        <w:spacing w:after="360"/>
        <w:rPr>
          <w:rFonts w:ascii="Calibri" w:eastAsia="Times New Roman" w:hAnsi="Calibri" w:cs="Calibri"/>
          <w:b/>
          <w:bCs/>
          <w:color w:val="000000"/>
          <w:kern w:val="0"/>
          <w:sz w:val="24"/>
          <w:szCs w:val="24"/>
          <w14:ligatures w14:val="none"/>
        </w:rPr>
      </w:pPr>
    </w:p>
    <w:p w14:paraId="4F17A40B" w14:textId="77777777" w:rsidR="00BA0723" w:rsidRDefault="00BA0723" w:rsidP="00BA0723">
      <w:pPr>
        <w:pStyle w:val="ListParagraph"/>
        <w:spacing w:after="360"/>
        <w:rPr>
          <w:rFonts w:ascii="Calibri" w:eastAsia="Times New Roman" w:hAnsi="Calibri" w:cs="Calibri"/>
          <w:b/>
          <w:bCs/>
          <w:color w:val="000000"/>
          <w:kern w:val="0"/>
          <w:sz w:val="24"/>
          <w:szCs w:val="24"/>
          <w14:ligatures w14:val="none"/>
        </w:rPr>
      </w:pPr>
    </w:p>
    <w:p w14:paraId="1026DCAA" w14:textId="505D84E2" w:rsidR="00BA0723" w:rsidRDefault="00F16022" w:rsidP="00BA0723">
      <w:pPr>
        <w:pStyle w:val="ListParagraph"/>
        <w:spacing w:after="360"/>
        <w:jc w:val="center"/>
        <w:rPr>
          <w:rFonts w:ascii="Calibri" w:eastAsia="Times New Roman" w:hAnsi="Calibri" w:cs="Calibri"/>
          <w:b/>
          <w:bCs/>
          <w:color w:val="000000"/>
          <w:kern w:val="0"/>
          <w:sz w:val="24"/>
          <w:szCs w:val="24"/>
          <w14:ligatures w14:val="none"/>
        </w:rPr>
      </w:pPr>
      <w:r>
        <w:rPr>
          <w:noProof/>
        </w:rPr>
        <w:drawing>
          <wp:inline distT="0" distB="0" distL="0" distR="0" wp14:anchorId="2EBFB1DC" wp14:editId="0B172402">
            <wp:extent cx="4572000" cy="2743200"/>
            <wp:effectExtent l="0" t="0" r="0" b="0"/>
            <wp:docPr id="794133210" name="Chart 1">
              <a:extLst xmlns:a="http://schemas.openxmlformats.org/drawingml/2006/main">
                <a:ext uri="{FF2B5EF4-FFF2-40B4-BE49-F238E27FC236}">
                  <a16:creationId xmlns:a16="http://schemas.microsoft.com/office/drawing/2014/main" id="{16BD0385-A6C6-4B3C-B84C-2C62EBF48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DD955E6" w14:textId="77777777" w:rsidR="00543577" w:rsidRDefault="00543577" w:rsidP="00BA0723">
      <w:pPr>
        <w:pStyle w:val="ListParagraph"/>
        <w:spacing w:after="360"/>
        <w:ind w:left="0"/>
        <w:rPr>
          <w:rFonts w:ascii="Calibri" w:eastAsia="Times New Roman" w:hAnsi="Calibri" w:cs="Calibri"/>
          <w:b/>
          <w:bCs/>
          <w:color w:val="000000"/>
          <w:kern w:val="0"/>
          <w:sz w:val="28"/>
          <w:szCs w:val="28"/>
          <w14:ligatures w14:val="none"/>
        </w:rPr>
      </w:pPr>
    </w:p>
    <w:p w14:paraId="2C16C5BD" w14:textId="72FCBF0B" w:rsidR="097CE612" w:rsidRDefault="097CE612" w:rsidP="097CE612">
      <w:pPr>
        <w:pStyle w:val="ListParagraph"/>
        <w:spacing w:after="360"/>
        <w:ind w:left="0"/>
        <w:rPr>
          <w:rFonts w:ascii="Calibri" w:eastAsia="Times New Roman" w:hAnsi="Calibri" w:cs="Calibri"/>
          <w:b/>
          <w:bCs/>
          <w:color w:val="000000" w:themeColor="text1"/>
          <w:sz w:val="28"/>
          <w:szCs w:val="28"/>
        </w:rPr>
      </w:pPr>
    </w:p>
    <w:p w14:paraId="3DEC296B" w14:textId="18152280" w:rsidR="00BA0723" w:rsidRDefault="3578CD37" w:rsidP="00BA0723">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lastRenderedPageBreak/>
        <w:t xml:space="preserve">Interpretation: </w:t>
      </w:r>
    </w:p>
    <w:p w14:paraId="45CCF176" w14:textId="3F131A3C" w:rsidR="097CE612" w:rsidRDefault="097CE612" w:rsidP="097CE612">
      <w:pPr>
        <w:pStyle w:val="ListParagraph"/>
        <w:spacing w:after="360"/>
        <w:ind w:left="0"/>
        <w:jc w:val="both"/>
        <w:rPr>
          <w:rFonts w:ascii="Calibri" w:eastAsia="Times New Roman" w:hAnsi="Calibri" w:cs="Calibri"/>
          <w:b/>
          <w:bCs/>
          <w:color w:val="000000" w:themeColor="text1"/>
          <w:sz w:val="28"/>
          <w:szCs w:val="28"/>
        </w:rPr>
      </w:pPr>
    </w:p>
    <w:p w14:paraId="58B89408" w14:textId="727D3EED" w:rsidR="5DA214E1" w:rsidRDefault="5DA214E1"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Trend Analysis for Tata Steel:</w:t>
      </w:r>
    </w:p>
    <w:p w14:paraId="344C1E5A" w14:textId="680A2299"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ROA has varied significantly over the past five years.</w:t>
      </w:r>
    </w:p>
    <w:p w14:paraId="694FE9AF" w14:textId="5BA7CA70"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ROA was highest in March 22 at 109.71%, indicating that Tata Steel generated substantial profit relative to its assets in that year.</w:t>
      </w:r>
    </w:p>
    <w:p w14:paraId="104C8439" w14:textId="20A7B6BF"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ROA in March 23 </w:t>
      </w:r>
      <w:proofErr w:type="gramStart"/>
      <w:r w:rsidRPr="097CE612">
        <w:rPr>
          <w:rFonts w:ascii="Calibri" w:eastAsia="Times New Roman" w:hAnsi="Calibri" w:cs="Calibri"/>
          <w:color w:val="000000" w:themeColor="text1"/>
          <w:sz w:val="24"/>
          <w:szCs w:val="24"/>
        </w:rPr>
        <w:t>is</w:t>
      </w:r>
      <w:proofErr w:type="gramEnd"/>
      <w:r w:rsidRPr="097CE612">
        <w:rPr>
          <w:rFonts w:ascii="Calibri" w:eastAsia="Times New Roman" w:hAnsi="Calibri" w:cs="Calibri"/>
          <w:color w:val="000000" w:themeColor="text1"/>
          <w:sz w:val="24"/>
          <w:szCs w:val="24"/>
        </w:rPr>
        <w:t xml:space="preserve"> 47.50%, which is still relatively high compared to the previous years.</w:t>
      </w:r>
    </w:p>
    <w:p w14:paraId="129D85D5" w14:textId="302C2C8F" w:rsidR="5DA214E1" w:rsidRDefault="5DA214E1"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 xml:space="preserve"> </w:t>
      </w:r>
    </w:p>
    <w:p w14:paraId="24378226" w14:textId="263B9495" w:rsidR="5DA214E1" w:rsidRDefault="5DA214E1"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Trend Analysis for JSW Steel:</w:t>
      </w:r>
    </w:p>
    <w:p w14:paraId="70E62FF9" w14:textId="1E00C995"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JSW Steel's ROA has also fluctuated over the five-year period but to a lesser extent than Tata Steel.</w:t>
      </w:r>
    </w:p>
    <w:p w14:paraId="1628288E" w14:textId="2AE2AC65"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ROA for JSW Steel was highest in March 19 at 18.98% and lowest in March 23 at 2.94%.</w:t>
      </w:r>
      <w:r w:rsidR="6035C986" w:rsidRPr="097CE612">
        <w:rPr>
          <w:rFonts w:ascii="Calibri" w:eastAsia="Times New Roman" w:hAnsi="Calibri" w:cs="Calibri"/>
          <w:color w:val="000000" w:themeColor="text1"/>
          <w:sz w:val="24"/>
          <w:szCs w:val="24"/>
        </w:rPr>
        <w:t xml:space="preserve"> </w:t>
      </w:r>
      <w:r w:rsidRPr="097CE612">
        <w:rPr>
          <w:rFonts w:ascii="Calibri" w:eastAsia="Times New Roman" w:hAnsi="Calibri" w:cs="Calibri"/>
          <w:color w:val="000000" w:themeColor="text1"/>
          <w:sz w:val="24"/>
          <w:szCs w:val="24"/>
        </w:rPr>
        <w:t>Overall, JSW Steel's ROA has been lower than that of Tata Steel.</w:t>
      </w:r>
    </w:p>
    <w:p w14:paraId="77783B6D" w14:textId="6EC6A81B" w:rsidR="097CE612" w:rsidRDefault="097CE612" w:rsidP="097CE612">
      <w:pPr>
        <w:pStyle w:val="ListParagraph"/>
        <w:spacing w:after="360"/>
        <w:ind w:left="0"/>
        <w:jc w:val="both"/>
        <w:rPr>
          <w:rFonts w:ascii="Calibri" w:eastAsia="Times New Roman" w:hAnsi="Calibri" w:cs="Calibri"/>
          <w:color w:val="000000" w:themeColor="text1"/>
          <w:sz w:val="24"/>
          <w:szCs w:val="24"/>
        </w:rPr>
      </w:pPr>
    </w:p>
    <w:p w14:paraId="21615510" w14:textId="51FAEDAF"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 high ROA suggests that a company is effectively using its assets to generate profit, while a low ROA may indicate inefficiency in asset utilization. It's important to consider industry benchmarks and compare ROA to other companies in the same sector to assess relative performance.</w:t>
      </w:r>
    </w:p>
    <w:p w14:paraId="43C5E267" w14:textId="30DC99E5"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641EF956" w14:textId="5129BEBF"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It's also important to consider the reasons behind fluctuations in ROA. Factors such as changes in revenue, cost management, and changes in asset structure can impact ROA. Additionally, different industries may have varying ROA standards due to differences in capital intensity and business models.</w:t>
      </w:r>
    </w:p>
    <w:p w14:paraId="29780A01" w14:textId="3F8EE92F"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75D93C76" w14:textId="77916096" w:rsidR="5DA214E1" w:rsidRDefault="5DA214E1"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In summary, the ROA data you provided indicates the profitability of Tata Steel and JSW Steel relative to their total assets over the past five years. Further analysis should be done in the context of the industry, company strategy, and other financial metrics to draw more meaningful conclusions about their performance and asset utilization.</w:t>
      </w:r>
    </w:p>
    <w:p w14:paraId="0590C98E" w14:textId="7E2F567C" w:rsidR="00BA0723" w:rsidRPr="007C6DF8" w:rsidRDefault="3578CD37"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u w:val="single"/>
          <w14:ligatures w14:val="none"/>
        </w:rPr>
        <w:t>3. Return on Equity:</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543577" w14:paraId="7B7B8CA3" w14:textId="77777777" w:rsidTr="00DC0977">
        <w:trPr>
          <w:trHeight w:val="401"/>
        </w:trPr>
        <w:tc>
          <w:tcPr>
            <w:tcW w:w="1380" w:type="dxa"/>
          </w:tcPr>
          <w:p w14:paraId="56A660CA"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p>
        </w:tc>
        <w:tc>
          <w:tcPr>
            <w:tcW w:w="1403" w:type="dxa"/>
          </w:tcPr>
          <w:p w14:paraId="47DC0F68"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23</w:t>
            </w:r>
          </w:p>
        </w:tc>
        <w:tc>
          <w:tcPr>
            <w:tcW w:w="1403" w:type="dxa"/>
          </w:tcPr>
          <w:p w14:paraId="6047E371"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22</w:t>
            </w:r>
          </w:p>
        </w:tc>
        <w:tc>
          <w:tcPr>
            <w:tcW w:w="1403" w:type="dxa"/>
          </w:tcPr>
          <w:p w14:paraId="40ED5E03"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6D3C6B82"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41F552F0"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543577" w14:paraId="75BC4C72" w14:textId="77777777" w:rsidTr="00DC0977">
        <w:trPr>
          <w:trHeight w:val="434"/>
        </w:trPr>
        <w:tc>
          <w:tcPr>
            <w:tcW w:w="1380" w:type="dxa"/>
          </w:tcPr>
          <w:p w14:paraId="4DCF460B"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23BF0584" w14:textId="1C15E997"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0.99</w:t>
            </w:r>
          </w:p>
        </w:tc>
        <w:tc>
          <w:tcPr>
            <w:tcW w:w="1403" w:type="dxa"/>
          </w:tcPr>
          <w:p w14:paraId="7243538B" w14:textId="39E3C7FA"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1.17</w:t>
            </w:r>
          </w:p>
        </w:tc>
        <w:tc>
          <w:tcPr>
            <w:tcW w:w="1403" w:type="dxa"/>
          </w:tcPr>
          <w:p w14:paraId="1BE8FD59" w14:textId="731F8013"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0.99</w:t>
            </w:r>
          </w:p>
        </w:tc>
        <w:tc>
          <w:tcPr>
            <w:tcW w:w="1404" w:type="dxa"/>
          </w:tcPr>
          <w:p w14:paraId="544C10EE" w14:textId="730CDA89"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0.83</w:t>
            </w:r>
          </w:p>
        </w:tc>
        <w:tc>
          <w:tcPr>
            <w:tcW w:w="1404" w:type="dxa"/>
          </w:tcPr>
          <w:p w14:paraId="05324CE3" w14:textId="6BB49802"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1.07</w:t>
            </w:r>
          </w:p>
        </w:tc>
      </w:tr>
      <w:tr w:rsidR="00543577" w14:paraId="5EBDD291" w14:textId="77777777" w:rsidTr="00DC0977">
        <w:trPr>
          <w:trHeight w:val="434"/>
        </w:trPr>
        <w:tc>
          <w:tcPr>
            <w:tcW w:w="1380" w:type="dxa"/>
          </w:tcPr>
          <w:p w14:paraId="53CDA328" w14:textId="77777777" w:rsidR="00543577"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12F9052F" w14:textId="0ACA89FA"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7.76</w:t>
            </w:r>
          </w:p>
        </w:tc>
        <w:tc>
          <w:tcPr>
            <w:tcW w:w="1403" w:type="dxa"/>
          </w:tcPr>
          <w:p w14:paraId="764892C5" w14:textId="4D75477A"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30.23</w:t>
            </w:r>
          </w:p>
        </w:tc>
        <w:tc>
          <w:tcPr>
            <w:tcW w:w="1403" w:type="dxa"/>
          </w:tcPr>
          <w:p w14:paraId="59338055" w14:textId="146680A4"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19.66</w:t>
            </w:r>
          </w:p>
        </w:tc>
        <w:tc>
          <w:tcPr>
            <w:tcW w:w="1404" w:type="dxa"/>
          </w:tcPr>
          <w:p w14:paraId="27CF24F5" w14:textId="3AE4E647"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14.44</w:t>
            </w:r>
          </w:p>
        </w:tc>
        <w:tc>
          <w:tcPr>
            <w:tcW w:w="1404" w:type="dxa"/>
          </w:tcPr>
          <w:p w14:paraId="50C989F1" w14:textId="25EECECC"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25.86</w:t>
            </w:r>
          </w:p>
        </w:tc>
      </w:tr>
    </w:tbl>
    <w:p w14:paraId="08754D2B" w14:textId="77777777" w:rsidR="00BA0723" w:rsidRDefault="00BA0723" w:rsidP="00BA0723">
      <w:pPr>
        <w:pStyle w:val="ListParagraph"/>
        <w:spacing w:after="360"/>
        <w:jc w:val="center"/>
        <w:rPr>
          <w:rFonts w:ascii="Calibri" w:eastAsia="Times New Roman" w:hAnsi="Calibri" w:cs="Calibri"/>
          <w:b/>
          <w:bCs/>
          <w:color w:val="000000"/>
          <w:kern w:val="0"/>
          <w:sz w:val="24"/>
          <w:szCs w:val="24"/>
          <w14:ligatures w14:val="none"/>
        </w:rPr>
      </w:pPr>
    </w:p>
    <w:p w14:paraId="5F5E9260" w14:textId="4156D8AD" w:rsidR="000159CC" w:rsidRDefault="00F16022" w:rsidP="000159CC">
      <w:pPr>
        <w:pStyle w:val="ListParagraph"/>
        <w:spacing w:after="360"/>
        <w:ind w:left="0"/>
        <w:jc w:val="center"/>
        <w:rPr>
          <w:rFonts w:ascii="Calibri" w:eastAsia="Times New Roman" w:hAnsi="Calibri" w:cs="Calibri"/>
          <w:b/>
          <w:bCs/>
          <w:color w:val="000000"/>
          <w:kern w:val="0"/>
          <w:sz w:val="28"/>
          <w:szCs w:val="28"/>
          <w14:ligatures w14:val="none"/>
        </w:rPr>
      </w:pPr>
      <w:r>
        <w:rPr>
          <w:noProof/>
        </w:rPr>
        <w:lastRenderedPageBreak/>
        <w:drawing>
          <wp:inline distT="0" distB="0" distL="0" distR="0" wp14:anchorId="3BC32C8E" wp14:editId="499116E8">
            <wp:extent cx="4572000" cy="2743200"/>
            <wp:effectExtent l="0" t="0" r="0" b="0"/>
            <wp:docPr id="386874663" name="Chart 1">
              <a:extLst xmlns:a="http://schemas.openxmlformats.org/drawingml/2006/main">
                <a:ext uri="{FF2B5EF4-FFF2-40B4-BE49-F238E27FC236}">
                  <a16:creationId xmlns:a16="http://schemas.microsoft.com/office/drawing/2014/main" id="{37FAB6F0-8CD0-0BC4-15EC-BB52B4123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4E213E6" w14:textId="77777777" w:rsidR="000159CC" w:rsidRDefault="000159CC" w:rsidP="00BA0723">
      <w:pPr>
        <w:pStyle w:val="ListParagraph"/>
        <w:spacing w:after="360"/>
        <w:ind w:left="0"/>
        <w:rPr>
          <w:rFonts w:ascii="Calibri" w:eastAsia="Times New Roman" w:hAnsi="Calibri" w:cs="Calibri"/>
          <w:b/>
          <w:bCs/>
          <w:color w:val="000000"/>
          <w:kern w:val="0"/>
          <w:sz w:val="28"/>
          <w:szCs w:val="28"/>
          <w14:ligatures w14:val="none"/>
        </w:rPr>
      </w:pPr>
    </w:p>
    <w:p w14:paraId="2AE5B031" w14:textId="72ADB56F" w:rsidR="097CE612" w:rsidRDefault="097CE612" w:rsidP="097CE612">
      <w:pPr>
        <w:pStyle w:val="ListParagraph"/>
        <w:spacing w:after="360"/>
        <w:ind w:left="0"/>
        <w:rPr>
          <w:rFonts w:ascii="Calibri" w:eastAsia="Times New Roman" w:hAnsi="Calibri" w:cs="Calibri"/>
          <w:b/>
          <w:bCs/>
          <w:color w:val="000000" w:themeColor="text1"/>
          <w:sz w:val="28"/>
          <w:szCs w:val="28"/>
        </w:rPr>
      </w:pPr>
    </w:p>
    <w:p w14:paraId="171E284A" w14:textId="4A22674F" w:rsidR="00BA0723" w:rsidRDefault="00BA0723" w:rsidP="00BA0723">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t xml:space="preserve">Interpretation: </w:t>
      </w:r>
    </w:p>
    <w:p w14:paraId="5160B1C6" w14:textId="77777777" w:rsidR="00BA0723" w:rsidRDefault="00BA0723" w:rsidP="00BA0723">
      <w:pPr>
        <w:pStyle w:val="ListParagraph"/>
        <w:spacing w:after="360"/>
        <w:ind w:left="0"/>
        <w:rPr>
          <w:rFonts w:ascii="Calibri" w:eastAsia="Times New Roman" w:hAnsi="Calibri" w:cs="Calibri"/>
          <w:b/>
          <w:bCs/>
          <w:color w:val="000000"/>
          <w:kern w:val="0"/>
          <w:sz w:val="28"/>
          <w:szCs w:val="28"/>
          <w14:ligatures w14:val="none"/>
        </w:rPr>
      </w:pPr>
    </w:p>
    <w:p w14:paraId="15F3A1D9" w14:textId="2C22DF57" w:rsidR="5403EEEE" w:rsidRDefault="5403EEEE" w:rsidP="097CE612">
      <w:pPr>
        <w:pStyle w:val="ListParagraph"/>
        <w:spacing w:after="360"/>
        <w:ind w:left="0"/>
        <w:rPr>
          <w:rFonts w:ascii="Calibri" w:eastAsia="Times New Roman" w:hAnsi="Calibri" w:cs="Calibri"/>
          <w:b/>
          <w:bCs/>
          <w:color w:val="000000" w:themeColor="text1"/>
          <w:sz w:val="28"/>
          <w:szCs w:val="28"/>
        </w:rPr>
      </w:pPr>
      <w:r w:rsidRPr="097CE612">
        <w:rPr>
          <w:rFonts w:ascii="Calibri" w:eastAsia="Times New Roman" w:hAnsi="Calibri" w:cs="Calibri"/>
          <w:b/>
          <w:bCs/>
          <w:color w:val="000000" w:themeColor="text1"/>
          <w:sz w:val="28"/>
          <w:szCs w:val="28"/>
        </w:rPr>
        <w:t>Trend Analysis for Tata Steel:</w:t>
      </w:r>
    </w:p>
    <w:p w14:paraId="300B2B04" w14:textId="6D4D11C4"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ROE has fluctuated over the past five years but has generally been low.</w:t>
      </w:r>
    </w:p>
    <w:p w14:paraId="00CF20C8" w14:textId="32E3F0BC"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ROE for Tata Steel is less than 2% in March 23, indicating a relatively low return on equity.</w:t>
      </w:r>
    </w:p>
    <w:p w14:paraId="3258F9FB" w14:textId="13B59E8C"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While there have been variations, Tata Steel's ROE has been consistently low during this period.</w:t>
      </w:r>
    </w:p>
    <w:p w14:paraId="05D6E6B9" w14:textId="6389248B"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24501F20" w14:textId="26C2CF2A" w:rsidR="097CE612" w:rsidRDefault="097CE612" w:rsidP="097CE612">
      <w:pPr>
        <w:pStyle w:val="ListParagraph"/>
        <w:spacing w:after="360"/>
        <w:ind w:left="0"/>
        <w:jc w:val="both"/>
        <w:rPr>
          <w:rFonts w:ascii="Calibri" w:eastAsia="Times New Roman" w:hAnsi="Calibri" w:cs="Calibri"/>
          <w:b/>
          <w:bCs/>
          <w:color w:val="000000" w:themeColor="text1"/>
          <w:sz w:val="28"/>
          <w:szCs w:val="28"/>
        </w:rPr>
      </w:pPr>
    </w:p>
    <w:p w14:paraId="7432000F" w14:textId="54F497A5" w:rsidR="5403EEEE" w:rsidRDefault="5403EEEE" w:rsidP="097CE612">
      <w:pPr>
        <w:pStyle w:val="ListParagraph"/>
        <w:spacing w:after="360"/>
        <w:ind w:left="0"/>
        <w:jc w:val="both"/>
        <w:rPr>
          <w:rFonts w:ascii="Calibri" w:eastAsia="Times New Roman" w:hAnsi="Calibri" w:cs="Calibri"/>
          <w:b/>
          <w:bCs/>
          <w:color w:val="000000" w:themeColor="text1"/>
          <w:sz w:val="28"/>
          <w:szCs w:val="28"/>
        </w:rPr>
      </w:pPr>
      <w:r w:rsidRPr="097CE612">
        <w:rPr>
          <w:rFonts w:ascii="Calibri" w:eastAsia="Times New Roman" w:hAnsi="Calibri" w:cs="Calibri"/>
          <w:b/>
          <w:bCs/>
          <w:color w:val="000000" w:themeColor="text1"/>
          <w:sz w:val="28"/>
          <w:szCs w:val="28"/>
        </w:rPr>
        <w:t>Trend Analysis for JSW Steel:</w:t>
      </w:r>
    </w:p>
    <w:p w14:paraId="655D6653" w14:textId="1824FDED"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JSW Steel's ROE has also varied over the five-year period, but it has been significantly higher than that of Tata Steel.</w:t>
      </w:r>
    </w:p>
    <w:p w14:paraId="58D4E503" w14:textId="0BA9418B"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ROE for JSW Steel was highest </w:t>
      </w:r>
      <w:r w:rsidR="551F2CEB"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22 at 30.23%, indicating that JSW Steel generated substantial profits relative to its shareholders' equity in that year.</w:t>
      </w:r>
    </w:p>
    <w:p w14:paraId="342A0746" w14:textId="26D536E2"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Even </w:t>
      </w:r>
      <w:r w:rsidR="3FCF53B4"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 JSW Steel's ROE is 7.76%, which is relatively healthy.</w:t>
      </w:r>
    </w:p>
    <w:p w14:paraId="6887F240" w14:textId="3A17D80B" w:rsidR="097CE612" w:rsidRDefault="097CE612" w:rsidP="097CE612">
      <w:pPr>
        <w:pStyle w:val="ListParagraph"/>
        <w:spacing w:after="360"/>
        <w:ind w:left="0"/>
        <w:jc w:val="both"/>
        <w:rPr>
          <w:rFonts w:ascii="Calibri" w:eastAsia="Times New Roman" w:hAnsi="Calibri" w:cs="Calibri"/>
          <w:color w:val="000000" w:themeColor="text1"/>
          <w:sz w:val="24"/>
          <w:szCs w:val="24"/>
        </w:rPr>
      </w:pPr>
    </w:p>
    <w:p w14:paraId="38D33878" w14:textId="164EE7E3" w:rsidR="75CCBA52" w:rsidRDefault="75CCBA52"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w:t>
      </w:r>
      <w:r w:rsidR="5403EEEE" w:rsidRPr="097CE612">
        <w:rPr>
          <w:rFonts w:ascii="Calibri" w:eastAsia="Times New Roman" w:hAnsi="Calibri" w:cs="Calibri"/>
          <w:color w:val="000000" w:themeColor="text1"/>
          <w:sz w:val="24"/>
          <w:szCs w:val="24"/>
        </w:rPr>
        <w:t xml:space="preserve"> high ROE suggests that a company is effectively using shareholders' equity to generate profit, while a low ROE may indicate inefficiency in utilizing equity. ROE is a critical metric for assessing a company's profitability and its ability to generate returns for shareholders.</w:t>
      </w:r>
    </w:p>
    <w:p w14:paraId="0B2B644D" w14:textId="76FD78C6"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4614DABC" w14:textId="34824451"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differences in ROE between Tata Steel and JSW Steel could be due to various factors, including differences in business models, financial structures, profitability, and asset management.</w:t>
      </w:r>
    </w:p>
    <w:p w14:paraId="7696A84F" w14:textId="47C29020"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01CABCF1" w14:textId="12185B15" w:rsidR="5403EEEE" w:rsidRDefault="5403EEEE"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lastRenderedPageBreak/>
        <w:t>It's essential to consider the industry average ROE and other financial metrics when interpreting ROE figures. Additionally, further analysis should be conducted to understand the specific factors driving the ROE for each company and to evaluate their overall financial health and performance.</w:t>
      </w:r>
    </w:p>
    <w:p w14:paraId="02A390EA" w14:textId="59465F26" w:rsidR="00BA0723" w:rsidRPr="007C6DF8" w:rsidRDefault="3578CD37"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u w:val="single"/>
          <w14:ligatures w14:val="none"/>
        </w:rPr>
        <w:t>4. Total Assets Turnover Ratio:</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543577" w14:paraId="2CC36ED9" w14:textId="77777777" w:rsidTr="097CE612">
        <w:trPr>
          <w:trHeight w:val="401"/>
        </w:trPr>
        <w:tc>
          <w:tcPr>
            <w:tcW w:w="1380" w:type="dxa"/>
          </w:tcPr>
          <w:p w14:paraId="3343F3B8"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p>
        </w:tc>
        <w:tc>
          <w:tcPr>
            <w:tcW w:w="1403" w:type="dxa"/>
          </w:tcPr>
          <w:p w14:paraId="50E9BB06"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23</w:t>
            </w:r>
          </w:p>
        </w:tc>
        <w:tc>
          <w:tcPr>
            <w:tcW w:w="1403" w:type="dxa"/>
          </w:tcPr>
          <w:p w14:paraId="31B8C593"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22</w:t>
            </w:r>
          </w:p>
        </w:tc>
        <w:tc>
          <w:tcPr>
            <w:tcW w:w="1403" w:type="dxa"/>
          </w:tcPr>
          <w:p w14:paraId="18805D90"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0F9229E4"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755DDBBA"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543577" w14:paraId="39370A92" w14:textId="77777777" w:rsidTr="097CE612">
        <w:trPr>
          <w:trHeight w:val="434"/>
        </w:trPr>
        <w:tc>
          <w:tcPr>
            <w:tcW w:w="1380" w:type="dxa"/>
          </w:tcPr>
          <w:p w14:paraId="60805378"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360F1E3A" w14:textId="12A2C643"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0.56</w:t>
            </w:r>
          </w:p>
        </w:tc>
        <w:tc>
          <w:tcPr>
            <w:tcW w:w="1403" w:type="dxa"/>
          </w:tcPr>
          <w:p w14:paraId="7D0765AB" w14:textId="660D3708"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0.64</w:t>
            </w:r>
          </w:p>
        </w:tc>
        <w:tc>
          <w:tcPr>
            <w:tcW w:w="1403" w:type="dxa"/>
          </w:tcPr>
          <w:p w14:paraId="1FD43FB8" w14:textId="377F3040"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0.50</w:t>
            </w:r>
          </w:p>
        </w:tc>
        <w:tc>
          <w:tcPr>
            <w:tcW w:w="1404" w:type="dxa"/>
          </w:tcPr>
          <w:p w14:paraId="2C9D2D38" w14:textId="26B111B2"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0.41</w:t>
            </w:r>
          </w:p>
        </w:tc>
        <w:tc>
          <w:tcPr>
            <w:tcW w:w="1404" w:type="dxa"/>
          </w:tcPr>
          <w:p w14:paraId="24DC79BD" w14:textId="15F63529"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0.53</w:t>
            </w:r>
          </w:p>
        </w:tc>
      </w:tr>
      <w:tr w:rsidR="00543577" w14:paraId="160FBA70" w14:textId="77777777" w:rsidTr="097CE612">
        <w:trPr>
          <w:trHeight w:val="434"/>
        </w:trPr>
        <w:tc>
          <w:tcPr>
            <w:tcW w:w="1380" w:type="dxa"/>
          </w:tcPr>
          <w:p w14:paraId="0F9D64C0" w14:textId="77777777" w:rsidR="00543577"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242EC7D5" w14:textId="16E427DB"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0.78</w:t>
            </w:r>
          </w:p>
        </w:tc>
        <w:tc>
          <w:tcPr>
            <w:tcW w:w="1403" w:type="dxa"/>
          </w:tcPr>
          <w:p w14:paraId="31B5050E" w14:textId="486A99E5"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0.80</w:t>
            </w:r>
          </w:p>
        </w:tc>
        <w:tc>
          <w:tcPr>
            <w:tcW w:w="1403" w:type="dxa"/>
          </w:tcPr>
          <w:p w14:paraId="088FB94A" w14:textId="2B2162B0"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0.55</w:t>
            </w:r>
          </w:p>
        </w:tc>
        <w:tc>
          <w:tcPr>
            <w:tcW w:w="1404" w:type="dxa"/>
          </w:tcPr>
          <w:p w14:paraId="0CC3FF23" w14:textId="67FA175F"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0.56</w:t>
            </w:r>
          </w:p>
        </w:tc>
        <w:tc>
          <w:tcPr>
            <w:tcW w:w="1404" w:type="dxa"/>
          </w:tcPr>
          <w:p w14:paraId="561F9E7B" w14:textId="010A8F2F"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0.79</w:t>
            </w:r>
          </w:p>
        </w:tc>
      </w:tr>
    </w:tbl>
    <w:p w14:paraId="046AB403" w14:textId="77777777" w:rsidR="00BA0723" w:rsidRDefault="00BA0723" w:rsidP="00BA0723">
      <w:pPr>
        <w:pStyle w:val="ListParagraph"/>
        <w:spacing w:after="360"/>
        <w:jc w:val="center"/>
        <w:rPr>
          <w:rFonts w:ascii="Calibri" w:eastAsia="Times New Roman" w:hAnsi="Calibri" w:cs="Calibri"/>
          <w:b/>
          <w:bCs/>
          <w:color w:val="000000"/>
          <w:kern w:val="0"/>
          <w:sz w:val="24"/>
          <w:szCs w:val="24"/>
          <w14:ligatures w14:val="none"/>
        </w:rPr>
      </w:pPr>
    </w:p>
    <w:p w14:paraId="2312EEE7" w14:textId="44063B02" w:rsidR="000159CC" w:rsidRDefault="00F16022" w:rsidP="000159CC">
      <w:pPr>
        <w:pStyle w:val="ListParagraph"/>
        <w:spacing w:after="360"/>
        <w:ind w:left="0"/>
        <w:jc w:val="center"/>
        <w:rPr>
          <w:rFonts w:ascii="Calibri" w:eastAsia="Times New Roman" w:hAnsi="Calibri" w:cs="Calibri"/>
          <w:b/>
          <w:bCs/>
          <w:color w:val="000000"/>
          <w:kern w:val="0"/>
          <w:sz w:val="28"/>
          <w:szCs w:val="28"/>
          <w14:ligatures w14:val="none"/>
        </w:rPr>
      </w:pPr>
      <w:r>
        <w:rPr>
          <w:noProof/>
        </w:rPr>
        <w:drawing>
          <wp:inline distT="0" distB="0" distL="0" distR="0" wp14:anchorId="3E1299E9" wp14:editId="30F472AC">
            <wp:extent cx="4572000" cy="2743200"/>
            <wp:effectExtent l="0" t="0" r="0" b="0"/>
            <wp:docPr id="363300528" name="Chart 1">
              <a:extLst xmlns:a="http://schemas.openxmlformats.org/drawingml/2006/main">
                <a:ext uri="{FF2B5EF4-FFF2-40B4-BE49-F238E27FC236}">
                  <a16:creationId xmlns:a16="http://schemas.microsoft.com/office/drawing/2014/main" id="{FB6332A3-4A95-21AA-FA4F-C2692F64F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7555A53" w14:textId="77777777" w:rsidR="000159CC" w:rsidRDefault="000159CC" w:rsidP="00BA0723">
      <w:pPr>
        <w:pStyle w:val="ListParagraph"/>
        <w:spacing w:after="360"/>
        <w:ind w:left="0"/>
        <w:rPr>
          <w:rFonts w:ascii="Calibri" w:eastAsia="Times New Roman" w:hAnsi="Calibri" w:cs="Calibri"/>
          <w:b/>
          <w:bCs/>
          <w:color w:val="000000"/>
          <w:kern w:val="0"/>
          <w:sz w:val="28"/>
          <w:szCs w:val="28"/>
          <w14:ligatures w14:val="none"/>
        </w:rPr>
      </w:pPr>
    </w:p>
    <w:p w14:paraId="4E8CE383" w14:textId="03277A1D" w:rsidR="00BA0723" w:rsidRDefault="3578CD37" w:rsidP="097CE612">
      <w:pPr>
        <w:pStyle w:val="ListParagraph"/>
        <w:spacing w:after="360"/>
        <w:ind w:left="0"/>
        <w:rPr>
          <w:rFonts w:ascii="Calibri" w:eastAsia="Times New Roman" w:hAnsi="Calibri" w:cs="Calibri"/>
          <w:b/>
          <w:bCs/>
          <w:color w:val="000000" w:themeColor="text1"/>
          <w:sz w:val="28"/>
          <w:szCs w:val="28"/>
        </w:rPr>
      </w:pPr>
      <w:r w:rsidRPr="00A8156F">
        <w:rPr>
          <w:rFonts w:ascii="Calibri" w:eastAsia="Times New Roman" w:hAnsi="Calibri" w:cs="Calibri"/>
          <w:b/>
          <w:bCs/>
          <w:color w:val="000000"/>
          <w:kern w:val="0"/>
          <w:sz w:val="28"/>
          <w:szCs w:val="28"/>
          <w14:ligatures w14:val="none"/>
        </w:rPr>
        <w:t>Interpretation:</w:t>
      </w:r>
    </w:p>
    <w:p w14:paraId="0C889C07" w14:textId="2863CA51" w:rsidR="00BA0723" w:rsidRDefault="3578CD37" w:rsidP="00BA0723">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t xml:space="preserve"> </w:t>
      </w:r>
    </w:p>
    <w:p w14:paraId="7393817D" w14:textId="39636B44" w:rsidR="00BA0723" w:rsidRDefault="4BBD349F"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Trend Analysis for Tata Steel:</w:t>
      </w:r>
    </w:p>
    <w:p w14:paraId="32D112A2" w14:textId="5CEEE5C4" w:rsidR="00BA0723" w:rsidRDefault="4BBD349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Total Asset Turnover Ratio has fluctuated over the past five years.</w:t>
      </w:r>
    </w:p>
    <w:p w14:paraId="34F47C68" w14:textId="0B73D8E6" w:rsidR="00BA0723" w:rsidRDefault="4BBD349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It increased from 0.41 in March 20 to 0.64 in March 22, which indicates improved efficiency in generating sales from its total assets.</w:t>
      </w:r>
    </w:p>
    <w:p w14:paraId="2B1E1D4A" w14:textId="26D0A76E" w:rsidR="00BA0723" w:rsidRDefault="4BBD349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However, it decreased to 0.56 </w:t>
      </w:r>
      <w:r w:rsidR="4C0260EA"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 which is still higher than the starting value of 0.53 </w:t>
      </w:r>
      <w:r w:rsidR="1EDEFA96"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19.</w:t>
      </w:r>
    </w:p>
    <w:p w14:paraId="1B52E38A" w14:textId="5AAC0E93" w:rsidR="00BA0723" w:rsidRDefault="00BA0723" w:rsidP="097CE612">
      <w:pPr>
        <w:pStyle w:val="ListParagraph"/>
        <w:spacing w:after="360"/>
        <w:ind w:left="0"/>
        <w:jc w:val="both"/>
        <w:rPr>
          <w:rFonts w:ascii="Calibri" w:eastAsia="Times New Roman" w:hAnsi="Calibri" w:cs="Calibri"/>
          <w:b/>
          <w:bCs/>
          <w:color w:val="000000" w:themeColor="text1"/>
          <w:sz w:val="24"/>
          <w:szCs w:val="24"/>
        </w:rPr>
      </w:pPr>
    </w:p>
    <w:p w14:paraId="731E141A" w14:textId="528A2D41" w:rsidR="00BA0723" w:rsidRDefault="00BA0723" w:rsidP="097CE612">
      <w:pPr>
        <w:pStyle w:val="ListParagraph"/>
        <w:spacing w:after="360"/>
        <w:ind w:left="0"/>
        <w:jc w:val="both"/>
        <w:rPr>
          <w:rFonts w:ascii="Calibri" w:eastAsia="Times New Roman" w:hAnsi="Calibri" w:cs="Calibri"/>
          <w:b/>
          <w:bCs/>
          <w:color w:val="000000" w:themeColor="text1"/>
          <w:sz w:val="24"/>
          <w:szCs w:val="24"/>
        </w:rPr>
      </w:pPr>
    </w:p>
    <w:p w14:paraId="38CDB2C6" w14:textId="303082D3" w:rsidR="00BA0723" w:rsidRDefault="4BBD349F" w:rsidP="097CE612">
      <w:pPr>
        <w:pStyle w:val="ListParagraph"/>
        <w:spacing w:after="360"/>
        <w:ind w:left="0"/>
        <w:jc w:val="both"/>
        <w:rPr>
          <w:rFonts w:ascii="Calibri" w:eastAsia="Times New Roman" w:hAnsi="Calibri" w:cs="Calibri"/>
          <w:b/>
          <w:bCs/>
          <w:color w:val="000000" w:themeColor="text1"/>
        </w:rPr>
      </w:pPr>
      <w:r w:rsidRPr="097CE612">
        <w:rPr>
          <w:rFonts w:ascii="Calibri" w:eastAsia="Times New Roman" w:hAnsi="Calibri" w:cs="Calibri"/>
          <w:b/>
          <w:bCs/>
          <w:color w:val="000000" w:themeColor="text1"/>
          <w:sz w:val="24"/>
          <w:szCs w:val="24"/>
        </w:rPr>
        <w:t>Trend Analysis for JSW Steel:</w:t>
      </w:r>
    </w:p>
    <w:p w14:paraId="662912AF" w14:textId="63C149E5" w:rsidR="00BA0723" w:rsidRDefault="4BBD349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JSW Steel's Total Asset Turnover Ratio has also varied over the past five years.</w:t>
      </w:r>
    </w:p>
    <w:p w14:paraId="7F8B44BA" w14:textId="0E80EED9" w:rsidR="00BA0723" w:rsidRDefault="4BBD349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lastRenderedPageBreak/>
        <w:t xml:space="preserve">It increased from 0.56 </w:t>
      </w:r>
      <w:r w:rsidR="5E6E0347"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20 to 0.80 </w:t>
      </w:r>
      <w:r w:rsidR="2B54D383"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22, suggesting improved efficiency.</w:t>
      </w:r>
    </w:p>
    <w:p w14:paraId="4ABE53D9" w14:textId="0E932805" w:rsidR="00BA0723" w:rsidRDefault="4BBD349F" w:rsidP="097CE612">
      <w:pPr>
        <w:pStyle w:val="ListParagraph"/>
        <w:spacing w:after="360"/>
        <w:ind w:left="0"/>
        <w:jc w:val="both"/>
        <w:rPr>
          <w:rFonts w:ascii="Calibri" w:eastAsia="Times New Roman" w:hAnsi="Calibri" w:cs="Calibri"/>
          <w:color w:val="000000"/>
          <w:kern w:val="0"/>
          <w:sz w:val="24"/>
          <w:szCs w:val="24"/>
          <w14:ligatures w14:val="none"/>
        </w:rPr>
      </w:pPr>
      <w:r w:rsidRPr="097CE612">
        <w:rPr>
          <w:rFonts w:ascii="Calibri" w:eastAsia="Times New Roman" w:hAnsi="Calibri" w:cs="Calibri"/>
          <w:color w:val="000000" w:themeColor="text1"/>
          <w:sz w:val="24"/>
          <w:szCs w:val="24"/>
        </w:rPr>
        <w:t xml:space="preserve">However, it decreased to 0.78 </w:t>
      </w:r>
      <w:r w:rsidR="6161DB8D"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w:t>
      </w:r>
    </w:p>
    <w:p w14:paraId="1D1EB5A7" w14:textId="356D7EF0" w:rsidR="097CE612" w:rsidRDefault="097CE612" w:rsidP="097CE612">
      <w:pPr>
        <w:pStyle w:val="ListParagraph"/>
        <w:spacing w:after="360"/>
        <w:ind w:left="0"/>
        <w:jc w:val="both"/>
        <w:rPr>
          <w:rFonts w:ascii="Calibri" w:eastAsia="Times New Roman" w:hAnsi="Calibri" w:cs="Calibri"/>
          <w:color w:val="000000" w:themeColor="text1"/>
          <w:sz w:val="24"/>
          <w:szCs w:val="24"/>
        </w:rPr>
      </w:pPr>
    </w:p>
    <w:p w14:paraId="76E17B8B" w14:textId="1269B18F" w:rsidR="4E798B2D" w:rsidRDefault="4E798B2D"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Overall, for both Tata Steel and JSW Steel, there has been some fluctuation in their Total Asset Turnover Ratios over the five-year period. A higher ratio generally indicates better efficiency in utilizing assets to generate revenue. It's important to consider these ratios in the context of the industry, company strategy, and other financial metrics to draw more meaningful conclusions about their financial performance and efficiency in asset utilization.</w:t>
      </w:r>
    </w:p>
    <w:p w14:paraId="536EA0CC" w14:textId="4B6C8FD6" w:rsidR="4E798B2D" w:rsidRDefault="4E798B2D" w:rsidP="097CE612">
      <w:pPr>
        <w:pStyle w:val="ListParagraph"/>
        <w:spacing w:after="360"/>
        <w:ind w:left="0"/>
        <w:jc w:val="both"/>
        <w:rPr>
          <w:rFonts w:ascii="Calibri" w:eastAsia="Times New Roman" w:hAnsi="Calibri" w:cs="Calibri"/>
          <w:color w:val="000000" w:themeColor="text1"/>
        </w:rPr>
      </w:pPr>
      <w:r w:rsidRPr="097CE612">
        <w:rPr>
          <w:rFonts w:ascii="Calibri" w:eastAsia="Times New Roman" w:hAnsi="Calibri" w:cs="Calibri"/>
          <w:color w:val="000000" w:themeColor="text1"/>
          <w:sz w:val="24"/>
          <w:szCs w:val="24"/>
        </w:rPr>
        <w:t xml:space="preserve"> </w:t>
      </w:r>
    </w:p>
    <w:p w14:paraId="45336D1E" w14:textId="34904570" w:rsidR="4E798B2D" w:rsidRDefault="4E798B2D" w:rsidP="097CE612">
      <w:pPr>
        <w:pStyle w:val="ListParagraph"/>
        <w:spacing w:after="360"/>
        <w:ind w:left="0"/>
        <w:jc w:val="both"/>
        <w:rPr>
          <w:rFonts w:ascii="Calibri" w:eastAsia="Times New Roman" w:hAnsi="Calibri" w:cs="Calibri"/>
          <w:color w:val="000000" w:themeColor="text1"/>
        </w:rPr>
      </w:pPr>
      <w:r w:rsidRPr="097CE612">
        <w:rPr>
          <w:rFonts w:ascii="Calibri" w:eastAsia="Times New Roman" w:hAnsi="Calibri" w:cs="Calibri"/>
          <w:color w:val="000000" w:themeColor="text1"/>
          <w:sz w:val="24"/>
          <w:szCs w:val="24"/>
        </w:rPr>
        <w:t>A decrease in the Total Asset Turnover Ratio could suggest that the company is not effectively utilizing its assets to generate sales, which might be an area for further analysis and improvement. However, it's essential to consider the complete financial picture before making any definitive conclusions.</w:t>
      </w:r>
    </w:p>
    <w:p w14:paraId="415DABC5" w14:textId="3DC772A5" w:rsidR="00BA0723" w:rsidRPr="007C6DF8" w:rsidRDefault="3578CD37"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14:ligatures w14:val="none"/>
        </w:rPr>
        <w:t>5. Dividend Yield:</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543577" w14:paraId="57D13F2C" w14:textId="77777777" w:rsidTr="00DC0977">
        <w:trPr>
          <w:trHeight w:val="401"/>
        </w:trPr>
        <w:tc>
          <w:tcPr>
            <w:tcW w:w="1380" w:type="dxa"/>
          </w:tcPr>
          <w:p w14:paraId="747027C9"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p>
        </w:tc>
        <w:tc>
          <w:tcPr>
            <w:tcW w:w="1403" w:type="dxa"/>
          </w:tcPr>
          <w:p w14:paraId="0DB346B4"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23</w:t>
            </w:r>
          </w:p>
        </w:tc>
        <w:tc>
          <w:tcPr>
            <w:tcW w:w="1403" w:type="dxa"/>
          </w:tcPr>
          <w:p w14:paraId="31AC2475"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22</w:t>
            </w:r>
          </w:p>
        </w:tc>
        <w:tc>
          <w:tcPr>
            <w:tcW w:w="1403" w:type="dxa"/>
          </w:tcPr>
          <w:p w14:paraId="33FF77C5"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6AA27D2E"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76A94BE3"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543577" w14:paraId="3DE4B834" w14:textId="77777777" w:rsidTr="00DC0977">
        <w:trPr>
          <w:trHeight w:val="434"/>
        </w:trPr>
        <w:tc>
          <w:tcPr>
            <w:tcW w:w="1380" w:type="dxa"/>
          </w:tcPr>
          <w:p w14:paraId="117150A1"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432EFB91" w14:textId="2098D8F3" w:rsidR="00543577" w:rsidRPr="00BA0723" w:rsidRDefault="00543577"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344.49</w:t>
            </w:r>
          </w:p>
        </w:tc>
        <w:tc>
          <w:tcPr>
            <w:tcW w:w="1403" w:type="dxa"/>
          </w:tcPr>
          <w:p w14:paraId="7C75C3A9" w14:textId="7C29B4BD"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39.01</w:t>
            </w:r>
          </w:p>
        </w:tc>
        <w:tc>
          <w:tcPr>
            <w:tcW w:w="1403" w:type="dxa"/>
          </w:tcPr>
          <w:p w14:paraId="4CE0305E" w14:textId="6650AFC2"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30.79</w:t>
            </w:r>
          </w:p>
        </w:tc>
        <w:tc>
          <w:tcPr>
            <w:tcW w:w="1404" w:type="dxa"/>
          </w:tcPr>
          <w:p w14:paraId="4FAC574C" w14:textId="23039EBC"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37.09</w:t>
            </w:r>
          </w:p>
        </w:tc>
        <w:tc>
          <w:tcPr>
            <w:tcW w:w="1404" w:type="dxa"/>
          </w:tcPr>
          <w:p w14:paraId="219DCD96" w14:textId="27A1BBE3"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24.95</w:t>
            </w:r>
          </w:p>
        </w:tc>
      </w:tr>
      <w:tr w:rsidR="00543577" w14:paraId="214DC411" w14:textId="77777777" w:rsidTr="00DC0977">
        <w:trPr>
          <w:trHeight w:val="434"/>
        </w:trPr>
        <w:tc>
          <w:tcPr>
            <w:tcW w:w="1380" w:type="dxa"/>
          </w:tcPr>
          <w:p w14:paraId="0A7B6C06" w14:textId="77777777" w:rsidR="00543577"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3BEBE072" w14:textId="0C1FB22E"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0.49</w:t>
            </w:r>
          </w:p>
        </w:tc>
        <w:tc>
          <w:tcPr>
            <w:tcW w:w="1403" w:type="dxa"/>
          </w:tcPr>
          <w:p w14:paraId="630E4D14" w14:textId="5E5130A3"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2.36</w:t>
            </w:r>
          </w:p>
        </w:tc>
        <w:tc>
          <w:tcPr>
            <w:tcW w:w="1403" w:type="dxa"/>
          </w:tcPr>
          <w:p w14:paraId="36AFE609" w14:textId="7C0A3763"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1.38</w:t>
            </w:r>
          </w:p>
        </w:tc>
        <w:tc>
          <w:tcPr>
            <w:tcW w:w="1404" w:type="dxa"/>
          </w:tcPr>
          <w:p w14:paraId="1518C515" w14:textId="73B395B9"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1.36</w:t>
            </w:r>
          </w:p>
        </w:tc>
        <w:tc>
          <w:tcPr>
            <w:tcW w:w="1404" w:type="dxa"/>
          </w:tcPr>
          <w:p w14:paraId="724D79FD" w14:textId="6B559018"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1.39</w:t>
            </w:r>
          </w:p>
        </w:tc>
      </w:tr>
    </w:tbl>
    <w:p w14:paraId="1CEE18D2" w14:textId="77777777" w:rsidR="00BA0723" w:rsidRDefault="00BA0723" w:rsidP="00BA0723">
      <w:pPr>
        <w:pStyle w:val="ListParagraph"/>
        <w:spacing w:after="360"/>
        <w:jc w:val="center"/>
        <w:rPr>
          <w:rFonts w:ascii="Calibri" w:eastAsia="Times New Roman" w:hAnsi="Calibri" w:cs="Calibri"/>
          <w:b/>
          <w:bCs/>
          <w:color w:val="000000"/>
          <w:kern w:val="0"/>
          <w:sz w:val="24"/>
          <w:szCs w:val="24"/>
          <w14:ligatures w14:val="none"/>
        </w:rPr>
      </w:pPr>
    </w:p>
    <w:p w14:paraId="11E33B9C" w14:textId="61A457E3" w:rsidR="000159CC" w:rsidRDefault="00F16022" w:rsidP="000159CC">
      <w:pPr>
        <w:pStyle w:val="ListParagraph"/>
        <w:spacing w:after="360"/>
        <w:ind w:left="0"/>
        <w:jc w:val="center"/>
        <w:rPr>
          <w:rFonts w:ascii="Calibri" w:eastAsia="Times New Roman" w:hAnsi="Calibri" w:cs="Calibri"/>
          <w:b/>
          <w:bCs/>
          <w:color w:val="000000"/>
          <w:kern w:val="0"/>
          <w:sz w:val="28"/>
          <w:szCs w:val="28"/>
          <w14:ligatures w14:val="none"/>
        </w:rPr>
      </w:pPr>
      <w:r>
        <w:rPr>
          <w:noProof/>
        </w:rPr>
        <w:drawing>
          <wp:inline distT="0" distB="0" distL="0" distR="0" wp14:anchorId="78CC96AC" wp14:editId="2931DE9C">
            <wp:extent cx="4572000" cy="2743200"/>
            <wp:effectExtent l="0" t="0" r="0" b="0"/>
            <wp:docPr id="1936922392" name="Chart 1">
              <a:extLst xmlns:a="http://schemas.openxmlformats.org/drawingml/2006/main">
                <a:ext uri="{FF2B5EF4-FFF2-40B4-BE49-F238E27FC236}">
                  <a16:creationId xmlns:a16="http://schemas.microsoft.com/office/drawing/2014/main" id="{F9EC0292-40D3-D21F-411E-1FF8A1A33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3802D1A" w14:textId="77777777" w:rsidR="000159CC" w:rsidRDefault="000159CC" w:rsidP="00BA0723">
      <w:pPr>
        <w:pStyle w:val="ListParagraph"/>
        <w:spacing w:after="360"/>
        <w:ind w:left="0"/>
        <w:rPr>
          <w:rFonts w:ascii="Calibri" w:eastAsia="Times New Roman" w:hAnsi="Calibri" w:cs="Calibri"/>
          <w:b/>
          <w:bCs/>
          <w:color w:val="000000"/>
          <w:kern w:val="0"/>
          <w:sz w:val="28"/>
          <w:szCs w:val="28"/>
          <w14:ligatures w14:val="none"/>
        </w:rPr>
      </w:pPr>
    </w:p>
    <w:p w14:paraId="753AE9E8" w14:textId="5572785B" w:rsidR="00BA0723" w:rsidRDefault="3578CD37" w:rsidP="00BA0723">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t xml:space="preserve">Interpretation: </w:t>
      </w:r>
    </w:p>
    <w:p w14:paraId="772B4674" w14:textId="4788E191" w:rsidR="097CE612" w:rsidRDefault="097CE612" w:rsidP="097CE612">
      <w:pPr>
        <w:pStyle w:val="ListParagraph"/>
        <w:spacing w:after="360"/>
        <w:ind w:left="0"/>
        <w:rPr>
          <w:rFonts w:ascii="Calibri" w:eastAsia="Times New Roman" w:hAnsi="Calibri" w:cs="Calibri"/>
          <w:b/>
          <w:bCs/>
          <w:color w:val="000000" w:themeColor="text1"/>
          <w:sz w:val="28"/>
          <w:szCs w:val="28"/>
        </w:rPr>
      </w:pPr>
    </w:p>
    <w:p w14:paraId="5441FA06" w14:textId="482AB0F6" w:rsidR="6353C0DF" w:rsidRDefault="6353C0DF"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lastRenderedPageBreak/>
        <w:t>Trend Analysis for Tata Steel:</w:t>
      </w:r>
    </w:p>
    <w:p w14:paraId="5BE284D4" w14:textId="0F8800FA"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dividend yield has experienced significant fluctuations over the last five years.</w:t>
      </w:r>
    </w:p>
    <w:p w14:paraId="5E63ACFD" w14:textId="3BA85840"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The dividend yield for March 23 is exceptionally high at 344.49%. This might indicate a substantial dividend payout relative to the current market price.</w:t>
      </w:r>
    </w:p>
    <w:p w14:paraId="589ED532" w14:textId="6AA4EA72"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In the previous years, there were lower dividend yields, indicating either lower dividend payouts or higher market prices (or a combination of both).</w:t>
      </w:r>
    </w:p>
    <w:p w14:paraId="2C25EE20" w14:textId="686D4DF2"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242FB0B0" w14:textId="4B02E2C4" w:rsidR="6353C0DF" w:rsidRDefault="6353C0DF" w:rsidP="097CE612">
      <w:pPr>
        <w:pStyle w:val="ListParagraph"/>
        <w:spacing w:after="360"/>
        <w:ind w:left="0"/>
        <w:jc w:val="both"/>
        <w:rPr>
          <w:rFonts w:ascii="Calibri" w:eastAsia="Times New Roman" w:hAnsi="Calibri" w:cs="Calibri"/>
          <w:b/>
          <w:bCs/>
          <w:color w:val="000000" w:themeColor="text1"/>
        </w:rPr>
      </w:pPr>
      <w:r w:rsidRPr="097CE612">
        <w:rPr>
          <w:rFonts w:ascii="Calibri" w:eastAsia="Times New Roman" w:hAnsi="Calibri" w:cs="Calibri"/>
          <w:b/>
          <w:bCs/>
          <w:color w:val="000000" w:themeColor="text1"/>
          <w:sz w:val="24"/>
          <w:szCs w:val="24"/>
        </w:rPr>
        <w:t>Trend Analysis for JSW Steel:</w:t>
      </w:r>
    </w:p>
    <w:p w14:paraId="7A0993A0" w14:textId="05EF7A28"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JSW Steel's dividend yield has also varied over the past five years, but the fluctuations are not as extreme as in the case of Tata Steel.</w:t>
      </w:r>
    </w:p>
    <w:p w14:paraId="3BCABFAC" w14:textId="303472AD"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dividend yield for March 23 is 0.49%, which is relatively low compared to </w:t>
      </w:r>
      <w:r w:rsidR="0C5DB884" w:rsidRPr="097CE612">
        <w:rPr>
          <w:rFonts w:ascii="Calibri" w:eastAsia="Times New Roman" w:hAnsi="Calibri" w:cs="Calibri"/>
          <w:color w:val="000000" w:themeColor="text1"/>
          <w:sz w:val="24"/>
          <w:szCs w:val="24"/>
        </w:rPr>
        <w:t>previous</w:t>
      </w:r>
      <w:r w:rsidRPr="097CE612">
        <w:rPr>
          <w:rFonts w:ascii="Calibri" w:eastAsia="Times New Roman" w:hAnsi="Calibri" w:cs="Calibri"/>
          <w:color w:val="000000" w:themeColor="text1"/>
          <w:sz w:val="24"/>
          <w:szCs w:val="24"/>
        </w:rPr>
        <w:t xml:space="preserve"> years.</w:t>
      </w:r>
    </w:p>
    <w:p w14:paraId="610A4261" w14:textId="47CEC157" w:rsidR="6353C0DF" w:rsidRDefault="6353C0D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In the previous years, the dividend yield for JSW Steel was in the range of 1.36% to 2.36%.</w:t>
      </w:r>
    </w:p>
    <w:p w14:paraId="3B6589A1" w14:textId="77777777" w:rsidR="00BA0723" w:rsidRDefault="00BA0723" w:rsidP="097CE612">
      <w:pPr>
        <w:pStyle w:val="ListParagraph"/>
        <w:spacing w:after="360"/>
        <w:ind w:left="0"/>
        <w:jc w:val="both"/>
        <w:rPr>
          <w:rFonts w:ascii="Calibri" w:eastAsia="Times New Roman" w:hAnsi="Calibri" w:cs="Calibri"/>
          <w:b/>
          <w:bCs/>
          <w:color w:val="000000"/>
          <w:kern w:val="0"/>
          <w:sz w:val="24"/>
          <w:szCs w:val="24"/>
          <w14:ligatures w14:val="none"/>
        </w:rPr>
      </w:pPr>
    </w:p>
    <w:p w14:paraId="71FFDDF6" w14:textId="07FF83BB" w:rsidR="60E86647" w:rsidRDefault="60E86647"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w:t>
      </w:r>
      <w:r w:rsidR="7C649B2C" w:rsidRPr="097CE612">
        <w:rPr>
          <w:rFonts w:ascii="Calibri" w:eastAsia="Times New Roman" w:hAnsi="Calibri" w:cs="Calibri"/>
          <w:color w:val="000000" w:themeColor="text1"/>
          <w:sz w:val="24"/>
          <w:szCs w:val="24"/>
        </w:rPr>
        <w:t xml:space="preserve"> very high dividend yield, like the one for Tata Steel in March 23, might be a sign that the market price has significantly dropped or that the company paid out a special dividend. Conversely, a low dividend yield may indicate a lower dividend payout or a higher market price.</w:t>
      </w:r>
    </w:p>
    <w:p w14:paraId="2053454F" w14:textId="6046195D" w:rsidR="7C649B2C" w:rsidRDefault="7C649B2C"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520CE07F" w14:textId="08618AE6" w:rsidR="7C649B2C" w:rsidRDefault="7C649B2C"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Investors should not make decisions based solely on dividend yield. They should also consider other factors such as the company's financial health, dividend history, growth prospects, and overall investment objectives when evaluating whether to invest in a particular stock. High dividend yields can be attractive, but they should be analyzed in conjunction with other fundamental and market factors.</w:t>
      </w:r>
    </w:p>
    <w:p w14:paraId="289C934F" w14:textId="5F3CDA66" w:rsidR="00BA0723" w:rsidRPr="007C6DF8" w:rsidRDefault="3578CD37" w:rsidP="007C6DF8">
      <w:pPr>
        <w:spacing w:after="360"/>
        <w:jc w:val="center"/>
        <w:rPr>
          <w:rFonts w:ascii="Calibri" w:eastAsia="Times New Roman" w:hAnsi="Calibri" w:cs="Calibri"/>
          <w:b/>
          <w:bCs/>
          <w:color w:val="000000"/>
          <w:kern w:val="0"/>
          <w:sz w:val="28"/>
          <w:szCs w:val="28"/>
          <w:u w:val="single"/>
          <w14:ligatures w14:val="none"/>
        </w:rPr>
      </w:pPr>
      <w:r w:rsidRPr="007C6DF8">
        <w:rPr>
          <w:rFonts w:ascii="Calibri" w:eastAsia="Times New Roman" w:hAnsi="Calibri" w:cs="Calibri"/>
          <w:b/>
          <w:bCs/>
          <w:color w:val="000000"/>
          <w:kern w:val="0"/>
          <w:sz w:val="28"/>
          <w:szCs w:val="28"/>
          <w:highlight w:val="lightGray"/>
          <w:u w:val="single"/>
          <w14:ligatures w14:val="none"/>
        </w:rPr>
        <w:t>6. Price Earnings Ratio:</w:t>
      </w:r>
    </w:p>
    <w:tbl>
      <w:tblPr>
        <w:tblStyle w:val="TableGrid"/>
        <w:tblW w:w="0" w:type="auto"/>
        <w:tblInd w:w="720" w:type="dxa"/>
        <w:tblLook w:val="04A0" w:firstRow="1" w:lastRow="0" w:firstColumn="1" w:lastColumn="0" w:noHBand="0" w:noVBand="1"/>
      </w:tblPr>
      <w:tblGrid>
        <w:gridCol w:w="1380"/>
        <w:gridCol w:w="1403"/>
        <w:gridCol w:w="1403"/>
        <w:gridCol w:w="1403"/>
        <w:gridCol w:w="1404"/>
        <w:gridCol w:w="1404"/>
      </w:tblGrid>
      <w:tr w:rsidR="00543577" w14:paraId="53CE3CD3" w14:textId="77777777" w:rsidTr="00DC0977">
        <w:trPr>
          <w:trHeight w:val="401"/>
        </w:trPr>
        <w:tc>
          <w:tcPr>
            <w:tcW w:w="1380" w:type="dxa"/>
          </w:tcPr>
          <w:p w14:paraId="3F677C0B"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p>
        </w:tc>
        <w:tc>
          <w:tcPr>
            <w:tcW w:w="1403" w:type="dxa"/>
          </w:tcPr>
          <w:p w14:paraId="000E90DC"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23</w:t>
            </w:r>
          </w:p>
        </w:tc>
        <w:tc>
          <w:tcPr>
            <w:tcW w:w="1403" w:type="dxa"/>
          </w:tcPr>
          <w:p w14:paraId="49D7F9C0"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22</w:t>
            </w:r>
          </w:p>
        </w:tc>
        <w:tc>
          <w:tcPr>
            <w:tcW w:w="1403" w:type="dxa"/>
          </w:tcPr>
          <w:p w14:paraId="7D950C92"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21</w:t>
            </w:r>
          </w:p>
        </w:tc>
        <w:tc>
          <w:tcPr>
            <w:tcW w:w="1404" w:type="dxa"/>
          </w:tcPr>
          <w:p w14:paraId="5A103200"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20</w:t>
            </w:r>
          </w:p>
        </w:tc>
        <w:tc>
          <w:tcPr>
            <w:tcW w:w="1404" w:type="dxa"/>
          </w:tcPr>
          <w:p w14:paraId="3A5B18AB"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March 19</w:t>
            </w:r>
          </w:p>
        </w:tc>
      </w:tr>
      <w:tr w:rsidR="00543577" w14:paraId="40262270" w14:textId="77777777" w:rsidTr="00DC0977">
        <w:trPr>
          <w:trHeight w:val="434"/>
        </w:trPr>
        <w:tc>
          <w:tcPr>
            <w:tcW w:w="1380" w:type="dxa"/>
          </w:tcPr>
          <w:p w14:paraId="2A00494A" w14:textId="77777777" w:rsidR="00543577" w:rsidRPr="00DD6F50"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Tata Steel</w:t>
            </w:r>
          </w:p>
        </w:tc>
        <w:tc>
          <w:tcPr>
            <w:tcW w:w="1403" w:type="dxa"/>
          </w:tcPr>
          <w:p w14:paraId="68085F2B" w14:textId="5BB8C117"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8.24</w:t>
            </w:r>
          </w:p>
        </w:tc>
        <w:tc>
          <w:tcPr>
            <w:tcW w:w="1403" w:type="dxa"/>
          </w:tcPr>
          <w:p w14:paraId="2437D2CF" w14:textId="34A79B38"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4.83</w:t>
            </w:r>
          </w:p>
        </w:tc>
        <w:tc>
          <w:tcPr>
            <w:tcW w:w="1403" w:type="dxa"/>
          </w:tcPr>
          <w:p w14:paraId="0C9F0F0B" w14:textId="622700D1"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5.69</w:t>
            </w:r>
          </w:p>
        </w:tc>
        <w:tc>
          <w:tcPr>
            <w:tcW w:w="1404" w:type="dxa"/>
          </w:tcPr>
          <w:p w14:paraId="4D10C32E" w14:textId="187A002F"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4.58</w:t>
            </w:r>
          </w:p>
        </w:tc>
        <w:tc>
          <w:tcPr>
            <w:tcW w:w="1404" w:type="dxa"/>
          </w:tcPr>
          <w:p w14:paraId="171C9FAB" w14:textId="5B5F09B7"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5.66</w:t>
            </w:r>
          </w:p>
        </w:tc>
      </w:tr>
      <w:tr w:rsidR="00543577" w14:paraId="7F35F8CE" w14:textId="77777777" w:rsidTr="00DC0977">
        <w:trPr>
          <w:trHeight w:val="434"/>
        </w:trPr>
        <w:tc>
          <w:tcPr>
            <w:tcW w:w="1380" w:type="dxa"/>
          </w:tcPr>
          <w:p w14:paraId="1203E8D3" w14:textId="77777777" w:rsidR="00543577" w:rsidRDefault="00543577" w:rsidP="00DC0977">
            <w:pPr>
              <w:spacing w:after="360"/>
              <w:jc w:val="center"/>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JSW Steel</w:t>
            </w:r>
          </w:p>
        </w:tc>
        <w:tc>
          <w:tcPr>
            <w:tcW w:w="1403" w:type="dxa"/>
          </w:tcPr>
          <w:p w14:paraId="3B079ABA" w14:textId="1838B7BC"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33.45</w:t>
            </w:r>
          </w:p>
        </w:tc>
        <w:tc>
          <w:tcPr>
            <w:tcW w:w="1403" w:type="dxa"/>
          </w:tcPr>
          <w:p w14:paraId="2DC7B4A0" w14:textId="31367656"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10.52</w:t>
            </w:r>
          </w:p>
        </w:tc>
        <w:tc>
          <w:tcPr>
            <w:tcW w:w="1403" w:type="dxa"/>
          </w:tcPr>
          <w:p w14:paraId="61693CE8" w14:textId="0FFFA4E4"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13.45</w:t>
            </w:r>
          </w:p>
        </w:tc>
        <w:tc>
          <w:tcPr>
            <w:tcW w:w="1404" w:type="dxa"/>
          </w:tcPr>
          <w:p w14:paraId="1D5287DF" w14:textId="19F2CC61"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6.63</w:t>
            </w:r>
          </w:p>
        </w:tc>
        <w:tc>
          <w:tcPr>
            <w:tcW w:w="1404" w:type="dxa"/>
          </w:tcPr>
          <w:p w14:paraId="02332598" w14:textId="6C49D2E1" w:rsidR="00543577" w:rsidRPr="00BA0723" w:rsidRDefault="000159CC" w:rsidP="00DC0977">
            <w:pPr>
              <w:spacing w:after="360"/>
              <w:jc w:val="cente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8.66</w:t>
            </w:r>
          </w:p>
        </w:tc>
      </w:tr>
    </w:tbl>
    <w:p w14:paraId="6E78183D" w14:textId="77777777" w:rsidR="00BA0723" w:rsidRDefault="00BA0723" w:rsidP="00BA0723">
      <w:pPr>
        <w:pStyle w:val="ListParagraph"/>
        <w:spacing w:after="360"/>
        <w:jc w:val="center"/>
        <w:rPr>
          <w:rFonts w:ascii="Calibri" w:eastAsia="Times New Roman" w:hAnsi="Calibri" w:cs="Calibri"/>
          <w:b/>
          <w:bCs/>
          <w:color w:val="000000"/>
          <w:kern w:val="0"/>
          <w:sz w:val="24"/>
          <w:szCs w:val="24"/>
          <w14:ligatures w14:val="none"/>
        </w:rPr>
      </w:pPr>
    </w:p>
    <w:p w14:paraId="6C619CF3" w14:textId="0F6FE05C" w:rsidR="000159CC" w:rsidRDefault="007C6DF8" w:rsidP="000159CC">
      <w:pPr>
        <w:pStyle w:val="ListParagraph"/>
        <w:spacing w:after="360"/>
        <w:ind w:left="0"/>
        <w:jc w:val="center"/>
        <w:rPr>
          <w:rFonts w:ascii="Calibri" w:eastAsia="Times New Roman" w:hAnsi="Calibri" w:cs="Calibri"/>
          <w:b/>
          <w:bCs/>
          <w:color w:val="000000"/>
          <w:kern w:val="0"/>
          <w:sz w:val="28"/>
          <w:szCs w:val="28"/>
          <w14:ligatures w14:val="none"/>
        </w:rPr>
      </w:pPr>
      <w:r>
        <w:rPr>
          <w:noProof/>
        </w:rPr>
        <w:lastRenderedPageBreak/>
        <w:drawing>
          <wp:inline distT="0" distB="0" distL="0" distR="0" wp14:anchorId="51FEED02" wp14:editId="15EE6EA8">
            <wp:extent cx="4572000" cy="2743200"/>
            <wp:effectExtent l="0" t="0" r="0" b="0"/>
            <wp:docPr id="1028070757" name="Chart 1">
              <a:extLst xmlns:a="http://schemas.openxmlformats.org/drawingml/2006/main">
                <a:ext uri="{FF2B5EF4-FFF2-40B4-BE49-F238E27FC236}">
                  <a16:creationId xmlns:a16="http://schemas.microsoft.com/office/drawing/2014/main" id="{CAB418F4-2107-93AF-91C3-AC859D56D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A822DC3" w14:textId="77777777" w:rsidR="000159CC" w:rsidRDefault="000159CC" w:rsidP="00BA0723">
      <w:pPr>
        <w:pStyle w:val="ListParagraph"/>
        <w:spacing w:after="360"/>
        <w:ind w:left="0"/>
        <w:rPr>
          <w:rFonts w:ascii="Calibri" w:eastAsia="Times New Roman" w:hAnsi="Calibri" w:cs="Calibri"/>
          <w:b/>
          <w:bCs/>
          <w:color w:val="000000"/>
          <w:kern w:val="0"/>
          <w:sz w:val="28"/>
          <w:szCs w:val="28"/>
          <w14:ligatures w14:val="none"/>
        </w:rPr>
      </w:pPr>
    </w:p>
    <w:p w14:paraId="1046E030" w14:textId="77CEFB0E" w:rsidR="00BA0723" w:rsidRDefault="3578CD37" w:rsidP="00BA0723">
      <w:pPr>
        <w:pStyle w:val="ListParagraph"/>
        <w:spacing w:after="360"/>
        <w:ind w:left="0"/>
        <w:rPr>
          <w:rFonts w:ascii="Calibri" w:eastAsia="Times New Roman" w:hAnsi="Calibri" w:cs="Calibri"/>
          <w:b/>
          <w:bCs/>
          <w:color w:val="000000"/>
          <w:kern w:val="0"/>
          <w:sz w:val="28"/>
          <w:szCs w:val="28"/>
          <w14:ligatures w14:val="none"/>
        </w:rPr>
      </w:pPr>
      <w:r w:rsidRPr="00A8156F">
        <w:rPr>
          <w:rFonts w:ascii="Calibri" w:eastAsia="Times New Roman" w:hAnsi="Calibri" w:cs="Calibri"/>
          <w:b/>
          <w:bCs/>
          <w:color w:val="000000"/>
          <w:kern w:val="0"/>
          <w:sz w:val="28"/>
          <w:szCs w:val="28"/>
          <w14:ligatures w14:val="none"/>
        </w:rPr>
        <w:t xml:space="preserve">Interpretation: </w:t>
      </w:r>
    </w:p>
    <w:p w14:paraId="517DA33E" w14:textId="5109202F" w:rsidR="097CE612" w:rsidRDefault="097CE612" w:rsidP="097CE612">
      <w:pPr>
        <w:pStyle w:val="ListParagraph"/>
        <w:spacing w:after="360"/>
        <w:ind w:left="0"/>
        <w:rPr>
          <w:rFonts w:ascii="Calibri" w:eastAsia="Times New Roman" w:hAnsi="Calibri" w:cs="Calibri"/>
          <w:b/>
          <w:bCs/>
          <w:color w:val="000000" w:themeColor="text1"/>
          <w:sz w:val="28"/>
          <w:szCs w:val="28"/>
        </w:rPr>
      </w:pPr>
    </w:p>
    <w:p w14:paraId="623D4C00" w14:textId="62082162" w:rsidR="4BEC875F" w:rsidRDefault="4BEC875F" w:rsidP="097CE612">
      <w:pPr>
        <w:pStyle w:val="ListParagraph"/>
        <w:spacing w:after="360"/>
        <w:ind w:left="0"/>
        <w:jc w:val="both"/>
        <w:rPr>
          <w:rFonts w:ascii="Calibri" w:eastAsia="Times New Roman" w:hAnsi="Calibri" w:cs="Calibri"/>
          <w:b/>
          <w:bCs/>
          <w:color w:val="000000" w:themeColor="text1"/>
          <w:sz w:val="24"/>
          <w:szCs w:val="24"/>
        </w:rPr>
      </w:pPr>
      <w:r w:rsidRPr="097CE612">
        <w:rPr>
          <w:rFonts w:ascii="Calibri" w:eastAsia="Times New Roman" w:hAnsi="Calibri" w:cs="Calibri"/>
          <w:b/>
          <w:bCs/>
          <w:color w:val="000000" w:themeColor="text1"/>
          <w:sz w:val="24"/>
          <w:szCs w:val="24"/>
        </w:rPr>
        <w:t>Trend Analysis for Tata Steel:</w:t>
      </w:r>
    </w:p>
    <w:p w14:paraId="695282EF" w14:textId="0F10FCFA"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Tata Steel's P/E ratio has fluctuated over the past five years.</w:t>
      </w:r>
    </w:p>
    <w:p w14:paraId="50E43E2C" w14:textId="759B0608"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P/E ratio increased from 4.58 </w:t>
      </w:r>
      <w:r w:rsidR="74097F81"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20 to 8.24 </w:t>
      </w:r>
      <w:r w:rsidR="54450052"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 indicating that investors are willing to pay a higher price for each unit of earnings.</w:t>
      </w:r>
    </w:p>
    <w:p w14:paraId="49B4064F" w14:textId="1A5D4219"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A higher P/E ratio can suggest that the market has higher expectations for the company's future earnings growth.</w:t>
      </w:r>
    </w:p>
    <w:p w14:paraId="1ED24E15" w14:textId="0E33F9A7" w:rsidR="4BEC875F" w:rsidRDefault="4BEC875F" w:rsidP="097CE612">
      <w:pPr>
        <w:pStyle w:val="ListParagraph"/>
        <w:spacing w:after="360"/>
        <w:ind w:left="0"/>
        <w:jc w:val="both"/>
        <w:rPr>
          <w:rFonts w:ascii="Calibri" w:eastAsia="Times New Roman" w:hAnsi="Calibri" w:cs="Calibri"/>
          <w:b/>
          <w:bCs/>
          <w:color w:val="000000" w:themeColor="text1"/>
        </w:rPr>
      </w:pPr>
      <w:r w:rsidRPr="097CE612">
        <w:rPr>
          <w:rFonts w:ascii="Calibri" w:eastAsia="Times New Roman" w:hAnsi="Calibri" w:cs="Calibri"/>
          <w:b/>
          <w:bCs/>
          <w:color w:val="000000" w:themeColor="text1"/>
          <w:sz w:val="24"/>
          <w:szCs w:val="24"/>
        </w:rPr>
        <w:t xml:space="preserve"> </w:t>
      </w:r>
    </w:p>
    <w:p w14:paraId="46EFC770" w14:textId="22BFD9D3" w:rsidR="4BEC875F" w:rsidRDefault="4BEC875F" w:rsidP="097CE612">
      <w:pPr>
        <w:pStyle w:val="ListParagraph"/>
        <w:spacing w:after="360"/>
        <w:ind w:left="0"/>
        <w:jc w:val="both"/>
        <w:rPr>
          <w:rFonts w:ascii="Calibri" w:eastAsia="Times New Roman" w:hAnsi="Calibri" w:cs="Calibri"/>
          <w:b/>
          <w:bCs/>
          <w:color w:val="000000" w:themeColor="text1"/>
        </w:rPr>
      </w:pPr>
      <w:r w:rsidRPr="097CE612">
        <w:rPr>
          <w:rFonts w:ascii="Calibri" w:eastAsia="Times New Roman" w:hAnsi="Calibri" w:cs="Calibri"/>
          <w:b/>
          <w:bCs/>
          <w:color w:val="000000" w:themeColor="text1"/>
          <w:sz w:val="24"/>
          <w:szCs w:val="24"/>
        </w:rPr>
        <w:t>Trend Analysis for JSW Steel:</w:t>
      </w:r>
    </w:p>
    <w:p w14:paraId="06E6140F" w14:textId="79D8B342"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JSW Steel's P/E ratio has also fluctuated over the past five years, and it has generally been higher than Tata Steel's P/E ratio.</w:t>
      </w:r>
    </w:p>
    <w:p w14:paraId="72BBADAD" w14:textId="5EE63ED2"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The P/E ratio for JSW Steel was 33.45 </w:t>
      </w:r>
      <w:r w:rsidR="62BDA816" w:rsidRPr="097CE612">
        <w:rPr>
          <w:rFonts w:ascii="Calibri" w:eastAsia="Times New Roman" w:hAnsi="Calibri" w:cs="Calibri"/>
          <w:color w:val="000000" w:themeColor="text1"/>
          <w:sz w:val="24"/>
          <w:szCs w:val="24"/>
        </w:rPr>
        <w:t>on</w:t>
      </w:r>
      <w:r w:rsidRPr="097CE612">
        <w:rPr>
          <w:rFonts w:ascii="Calibri" w:eastAsia="Times New Roman" w:hAnsi="Calibri" w:cs="Calibri"/>
          <w:color w:val="000000" w:themeColor="text1"/>
          <w:sz w:val="24"/>
          <w:szCs w:val="24"/>
        </w:rPr>
        <w:t xml:space="preserve"> March 23, which is substantially higher than in previous years.</w:t>
      </w:r>
    </w:p>
    <w:p w14:paraId="3A4D7E8C" w14:textId="51F4F03D" w:rsidR="4BEC875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This could indicate that investors have very high expectations for JSW Steel's future earnings, which may be driven by strong growth prospects or other factors.</w:t>
      </w:r>
    </w:p>
    <w:p w14:paraId="31ABB06F" w14:textId="1A523869" w:rsidR="097CE612" w:rsidRDefault="097CE612" w:rsidP="097CE612">
      <w:pPr>
        <w:pStyle w:val="ListParagraph"/>
        <w:spacing w:after="360"/>
        <w:ind w:left="0"/>
        <w:jc w:val="both"/>
        <w:rPr>
          <w:rFonts w:ascii="Calibri" w:eastAsia="Times New Roman" w:hAnsi="Calibri" w:cs="Calibri"/>
          <w:color w:val="000000" w:themeColor="text1"/>
          <w:sz w:val="24"/>
          <w:szCs w:val="24"/>
        </w:rPr>
      </w:pPr>
    </w:p>
    <w:p w14:paraId="4CC74DBB" w14:textId="387D9C69" w:rsidR="00BA0723" w:rsidRPr="00A8156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It's</w:t>
      </w:r>
      <w:r w:rsidRPr="097CE612">
        <w:rPr>
          <w:rFonts w:ascii="Calibri" w:eastAsia="Times New Roman" w:hAnsi="Calibri" w:cs="Calibri"/>
          <w:b/>
          <w:bCs/>
          <w:color w:val="000000" w:themeColor="text1"/>
          <w:sz w:val="24"/>
          <w:szCs w:val="24"/>
        </w:rPr>
        <w:t xml:space="preserve"> </w:t>
      </w:r>
      <w:r w:rsidRPr="097CE612">
        <w:rPr>
          <w:rFonts w:ascii="Calibri" w:eastAsia="Times New Roman" w:hAnsi="Calibri" w:cs="Calibri"/>
          <w:color w:val="000000" w:themeColor="text1"/>
          <w:sz w:val="24"/>
          <w:szCs w:val="24"/>
        </w:rPr>
        <w:t>important to note that a higher P/E ratio doesn't necessarily mean a stock is overvalued or undervalued in isolation. It depends on various factors, including the company's growth prospects, industry standards, and economic conditions. A high P/E ratio can suggest that investors are willing to pay a premium for growth, while a low P/E ratio might indicate that the stock is undervalued or that investors have lower expectations for future growth.</w:t>
      </w:r>
    </w:p>
    <w:p w14:paraId="4CBEE26C" w14:textId="3FB3EA94" w:rsidR="00BA0723" w:rsidRPr="00A8156F" w:rsidRDefault="4BEC875F" w:rsidP="097CE612">
      <w:pPr>
        <w:pStyle w:val="ListParagraph"/>
        <w:spacing w:after="360"/>
        <w:ind w:left="0"/>
        <w:jc w:val="both"/>
        <w:rPr>
          <w:rFonts w:ascii="Calibri" w:eastAsia="Times New Roman" w:hAnsi="Calibri" w:cs="Calibri"/>
          <w:color w:val="000000" w:themeColor="text1"/>
          <w:sz w:val="24"/>
          <w:szCs w:val="24"/>
        </w:rPr>
      </w:pPr>
      <w:r w:rsidRPr="097CE612">
        <w:rPr>
          <w:rFonts w:ascii="Calibri" w:eastAsia="Times New Roman" w:hAnsi="Calibri" w:cs="Calibri"/>
          <w:color w:val="000000" w:themeColor="text1"/>
          <w:sz w:val="24"/>
          <w:szCs w:val="24"/>
        </w:rPr>
        <w:t xml:space="preserve"> </w:t>
      </w:r>
    </w:p>
    <w:p w14:paraId="04F791AF" w14:textId="1DDF7FBF" w:rsidR="00BA0723" w:rsidRPr="00A8156F" w:rsidRDefault="4BEC875F" w:rsidP="097CE612">
      <w:pPr>
        <w:pStyle w:val="ListParagraph"/>
        <w:spacing w:after="360"/>
        <w:ind w:left="0"/>
        <w:jc w:val="both"/>
        <w:rPr>
          <w:rFonts w:ascii="Calibri" w:eastAsia="Times New Roman" w:hAnsi="Calibri" w:cs="Calibri"/>
          <w:color w:val="000000"/>
          <w:kern w:val="0"/>
          <w:sz w:val="28"/>
          <w:szCs w:val="28"/>
          <w14:ligatures w14:val="none"/>
        </w:rPr>
      </w:pPr>
      <w:r w:rsidRPr="097CE612">
        <w:rPr>
          <w:rFonts w:ascii="Calibri" w:eastAsia="Times New Roman" w:hAnsi="Calibri" w:cs="Calibri"/>
          <w:color w:val="000000" w:themeColor="text1"/>
          <w:sz w:val="24"/>
          <w:szCs w:val="24"/>
        </w:rPr>
        <w:lastRenderedPageBreak/>
        <w:t>Investors should consider the P/E ratio in conjunction with other fundamental and market factors when making investment decisions. Additionally, comparing the P/E ratios of a company to its industry peers can provide further insights into its relative valuation.</w:t>
      </w:r>
    </w:p>
    <w:sectPr w:rsidR="00BA0723" w:rsidRPr="00A8156F" w:rsidSect="007C6DF8">
      <w:footerReference w:type="default" r:id="rId4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F3B6" w14:textId="77777777" w:rsidR="004D6B1E" w:rsidRDefault="004D6B1E" w:rsidP="00A1195C">
      <w:pPr>
        <w:spacing w:after="0" w:line="240" w:lineRule="auto"/>
      </w:pPr>
      <w:r>
        <w:separator/>
      </w:r>
    </w:p>
  </w:endnote>
  <w:endnote w:type="continuationSeparator" w:id="0">
    <w:p w14:paraId="0958DD55" w14:textId="77777777" w:rsidR="004D6B1E" w:rsidRDefault="004D6B1E" w:rsidP="00A1195C">
      <w:pPr>
        <w:spacing w:after="0" w:line="240" w:lineRule="auto"/>
      </w:pPr>
      <w:r>
        <w:continuationSeparator/>
      </w:r>
    </w:p>
  </w:endnote>
  <w:endnote w:type="continuationNotice" w:id="1">
    <w:p w14:paraId="11A12A4F" w14:textId="77777777" w:rsidR="004D6B1E" w:rsidRDefault="004D6B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42087"/>
      <w:docPartObj>
        <w:docPartGallery w:val="Page Numbers (Bottom of Page)"/>
        <w:docPartUnique/>
      </w:docPartObj>
    </w:sdtPr>
    <w:sdtContent>
      <w:p w14:paraId="516CD9A2" w14:textId="0A36B92D" w:rsidR="007C6DF8" w:rsidRDefault="007C6DF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DABC504" w14:textId="77777777" w:rsidR="007C6DF8" w:rsidRDefault="007C6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521E" w14:textId="77777777" w:rsidR="004D6B1E" w:rsidRDefault="004D6B1E" w:rsidP="00A1195C">
      <w:pPr>
        <w:spacing w:after="0" w:line="240" w:lineRule="auto"/>
      </w:pPr>
      <w:r>
        <w:separator/>
      </w:r>
    </w:p>
  </w:footnote>
  <w:footnote w:type="continuationSeparator" w:id="0">
    <w:p w14:paraId="19A11BD2" w14:textId="77777777" w:rsidR="004D6B1E" w:rsidRDefault="004D6B1E" w:rsidP="00A1195C">
      <w:pPr>
        <w:spacing w:after="0" w:line="240" w:lineRule="auto"/>
      </w:pPr>
      <w:r>
        <w:continuationSeparator/>
      </w:r>
    </w:p>
  </w:footnote>
  <w:footnote w:type="continuationNotice" w:id="1">
    <w:p w14:paraId="40CDE2CD" w14:textId="77777777" w:rsidR="004D6B1E" w:rsidRDefault="004D6B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C92"/>
    <w:multiLevelType w:val="hybridMultilevel"/>
    <w:tmpl w:val="75D034BC"/>
    <w:lvl w:ilvl="0" w:tplc="0409000B">
      <w:start w:val="1"/>
      <w:numFmt w:val="bullet"/>
      <w:lvlText w:val=""/>
      <w:lvlJc w:val="left"/>
      <w:pPr>
        <w:ind w:left="1791" w:hanging="360"/>
      </w:pPr>
      <w:rPr>
        <w:rFonts w:ascii="Wingdings" w:hAnsi="Wingdings"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 w15:restartNumberingAfterBreak="0">
    <w:nsid w:val="07A4E1E9"/>
    <w:multiLevelType w:val="hybridMultilevel"/>
    <w:tmpl w:val="E9F28322"/>
    <w:lvl w:ilvl="0" w:tplc="16CABC7A">
      <w:start w:val="1"/>
      <w:numFmt w:val="decimal"/>
      <w:lvlText w:val="(%1)"/>
      <w:lvlJc w:val="left"/>
      <w:pPr>
        <w:ind w:left="1080" w:hanging="360"/>
      </w:pPr>
      <w:rPr>
        <w:sz w:val="22"/>
        <w:szCs w:val="22"/>
      </w:rPr>
    </w:lvl>
    <w:lvl w:ilvl="1" w:tplc="C6180112">
      <w:start w:val="1"/>
      <w:numFmt w:val="lowerLetter"/>
      <w:lvlText w:val="%2."/>
      <w:lvlJc w:val="left"/>
      <w:pPr>
        <w:ind w:left="1800" w:hanging="360"/>
      </w:pPr>
    </w:lvl>
    <w:lvl w:ilvl="2" w:tplc="7C6EFE22">
      <w:start w:val="1"/>
      <w:numFmt w:val="lowerRoman"/>
      <w:lvlText w:val="%3."/>
      <w:lvlJc w:val="right"/>
      <w:pPr>
        <w:ind w:left="2520" w:hanging="180"/>
      </w:pPr>
    </w:lvl>
    <w:lvl w:ilvl="3" w:tplc="EC02A296">
      <w:start w:val="1"/>
      <w:numFmt w:val="decimal"/>
      <w:lvlText w:val="%4."/>
      <w:lvlJc w:val="left"/>
      <w:pPr>
        <w:ind w:left="3240" w:hanging="360"/>
      </w:pPr>
    </w:lvl>
    <w:lvl w:ilvl="4" w:tplc="E202E2D2">
      <w:start w:val="1"/>
      <w:numFmt w:val="lowerLetter"/>
      <w:lvlText w:val="%5."/>
      <w:lvlJc w:val="left"/>
      <w:pPr>
        <w:ind w:left="3960" w:hanging="360"/>
      </w:pPr>
    </w:lvl>
    <w:lvl w:ilvl="5" w:tplc="585C357C">
      <w:start w:val="1"/>
      <w:numFmt w:val="lowerRoman"/>
      <w:lvlText w:val="%6."/>
      <w:lvlJc w:val="right"/>
      <w:pPr>
        <w:ind w:left="4680" w:hanging="180"/>
      </w:pPr>
    </w:lvl>
    <w:lvl w:ilvl="6" w:tplc="5ED0CB82">
      <w:start w:val="1"/>
      <w:numFmt w:val="decimal"/>
      <w:lvlText w:val="%7."/>
      <w:lvlJc w:val="left"/>
      <w:pPr>
        <w:ind w:left="5400" w:hanging="360"/>
      </w:pPr>
    </w:lvl>
    <w:lvl w:ilvl="7" w:tplc="B99AD8E4">
      <w:start w:val="1"/>
      <w:numFmt w:val="lowerLetter"/>
      <w:lvlText w:val="%8."/>
      <w:lvlJc w:val="left"/>
      <w:pPr>
        <w:ind w:left="6120" w:hanging="360"/>
      </w:pPr>
    </w:lvl>
    <w:lvl w:ilvl="8" w:tplc="1AA6BD34">
      <w:start w:val="1"/>
      <w:numFmt w:val="lowerRoman"/>
      <w:lvlText w:val="%9."/>
      <w:lvlJc w:val="right"/>
      <w:pPr>
        <w:ind w:left="6840" w:hanging="180"/>
      </w:pPr>
    </w:lvl>
  </w:abstractNum>
  <w:abstractNum w:abstractNumId="2" w15:restartNumberingAfterBreak="0">
    <w:nsid w:val="0B512762"/>
    <w:multiLevelType w:val="hybridMultilevel"/>
    <w:tmpl w:val="B0EA8DCC"/>
    <w:lvl w:ilvl="0" w:tplc="343C3A1C">
      <w:start w:val="1"/>
      <w:numFmt w:val="decimal"/>
      <w:lvlText w:val="(%1)"/>
      <w:lvlJc w:val="left"/>
      <w:pPr>
        <w:ind w:left="720" w:hanging="360"/>
      </w:pPr>
    </w:lvl>
    <w:lvl w:ilvl="1" w:tplc="D006F344">
      <w:start w:val="1"/>
      <w:numFmt w:val="lowerLetter"/>
      <w:lvlText w:val="%2."/>
      <w:lvlJc w:val="left"/>
      <w:pPr>
        <w:ind w:left="1440" w:hanging="360"/>
      </w:pPr>
    </w:lvl>
    <w:lvl w:ilvl="2" w:tplc="F9DAD39E">
      <w:start w:val="1"/>
      <w:numFmt w:val="lowerRoman"/>
      <w:lvlText w:val="%3."/>
      <w:lvlJc w:val="right"/>
      <w:pPr>
        <w:ind w:left="2160" w:hanging="180"/>
      </w:pPr>
    </w:lvl>
    <w:lvl w:ilvl="3" w:tplc="E6FAB50A">
      <w:start w:val="1"/>
      <w:numFmt w:val="decimal"/>
      <w:lvlText w:val="%4."/>
      <w:lvlJc w:val="left"/>
      <w:pPr>
        <w:ind w:left="2880" w:hanging="360"/>
      </w:pPr>
    </w:lvl>
    <w:lvl w:ilvl="4" w:tplc="EA80F494">
      <w:start w:val="1"/>
      <w:numFmt w:val="lowerLetter"/>
      <w:lvlText w:val="%5."/>
      <w:lvlJc w:val="left"/>
      <w:pPr>
        <w:ind w:left="3600" w:hanging="360"/>
      </w:pPr>
    </w:lvl>
    <w:lvl w:ilvl="5" w:tplc="842C0960">
      <w:start w:val="1"/>
      <w:numFmt w:val="lowerRoman"/>
      <w:lvlText w:val="%6."/>
      <w:lvlJc w:val="right"/>
      <w:pPr>
        <w:ind w:left="4320" w:hanging="180"/>
      </w:pPr>
    </w:lvl>
    <w:lvl w:ilvl="6" w:tplc="ED28C59E">
      <w:start w:val="1"/>
      <w:numFmt w:val="decimal"/>
      <w:lvlText w:val="%7."/>
      <w:lvlJc w:val="left"/>
      <w:pPr>
        <w:ind w:left="5040" w:hanging="360"/>
      </w:pPr>
    </w:lvl>
    <w:lvl w:ilvl="7" w:tplc="BBD430E2">
      <w:start w:val="1"/>
      <w:numFmt w:val="lowerLetter"/>
      <w:lvlText w:val="%8."/>
      <w:lvlJc w:val="left"/>
      <w:pPr>
        <w:ind w:left="5760" w:hanging="360"/>
      </w:pPr>
    </w:lvl>
    <w:lvl w:ilvl="8" w:tplc="CBD4F854">
      <w:start w:val="1"/>
      <w:numFmt w:val="lowerRoman"/>
      <w:lvlText w:val="%9."/>
      <w:lvlJc w:val="right"/>
      <w:pPr>
        <w:ind w:left="6480" w:hanging="180"/>
      </w:pPr>
    </w:lvl>
  </w:abstractNum>
  <w:abstractNum w:abstractNumId="3" w15:restartNumberingAfterBreak="0">
    <w:nsid w:val="1390268F"/>
    <w:multiLevelType w:val="hybridMultilevel"/>
    <w:tmpl w:val="F4D41E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C5822A2"/>
    <w:multiLevelType w:val="hybridMultilevel"/>
    <w:tmpl w:val="240C3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9F019C"/>
    <w:multiLevelType w:val="hybridMultilevel"/>
    <w:tmpl w:val="FFDC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2A3B0F"/>
    <w:multiLevelType w:val="hybridMultilevel"/>
    <w:tmpl w:val="E24033A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E7879B9"/>
    <w:multiLevelType w:val="hybridMultilevel"/>
    <w:tmpl w:val="D3D42D1A"/>
    <w:lvl w:ilvl="0" w:tplc="AF12E268">
      <w:start w:val="1"/>
      <w:numFmt w:val="decimal"/>
      <w:lvlText w:val="(%1)"/>
      <w:lvlJc w:val="left"/>
      <w:pPr>
        <w:ind w:left="720" w:hanging="360"/>
      </w:pPr>
    </w:lvl>
    <w:lvl w:ilvl="1" w:tplc="323A3018">
      <w:start w:val="1"/>
      <w:numFmt w:val="lowerLetter"/>
      <w:lvlText w:val="%2."/>
      <w:lvlJc w:val="left"/>
      <w:pPr>
        <w:ind w:left="1440" w:hanging="360"/>
      </w:pPr>
    </w:lvl>
    <w:lvl w:ilvl="2" w:tplc="5AE68560">
      <w:start w:val="1"/>
      <w:numFmt w:val="lowerRoman"/>
      <w:lvlText w:val="%3."/>
      <w:lvlJc w:val="right"/>
      <w:pPr>
        <w:ind w:left="2160" w:hanging="180"/>
      </w:pPr>
    </w:lvl>
    <w:lvl w:ilvl="3" w:tplc="4320B8C4">
      <w:start w:val="1"/>
      <w:numFmt w:val="decimal"/>
      <w:lvlText w:val="%4."/>
      <w:lvlJc w:val="left"/>
      <w:pPr>
        <w:ind w:left="2880" w:hanging="360"/>
      </w:pPr>
    </w:lvl>
    <w:lvl w:ilvl="4" w:tplc="DFF8F2E0">
      <w:start w:val="1"/>
      <w:numFmt w:val="lowerLetter"/>
      <w:lvlText w:val="%5."/>
      <w:lvlJc w:val="left"/>
      <w:pPr>
        <w:ind w:left="3600" w:hanging="360"/>
      </w:pPr>
    </w:lvl>
    <w:lvl w:ilvl="5" w:tplc="03C024B0">
      <w:start w:val="1"/>
      <w:numFmt w:val="lowerRoman"/>
      <w:lvlText w:val="%6."/>
      <w:lvlJc w:val="right"/>
      <w:pPr>
        <w:ind w:left="4320" w:hanging="180"/>
      </w:pPr>
    </w:lvl>
    <w:lvl w:ilvl="6" w:tplc="D0CA81EA">
      <w:start w:val="1"/>
      <w:numFmt w:val="decimal"/>
      <w:lvlText w:val="%7."/>
      <w:lvlJc w:val="left"/>
      <w:pPr>
        <w:ind w:left="5040" w:hanging="360"/>
      </w:pPr>
    </w:lvl>
    <w:lvl w:ilvl="7" w:tplc="6F0A63F6">
      <w:start w:val="1"/>
      <w:numFmt w:val="lowerLetter"/>
      <w:lvlText w:val="%8."/>
      <w:lvlJc w:val="left"/>
      <w:pPr>
        <w:ind w:left="5760" w:hanging="360"/>
      </w:pPr>
    </w:lvl>
    <w:lvl w:ilvl="8" w:tplc="6D643054">
      <w:start w:val="1"/>
      <w:numFmt w:val="lowerRoman"/>
      <w:lvlText w:val="%9."/>
      <w:lvlJc w:val="right"/>
      <w:pPr>
        <w:ind w:left="6480" w:hanging="180"/>
      </w:pPr>
    </w:lvl>
  </w:abstractNum>
  <w:abstractNum w:abstractNumId="8" w15:restartNumberingAfterBreak="0">
    <w:nsid w:val="334E67D5"/>
    <w:multiLevelType w:val="hybridMultilevel"/>
    <w:tmpl w:val="6B2A837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72EB76E"/>
    <w:multiLevelType w:val="hybridMultilevel"/>
    <w:tmpl w:val="E4BC8E98"/>
    <w:lvl w:ilvl="0" w:tplc="09901E26">
      <w:start w:val="1"/>
      <w:numFmt w:val="decimal"/>
      <w:lvlText w:val="%1)"/>
      <w:lvlJc w:val="left"/>
      <w:pPr>
        <w:ind w:left="720" w:hanging="360"/>
      </w:pPr>
    </w:lvl>
    <w:lvl w:ilvl="1" w:tplc="0E866528">
      <w:start w:val="1"/>
      <w:numFmt w:val="lowerLetter"/>
      <w:lvlText w:val="%2."/>
      <w:lvlJc w:val="left"/>
      <w:pPr>
        <w:ind w:left="1440" w:hanging="360"/>
      </w:pPr>
    </w:lvl>
    <w:lvl w:ilvl="2" w:tplc="36BA0888">
      <w:start w:val="1"/>
      <w:numFmt w:val="lowerRoman"/>
      <w:lvlText w:val="%3."/>
      <w:lvlJc w:val="right"/>
      <w:pPr>
        <w:ind w:left="2160" w:hanging="180"/>
      </w:pPr>
    </w:lvl>
    <w:lvl w:ilvl="3" w:tplc="C270C348">
      <w:start w:val="1"/>
      <w:numFmt w:val="decimal"/>
      <w:lvlText w:val="%4."/>
      <w:lvlJc w:val="left"/>
      <w:pPr>
        <w:ind w:left="2880" w:hanging="360"/>
      </w:pPr>
    </w:lvl>
    <w:lvl w:ilvl="4" w:tplc="2A822CD8">
      <w:start w:val="1"/>
      <w:numFmt w:val="lowerLetter"/>
      <w:lvlText w:val="%5."/>
      <w:lvlJc w:val="left"/>
      <w:pPr>
        <w:ind w:left="3600" w:hanging="360"/>
      </w:pPr>
    </w:lvl>
    <w:lvl w:ilvl="5" w:tplc="BF9658D6">
      <w:start w:val="1"/>
      <w:numFmt w:val="lowerRoman"/>
      <w:lvlText w:val="%6."/>
      <w:lvlJc w:val="right"/>
      <w:pPr>
        <w:ind w:left="4320" w:hanging="180"/>
      </w:pPr>
    </w:lvl>
    <w:lvl w:ilvl="6" w:tplc="A0EAA512">
      <w:start w:val="1"/>
      <w:numFmt w:val="decimal"/>
      <w:lvlText w:val="%7."/>
      <w:lvlJc w:val="left"/>
      <w:pPr>
        <w:ind w:left="5040" w:hanging="360"/>
      </w:pPr>
    </w:lvl>
    <w:lvl w:ilvl="7" w:tplc="116EE7CC">
      <w:start w:val="1"/>
      <w:numFmt w:val="lowerLetter"/>
      <w:lvlText w:val="%8."/>
      <w:lvlJc w:val="left"/>
      <w:pPr>
        <w:ind w:left="5760" w:hanging="360"/>
      </w:pPr>
    </w:lvl>
    <w:lvl w:ilvl="8" w:tplc="3FE2503C">
      <w:start w:val="1"/>
      <w:numFmt w:val="lowerRoman"/>
      <w:lvlText w:val="%9."/>
      <w:lvlJc w:val="right"/>
      <w:pPr>
        <w:ind w:left="6480" w:hanging="180"/>
      </w:pPr>
    </w:lvl>
  </w:abstractNum>
  <w:abstractNum w:abstractNumId="10" w15:restartNumberingAfterBreak="0">
    <w:nsid w:val="45516C90"/>
    <w:multiLevelType w:val="hybridMultilevel"/>
    <w:tmpl w:val="AE521618"/>
    <w:lvl w:ilvl="0" w:tplc="9260D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D0F34D"/>
    <w:multiLevelType w:val="hybridMultilevel"/>
    <w:tmpl w:val="336C4250"/>
    <w:lvl w:ilvl="0" w:tplc="8318C3E4">
      <w:start w:val="1"/>
      <w:numFmt w:val="decimal"/>
      <w:lvlText w:val="%1."/>
      <w:lvlJc w:val="left"/>
      <w:pPr>
        <w:ind w:left="720" w:hanging="360"/>
      </w:pPr>
    </w:lvl>
    <w:lvl w:ilvl="1" w:tplc="ACDAB55C">
      <w:start w:val="1"/>
      <w:numFmt w:val="lowerLetter"/>
      <w:lvlText w:val="%2."/>
      <w:lvlJc w:val="left"/>
      <w:pPr>
        <w:ind w:left="1440" w:hanging="360"/>
      </w:pPr>
    </w:lvl>
    <w:lvl w:ilvl="2" w:tplc="2AD8F750">
      <w:start w:val="1"/>
      <w:numFmt w:val="lowerRoman"/>
      <w:lvlText w:val="%3."/>
      <w:lvlJc w:val="right"/>
      <w:pPr>
        <w:ind w:left="2160" w:hanging="180"/>
      </w:pPr>
    </w:lvl>
    <w:lvl w:ilvl="3" w:tplc="65887ADA">
      <w:start w:val="1"/>
      <w:numFmt w:val="decimal"/>
      <w:lvlText w:val="%4."/>
      <w:lvlJc w:val="left"/>
      <w:pPr>
        <w:ind w:left="2880" w:hanging="360"/>
      </w:pPr>
    </w:lvl>
    <w:lvl w:ilvl="4" w:tplc="598474C0">
      <w:start w:val="1"/>
      <w:numFmt w:val="lowerLetter"/>
      <w:lvlText w:val="%5."/>
      <w:lvlJc w:val="left"/>
      <w:pPr>
        <w:ind w:left="3600" w:hanging="360"/>
      </w:pPr>
    </w:lvl>
    <w:lvl w:ilvl="5" w:tplc="65B8A5EC">
      <w:start w:val="1"/>
      <w:numFmt w:val="lowerRoman"/>
      <w:lvlText w:val="%6."/>
      <w:lvlJc w:val="right"/>
      <w:pPr>
        <w:ind w:left="4320" w:hanging="180"/>
      </w:pPr>
    </w:lvl>
    <w:lvl w:ilvl="6" w:tplc="F1F4A2CC">
      <w:start w:val="1"/>
      <w:numFmt w:val="decimal"/>
      <w:lvlText w:val="%7."/>
      <w:lvlJc w:val="left"/>
      <w:pPr>
        <w:ind w:left="5040" w:hanging="360"/>
      </w:pPr>
    </w:lvl>
    <w:lvl w:ilvl="7" w:tplc="ED9AEEB4">
      <w:start w:val="1"/>
      <w:numFmt w:val="lowerLetter"/>
      <w:lvlText w:val="%8."/>
      <w:lvlJc w:val="left"/>
      <w:pPr>
        <w:ind w:left="5760" w:hanging="360"/>
      </w:pPr>
    </w:lvl>
    <w:lvl w:ilvl="8" w:tplc="0E5081BE">
      <w:start w:val="1"/>
      <w:numFmt w:val="lowerRoman"/>
      <w:lvlText w:val="%9."/>
      <w:lvlJc w:val="right"/>
      <w:pPr>
        <w:ind w:left="6480" w:hanging="180"/>
      </w:pPr>
    </w:lvl>
  </w:abstractNum>
  <w:abstractNum w:abstractNumId="12" w15:restartNumberingAfterBreak="0">
    <w:nsid w:val="5CBF6776"/>
    <w:multiLevelType w:val="hybridMultilevel"/>
    <w:tmpl w:val="8084E55C"/>
    <w:lvl w:ilvl="0" w:tplc="7E76D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0A521C"/>
    <w:multiLevelType w:val="hybridMultilevel"/>
    <w:tmpl w:val="1368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6745E"/>
    <w:multiLevelType w:val="hybridMultilevel"/>
    <w:tmpl w:val="BC86FFAC"/>
    <w:lvl w:ilvl="0" w:tplc="F7F4E474">
      <w:start w:val="1"/>
      <w:numFmt w:val="decimal"/>
      <w:lvlText w:val="%1."/>
      <w:lvlJc w:val="left"/>
      <w:pPr>
        <w:ind w:left="720" w:hanging="360"/>
      </w:pPr>
    </w:lvl>
    <w:lvl w:ilvl="1" w:tplc="EB8CF392">
      <w:start w:val="1"/>
      <w:numFmt w:val="lowerLetter"/>
      <w:lvlText w:val="%2."/>
      <w:lvlJc w:val="left"/>
      <w:pPr>
        <w:ind w:left="1440" w:hanging="360"/>
      </w:pPr>
    </w:lvl>
    <w:lvl w:ilvl="2" w:tplc="C03A17AA">
      <w:start w:val="1"/>
      <w:numFmt w:val="lowerRoman"/>
      <w:lvlText w:val="%3."/>
      <w:lvlJc w:val="right"/>
      <w:pPr>
        <w:ind w:left="2160" w:hanging="180"/>
      </w:pPr>
    </w:lvl>
    <w:lvl w:ilvl="3" w:tplc="1B140F38">
      <w:start w:val="1"/>
      <w:numFmt w:val="decimal"/>
      <w:lvlText w:val="%4."/>
      <w:lvlJc w:val="left"/>
      <w:pPr>
        <w:ind w:left="2880" w:hanging="360"/>
      </w:pPr>
    </w:lvl>
    <w:lvl w:ilvl="4" w:tplc="2690DCB6">
      <w:start w:val="1"/>
      <w:numFmt w:val="lowerLetter"/>
      <w:lvlText w:val="%5."/>
      <w:lvlJc w:val="left"/>
      <w:pPr>
        <w:ind w:left="3600" w:hanging="360"/>
      </w:pPr>
    </w:lvl>
    <w:lvl w:ilvl="5" w:tplc="AB74266C">
      <w:start w:val="1"/>
      <w:numFmt w:val="lowerRoman"/>
      <w:lvlText w:val="%6."/>
      <w:lvlJc w:val="right"/>
      <w:pPr>
        <w:ind w:left="4320" w:hanging="180"/>
      </w:pPr>
    </w:lvl>
    <w:lvl w:ilvl="6" w:tplc="725E073A">
      <w:start w:val="1"/>
      <w:numFmt w:val="decimal"/>
      <w:lvlText w:val="%7."/>
      <w:lvlJc w:val="left"/>
      <w:pPr>
        <w:ind w:left="5040" w:hanging="360"/>
      </w:pPr>
    </w:lvl>
    <w:lvl w:ilvl="7" w:tplc="9F200A8C">
      <w:start w:val="1"/>
      <w:numFmt w:val="lowerLetter"/>
      <w:lvlText w:val="%8."/>
      <w:lvlJc w:val="left"/>
      <w:pPr>
        <w:ind w:left="5760" w:hanging="360"/>
      </w:pPr>
    </w:lvl>
    <w:lvl w:ilvl="8" w:tplc="FC642E7C">
      <w:start w:val="1"/>
      <w:numFmt w:val="lowerRoman"/>
      <w:lvlText w:val="%9."/>
      <w:lvlJc w:val="right"/>
      <w:pPr>
        <w:ind w:left="6480" w:hanging="180"/>
      </w:pPr>
    </w:lvl>
  </w:abstractNum>
  <w:abstractNum w:abstractNumId="15" w15:restartNumberingAfterBreak="0">
    <w:nsid w:val="7A0CCBDA"/>
    <w:multiLevelType w:val="hybridMultilevel"/>
    <w:tmpl w:val="A2A62DBC"/>
    <w:lvl w:ilvl="0" w:tplc="D39817CC">
      <w:start w:val="1"/>
      <w:numFmt w:val="decimal"/>
      <w:lvlText w:val="%1)"/>
      <w:lvlJc w:val="left"/>
      <w:pPr>
        <w:ind w:left="720" w:hanging="360"/>
      </w:pPr>
    </w:lvl>
    <w:lvl w:ilvl="1" w:tplc="5B6A5A60">
      <w:start w:val="1"/>
      <w:numFmt w:val="lowerLetter"/>
      <w:lvlText w:val="%2."/>
      <w:lvlJc w:val="left"/>
      <w:pPr>
        <w:ind w:left="1440" w:hanging="360"/>
      </w:pPr>
    </w:lvl>
    <w:lvl w:ilvl="2" w:tplc="740ECD08">
      <w:start w:val="1"/>
      <w:numFmt w:val="lowerRoman"/>
      <w:lvlText w:val="%3."/>
      <w:lvlJc w:val="right"/>
      <w:pPr>
        <w:ind w:left="2160" w:hanging="180"/>
      </w:pPr>
    </w:lvl>
    <w:lvl w:ilvl="3" w:tplc="299CB99A">
      <w:start w:val="1"/>
      <w:numFmt w:val="decimal"/>
      <w:lvlText w:val="%4."/>
      <w:lvlJc w:val="left"/>
      <w:pPr>
        <w:ind w:left="2880" w:hanging="360"/>
      </w:pPr>
    </w:lvl>
    <w:lvl w:ilvl="4" w:tplc="C03E967C">
      <w:start w:val="1"/>
      <w:numFmt w:val="lowerLetter"/>
      <w:lvlText w:val="%5."/>
      <w:lvlJc w:val="left"/>
      <w:pPr>
        <w:ind w:left="3600" w:hanging="360"/>
      </w:pPr>
    </w:lvl>
    <w:lvl w:ilvl="5" w:tplc="B2AA9748">
      <w:start w:val="1"/>
      <w:numFmt w:val="lowerRoman"/>
      <w:lvlText w:val="%6."/>
      <w:lvlJc w:val="right"/>
      <w:pPr>
        <w:ind w:left="4320" w:hanging="180"/>
      </w:pPr>
    </w:lvl>
    <w:lvl w:ilvl="6" w:tplc="19A8996C">
      <w:start w:val="1"/>
      <w:numFmt w:val="decimal"/>
      <w:lvlText w:val="%7."/>
      <w:lvlJc w:val="left"/>
      <w:pPr>
        <w:ind w:left="5040" w:hanging="360"/>
      </w:pPr>
    </w:lvl>
    <w:lvl w:ilvl="7" w:tplc="445045BA">
      <w:start w:val="1"/>
      <w:numFmt w:val="lowerLetter"/>
      <w:lvlText w:val="%8."/>
      <w:lvlJc w:val="left"/>
      <w:pPr>
        <w:ind w:left="5760" w:hanging="360"/>
      </w:pPr>
    </w:lvl>
    <w:lvl w:ilvl="8" w:tplc="46326BA2">
      <w:start w:val="1"/>
      <w:numFmt w:val="lowerRoman"/>
      <w:lvlText w:val="%9."/>
      <w:lvlJc w:val="right"/>
      <w:pPr>
        <w:ind w:left="6480" w:hanging="180"/>
      </w:pPr>
    </w:lvl>
  </w:abstractNum>
  <w:abstractNum w:abstractNumId="16" w15:restartNumberingAfterBreak="0">
    <w:nsid w:val="7EA807B0"/>
    <w:multiLevelType w:val="multilevel"/>
    <w:tmpl w:val="1936ABC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5498277">
    <w:abstractNumId w:val="7"/>
  </w:num>
  <w:num w:numId="2" w16cid:durableId="2116633707">
    <w:abstractNumId w:val="2"/>
  </w:num>
  <w:num w:numId="3" w16cid:durableId="426924864">
    <w:abstractNumId w:val="9"/>
  </w:num>
  <w:num w:numId="4" w16cid:durableId="1042167239">
    <w:abstractNumId w:val="15"/>
  </w:num>
  <w:num w:numId="5" w16cid:durableId="1139568756">
    <w:abstractNumId w:val="1"/>
  </w:num>
  <w:num w:numId="6" w16cid:durableId="1190991580">
    <w:abstractNumId w:val="16"/>
  </w:num>
  <w:num w:numId="7" w16cid:durableId="449280972">
    <w:abstractNumId w:val="11"/>
  </w:num>
  <w:num w:numId="8" w16cid:durableId="563832244">
    <w:abstractNumId w:val="14"/>
  </w:num>
  <w:num w:numId="9" w16cid:durableId="412699823">
    <w:abstractNumId w:val="13"/>
  </w:num>
  <w:num w:numId="10" w16cid:durableId="448815517">
    <w:abstractNumId w:val="0"/>
  </w:num>
  <w:num w:numId="11" w16cid:durableId="1050375056">
    <w:abstractNumId w:val="4"/>
  </w:num>
  <w:num w:numId="12" w16cid:durableId="1739985272">
    <w:abstractNumId w:val="10"/>
  </w:num>
  <w:num w:numId="13" w16cid:durableId="1352804215">
    <w:abstractNumId w:val="8"/>
  </w:num>
  <w:num w:numId="14" w16cid:durableId="1318339029">
    <w:abstractNumId w:val="12"/>
  </w:num>
  <w:num w:numId="15" w16cid:durableId="2099134412">
    <w:abstractNumId w:val="6"/>
  </w:num>
  <w:num w:numId="16" w16cid:durableId="1178496924">
    <w:abstractNumId w:val="3"/>
  </w:num>
  <w:num w:numId="17" w16cid:durableId="595014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EF"/>
    <w:rsid w:val="000159CC"/>
    <w:rsid w:val="000C68DB"/>
    <w:rsid w:val="000F6F6C"/>
    <w:rsid w:val="00135CA5"/>
    <w:rsid w:val="0014B6F7"/>
    <w:rsid w:val="0015415E"/>
    <w:rsid w:val="00191AAD"/>
    <w:rsid w:val="00210715"/>
    <w:rsid w:val="00310114"/>
    <w:rsid w:val="003532A6"/>
    <w:rsid w:val="003558A3"/>
    <w:rsid w:val="00402A01"/>
    <w:rsid w:val="004D6B1E"/>
    <w:rsid w:val="004F0B91"/>
    <w:rsid w:val="00523462"/>
    <w:rsid w:val="00525D37"/>
    <w:rsid w:val="00543577"/>
    <w:rsid w:val="00544BBB"/>
    <w:rsid w:val="0058289E"/>
    <w:rsid w:val="005D34FE"/>
    <w:rsid w:val="005D6BF7"/>
    <w:rsid w:val="006E1B07"/>
    <w:rsid w:val="00770369"/>
    <w:rsid w:val="00791CBA"/>
    <w:rsid w:val="007B3DDF"/>
    <w:rsid w:val="007C6DF8"/>
    <w:rsid w:val="00823F50"/>
    <w:rsid w:val="00827390"/>
    <w:rsid w:val="00855CFB"/>
    <w:rsid w:val="00864CFA"/>
    <w:rsid w:val="00866DFD"/>
    <w:rsid w:val="00892754"/>
    <w:rsid w:val="008D20BB"/>
    <w:rsid w:val="008F4A2D"/>
    <w:rsid w:val="008F6807"/>
    <w:rsid w:val="009C73CF"/>
    <w:rsid w:val="00A04FB6"/>
    <w:rsid w:val="00A079A9"/>
    <w:rsid w:val="00A1195C"/>
    <w:rsid w:val="00A8156F"/>
    <w:rsid w:val="00B1446C"/>
    <w:rsid w:val="00B94AFB"/>
    <w:rsid w:val="00BA0723"/>
    <w:rsid w:val="00C133FE"/>
    <w:rsid w:val="00C1742A"/>
    <w:rsid w:val="00C40224"/>
    <w:rsid w:val="00C4120E"/>
    <w:rsid w:val="00CE1DB9"/>
    <w:rsid w:val="00D01751"/>
    <w:rsid w:val="00D9721C"/>
    <w:rsid w:val="00DC0977"/>
    <w:rsid w:val="00DD6F50"/>
    <w:rsid w:val="00E64FAE"/>
    <w:rsid w:val="00E80439"/>
    <w:rsid w:val="00EB5ABA"/>
    <w:rsid w:val="00F16022"/>
    <w:rsid w:val="00F37310"/>
    <w:rsid w:val="00F75CEF"/>
    <w:rsid w:val="00F91DC6"/>
    <w:rsid w:val="01087E07"/>
    <w:rsid w:val="0191652E"/>
    <w:rsid w:val="019DA7D7"/>
    <w:rsid w:val="019F4C81"/>
    <w:rsid w:val="01B08758"/>
    <w:rsid w:val="01B874DE"/>
    <w:rsid w:val="01C9AFB5"/>
    <w:rsid w:val="02112BC2"/>
    <w:rsid w:val="026DF195"/>
    <w:rsid w:val="0275427D"/>
    <w:rsid w:val="02E56FBE"/>
    <w:rsid w:val="0354453F"/>
    <w:rsid w:val="035B1905"/>
    <w:rsid w:val="04189AC2"/>
    <w:rsid w:val="0479EBD4"/>
    <w:rsid w:val="04D6ED43"/>
    <w:rsid w:val="05A3178D"/>
    <w:rsid w:val="05C28642"/>
    <w:rsid w:val="05FBE730"/>
    <w:rsid w:val="075E56A3"/>
    <w:rsid w:val="07714A86"/>
    <w:rsid w:val="0876E5AE"/>
    <w:rsid w:val="08816965"/>
    <w:rsid w:val="097CE612"/>
    <w:rsid w:val="098CBDE2"/>
    <w:rsid w:val="0B6AE22E"/>
    <w:rsid w:val="0C5DB884"/>
    <w:rsid w:val="0C8B897E"/>
    <w:rsid w:val="0CA4DF94"/>
    <w:rsid w:val="0E552825"/>
    <w:rsid w:val="0ED7828C"/>
    <w:rsid w:val="0F3E8407"/>
    <w:rsid w:val="0F696888"/>
    <w:rsid w:val="0FB55A7B"/>
    <w:rsid w:val="100E157C"/>
    <w:rsid w:val="1070A41D"/>
    <w:rsid w:val="10A01E99"/>
    <w:rsid w:val="117850B7"/>
    <w:rsid w:val="11B46CFD"/>
    <w:rsid w:val="11CE98A8"/>
    <w:rsid w:val="1211C6F5"/>
    <w:rsid w:val="13A219BA"/>
    <w:rsid w:val="13FF148D"/>
    <w:rsid w:val="146403A3"/>
    <w:rsid w:val="14C3B78D"/>
    <w:rsid w:val="14CAB471"/>
    <w:rsid w:val="1505B81D"/>
    <w:rsid w:val="153362FD"/>
    <w:rsid w:val="15A920F1"/>
    <w:rsid w:val="15E531C7"/>
    <w:rsid w:val="16147DB4"/>
    <w:rsid w:val="1641DC16"/>
    <w:rsid w:val="174C148F"/>
    <w:rsid w:val="17A690AC"/>
    <w:rsid w:val="17DEE8E3"/>
    <w:rsid w:val="1835ECA6"/>
    <w:rsid w:val="19D9E863"/>
    <w:rsid w:val="1A218F5E"/>
    <w:rsid w:val="1B158427"/>
    <w:rsid w:val="1BF770AE"/>
    <w:rsid w:val="1C982D26"/>
    <w:rsid w:val="1D59C37B"/>
    <w:rsid w:val="1DB98513"/>
    <w:rsid w:val="1DE52C50"/>
    <w:rsid w:val="1EDEFA96"/>
    <w:rsid w:val="1F2F1170"/>
    <w:rsid w:val="1F379AE9"/>
    <w:rsid w:val="1F7433BA"/>
    <w:rsid w:val="20249355"/>
    <w:rsid w:val="2048EC11"/>
    <w:rsid w:val="21CFA64F"/>
    <w:rsid w:val="22BF5708"/>
    <w:rsid w:val="22FFE1AE"/>
    <w:rsid w:val="23808CD3"/>
    <w:rsid w:val="23AF3470"/>
    <w:rsid w:val="242B2E14"/>
    <w:rsid w:val="24B4DA6C"/>
    <w:rsid w:val="2521D466"/>
    <w:rsid w:val="252D980B"/>
    <w:rsid w:val="259B6E5B"/>
    <w:rsid w:val="259CC37A"/>
    <w:rsid w:val="2647D543"/>
    <w:rsid w:val="26A31772"/>
    <w:rsid w:val="27446DC0"/>
    <w:rsid w:val="27695482"/>
    <w:rsid w:val="277EBDFA"/>
    <w:rsid w:val="283EE7D3"/>
    <w:rsid w:val="28D8509B"/>
    <w:rsid w:val="28F4164D"/>
    <w:rsid w:val="29130237"/>
    <w:rsid w:val="296F2332"/>
    <w:rsid w:val="297A4E11"/>
    <w:rsid w:val="29A23036"/>
    <w:rsid w:val="2A04CD85"/>
    <w:rsid w:val="2A283326"/>
    <w:rsid w:val="2AAAEC9F"/>
    <w:rsid w:val="2B241BF0"/>
    <w:rsid w:val="2B4F368D"/>
    <w:rsid w:val="2B54D383"/>
    <w:rsid w:val="2B8B9EB8"/>
    <w:rsid w:val="2BCF38B4"/>
    <w:rsid w:val="2C1B10D1"/>
    <w:rsid w:val="2D2AF473"/>
    <w:rsid w:val="2D799A28"/>
    <w:rsid w:val="2E5A38CB"/>
    <w:rsid w:val="2E5BBCB2"/>
    <w:rsid w:val="2E5BFB7A"/>
    <w:rsid w:val="2E5FD984"/>
    <w:rsid w:val="2F4036BA"/>
    <w:rsid w:val="2F62FFA5"/>
    <w:rsid w:val="2F9D58C3"/>
    <w:rsid w:val="3079DB93"/>
    <w:rsid w:val="309774AA"/>
    <w:rsid w:val="30A2568D"/>
    <w:rsid w:val="30D189B6"/>
    <w:rsid w:val="312E1BE6"/>
    <w:rsid w:val="31382D05"/>
    <w:rsid w:val="3139AA71"/>
    <w:rsid w:val="31877C0B"/>
    <w:rsid w:val="31BB69E7"/>
    <w:rsid w:val="31F1B155"/>
    <w:rsid w:val="32D407FE"/>
    <w:rsid w:val="32D4F985"/>
    <w:rsid w:val="3354A72E"/>
    <w:rsid w:val="3470C9E6"/>
    <w:rsid w:val="3578CD37"/>
    <w:rsid w:val="35FBE0BD"/>
    <w:rsid w:val="360D1B94"/>
    <w:rsid w:val="368F1154"/>
    <w:rsid w:val="373D1827"/>
    <w:rsid w:val="376CEE43"/>
    <w:rsid w:val="39302914"/>
    <w:rsid w:val="39866727"/>
    <w:rsid w:val="3BDC47FF"/>
    <w:rsid w:val="3C739FC9"/>
    <w:rsid w:val="3C7BDBCB"/>
    <w:rsid w:val="3CEC2BA6"/>
    <w:rsid w:val="3E998658"/>
    <w:rsid w:val="3EA3C4AC"/>
    <w:rsid w:val="3EAAF50A"/>
    <w:rsid w:val="3F038199"/>
    <w:rsid w:val="3F0B6F1F"/>
    <w:rsid w:val="3FB81014"/>
    <w:rsid w:val="3FCD2637"/>
    <w:rsid w:val="3FCF53B4"/>
    <w:rsid w:val="3FE2AFB6"/>
    <w:rsid w:val="4033CB75"/>
    <w:rsid w:val="407FA392"/>
    <w:rsid w:val="40AB6D65"/>
    <w:rsid w:val="4168F698"/>
    <w:rsid w:val="41A65E2D"/>
    <w:rsid w:val="433416C8"/>
    <w:rsid w:val="435FFA1A"/>
    <w:rsid w:val="447258DA"/>
    <w:rsid w:val="4550CEBC"/>
    <w:rsid w:val="46C1FF7B"/>
    <w:rsid w:val="472DDB32"/>
    <w:rsid w:val="47BF0FBF"/>
    <w:rsid w:val="48411C52"/>
    <w:rsid w:val="48621E84"/>
    <w:rsid w:val="48A1F607"/>
    <w:rsid w:val="48A24469"/>
    <w:rsid w:val="496DA813"/>
    <w:rsid w:val="4974087D"/>
    <w:rsid w:val="49C6907E"/>
    <w:rsid w:val="4A22AC48"/>
    <w:rsid w:val="4B1B17F2"/>
    <w:rsid w:val="4B2F1550"/>
    <w:rsid w:val="4B8C5940"/>
    <w:rsid w:val="4BBD349F"/>
    <w:rsid w:val="4BEC875F"/>
    <w:rsid w:val="4BFC170F"/>
    <w:rsid w:val="4C0260EA"/>
    <w:rsid w:val="4D1EEA6F"/>
    <w:rsid w:val="4D5BE0A1"/>
    <w:rsid w:val="4E798B2D"/>
    <w:rsid w:val="4E7D9FEF"/>
    <w:rsid w:val="50028673"/>
    <w:rsid w:val="504AA733"/>
    <w:rsid w:val="50A4BC3A"/>
    <w:rsid w:val="50FF5E9D"/>
    <w:rsid w:val="510DB1D6"/>
    <w:rsid w:val="51206FB2"/>
    <w:rsid w:val="515DE853"/>
    <w:rsid w:val="522F51C4"/>
    <w:rsid w:val="52A3F9BE"/>
    <w:rsid w:val="534EA0CB"/>
    <w:rsid w:val="5350FD45"/>
    <w:rsid w:val="5403EEEE"/>
    <w:rsid w:val="54272882"/>
    <w:rsid w:val="54450052"/>
    <w:rsid w:val="546A1AE3"/>
    <w:rsid w:val="54A5F273"/>
    <w:rsid w:val="54B6BB24"/>
    <w:rsid w:val="551F2CEB"/>
    <w:rsid w:val="55F95354"/>
    <w:rsid w:val="5669B1D0"/>
    <w:rsid w:val="575D5269"/>
    <w:rsid w:val="5827FB54"/>
    <w:rsid w:val="58877440"/>
    <w:rsid w:val="58AF4CD2"/>
    <w:rsid w:val="58B9EAD1"/>
    <w:rsid w:val="58E3C234"/>
    <w:rsid w:val="59687454"/>
    <w:rsid w:val="59980287"/>
    <w:rsid w:val="59A3BAD7"/>
    <w:rsid w:val="5AF0AD5C"/>
    <w:rsid w:val="5B430E0B"/>
    <w:rsid w:val="5B9349E6"/>
    <w:rsid w:val="5B98A509"/>
    <w:rsid w:val="5BD258BE"/>
    <w:rsid w:val="5C1E478F"/>
    <w:rsid w:val="5CA8A4AC"/>
    <w:rsid w:val="5D167AFC"/>
    <w:rsid w:val="5D2DBB1F"/>
    <w:rsid w:val="5D60C994"/>
    <w:rsid w:val="5D82BDF5"/>
    <w:rsid w:val="5DA214E1"/>
    <w:rsid w:val="5E374C70"/>
    <w:rsid w:val="5E6E0347"/>
    <w:rsid w:val="5EFC99F5"/>
    <w:rsid w:val="5F09F980"/>
    <w:rsid w:val="603305CF"/>
    <w:rsid w:val="6035C986"/>
    <w:rsid w:val="605D1896"/>
    <w:rsid w:val="6081761C"/>
    <w:rsid w:val="60986A56"/>
    <w:rsid w:val="60E3F56F"/>
    <w:rsid w:val="60E86647"/>
    <w:rsid w:val="6161DB8D"/>
    <w:rsid w:val="61A32A01"/>
    <w:rsid w:val="62BDA816"/>
    <w:rsid w:val="63201024"/>
    <w:rsid w:val="63420A3A"/>
    <w:rsid w:val="634841CE"/>
    <w:rsid w:val="6353C0DF"/>
    <w:rsid w:val="6407CF52"/>
    <w:rsid w:val="64B3B691"/>
    <w:rsid w:val="64CF58A6"/>
    <w:rsid w:val="657D1650"/>
    <w:rsid w:val="65DEE6F3"/>
    <w:rsid w:val="6623A32B"/>
    <w:rsid w:val="6665F1C3"/>
    <w:rsid w:val="67318DC1"/>
    <w:rsid w:val="67741A8C"/>
    <w:rsid w:val="68CD5E22"/>
    <w:rsid w:val="68F8A01A"/>
    <w:rsid w:val="690CE62E"/>
    <w:rsid w:val="698F51A8"/>
    <w:rsid w:val="69D174FD"/>
    <w:rsid w:val="6ADD295B"/>
    <w:rsid w:val="6AECB380"/>
    <w:rsid w:val="6AFCFEE8"/>
    <w:rsid w:val="6B70E5A2"/>
    <w:rsid w:val="6BCB2C9F"/>
    <w:rsid w:val="6BE2CA50"/>
    <w:rsid w:val="6BF4455A"/>
    <w:rsid w:val="6D371AF3"/>
    <w:rsid w:val="6D7EE41E"/>
    <w:rsid w:val="6E495E00"/>
    <w:rsid w:val="6E8CA4B2"/>
    <w:rsid w:val="6E8D74A6"/>
    <w:rsid w:val="6ED59E2B"/>
    <w:rsid w:val="6F35336D"/>
    <w:rsid w:val="6F8107AC"/>
    <w:rsid w:val="70856060"/>
    <w:rsid w:val="71F41690"/>
    <w:rsid w:val="726386DE"/>
    <w:rsid w:val="7284738D"/>
    <w:rsid w:val="72AD2684"/>
    <w:rsid w:val="730791C7"/>
    <w:rsid w:val="733633EE"/>
    <w:rsid w:val="737B62DA"/>
    <w:rsid w:val="73E0ED8A"/>
    <w:rsid w:val="74097F81"/>
    <w:rsid w:val="74AFFEDB"/>
    <w:rsid w:val="7545EB9D"/>
    <w:rsid w:val="759B27A0"/>
    <w:rsid w:val="75A5870C"/>
    <w:rsid w:val="75CCBA52"/>
    <w:rsid w:val="760CE2C5"/>
    <w:rsid w:val="765D9718"/>
    <w:rsid w:val="766C0F43"/>
    <w:rsid w:val="76F3AED2"/>
    <w:rsid w:val="770FB1EF"/>
    <w:rsid w:val="7736F801"/>
    <w:rsid w:val="774832D8"/>
    <w:rsid w:val="7807DFA4"/>
    <w:rsid w:val="78F8E8F7"/>
    <w:rsid w:val="792295A1"/>
    <w:rsid w:val="7A2E1691"/>
    <w:rsid w:val="7A4C0574"/>
    <w:rsid w:val="7AFA502B"/>
    <w:rsid w:val="7B19A621"/>
    <w:rsid w:val="7B87EB4E"/>
    <w:rsid w:val="7BDE22E2"/>
    <w:rsid w:val="7C13B675"/>
    <w:rsid w:val="7C4EA655"/>
    <w:rsid w:val="7C5408CA"/>
    <w:rsid w:val="7C649B2C"/>
    <w:rsid w:val="7CA949BE"/>
    <w:rsid w:val="7D2387CB"/>
    <w:rsid w:val="7D55B2CD"/>
    <w:rsid w:val="7D88DB62"/>
    <w:rsid w:val="7DB46491"/>
    <w:rsid w:val="7DE192B1"/>
    <w:rsid w:val="7E43B487"/>
    <w:rsid w:val="7E918DA5"/>
    <w:rsid w:val="7EBC08AC"/>
    <w:rsid w:val="7F74970E"/>
    <w:rsid w:val="7FF4A12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0329"/>
  <w15:chartTrackingRefBased/>
  <w15:docId w15:val="{23F8D94A-F118-4426-A6DD-BF9ECFE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EF"/>
    <w:pPr>
      <w:ind w:left="720"/>
      <w:contextualSpacing/>
    </w:pPr>
  </w:style>
  <w:style w:type="character" w:styleId="PlaceholderText">
    <w:name w:val="Placeholder Text"/>
    <w:basedOn w:val="DefaultParagraphFont"/>
    <w:uiPriority w:val="99"/>
    <w:semiHidden/>
    <w:rsid w:val="00F75CEF"/>
    <w:rPr>
      <w:color w:val="808080"/>
    </w:rPr>
  </w:style>
  <w:style w:type="paragraph" w:styleId="Header">
    <w:name w:val="header"/>
    <w:basedOn w:val="Normal"/>
    <w:link w:val="HeaderChar"/>
    <w:uiPriority w:val="99"/>
    <w:unhideWhenUsed/>
    <w:rsid w:val="00A11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5C"/>
  </w:style>
  <w:style w:type="paragraph" w:styleId="Footer">
    <w:name w:val="footer"/>
    <w:basedOn w:val="Normal"/>
    <w:link w:val="FooterChar"/>
    <w:uiPriority w:val="99"/>
    <w:unhideWhenUsed/>
    <w:rsid w:val="00A11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5C"/>
  </w:style>
  <w:style w:type="table" w:styleId="TableGrid">
    <w:name w:val="Table Grid"/>
    <w:basedOn w:val="TableNormal"/>
    <w:uiPriority w:val="39"/>
    <w:rsid w:val="00DD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769">
      <w:bodyDiv w:val="1"/>
      <w:marLeft w:val="0"/>
      <w:marRight w:val="0"/>
      <w:marTop w:val="0"/>
      <w:marBottom w:val="0"/>
      <w:divBdr>
        <w:top w:val="none" w:sz="0" w:space="0" w:color="auto"/>
        <w:left w:val="none" w:sz="0" w:space="0" w:color="auto"/>
        <w:bottom w:val="none" w:sz="0" w:space="0" w:color="auto"/>
        <w:right w:val="none" w:sz="0" w:space="0" w:color="auto"/>
      </w:divBdr>
    </w:div>
    <w:div w:id="59377114">
      <w:bodyDiv w:val="1"/>
      <w:marLeft w:val="0"/>
      <w:marRight w:val="0"/>
      <w:marTop w:val="0"/>
      <w:marBottom w:val="0"/>
      <w:divBdr>
        <w:top w:val="none" w:sz="0" w:space="0" w:color="auto"/>
        <w:left w:val="none" w:sz="0" w:space="0" w:color="auto"/>
        <w:bottom w:val="none" w:sz="0" w:space="0" w:color="auto"/>
        <w:right w:val="none" w:sz="0" w:space="0" w:color="auto"/>
      </w:divBdr>
    </w:div>
    <w:div w:id="88819268">
      <w:bodyDiv w:val="1"/>
      <w:marLeft w:val="0"/>
      <w:marRight w:val="0"/>
      <w:marTop w:val="0"/>
      <w:marBottom w:val="0"/>
      <w:divBdr>
        <w:top w:val="none" w:sz="0" w:space="0" w:color="auto"/>
        <w:left w:val="none" w:sz="0" w:space="0" w:color="auto"/>
        <w:bottom w:val="none" w:sz="0" w:space="0" w:color="auto"/>
        <w:right w:val="none" w:sz="0" w:space="0" w:color="auto"/>
      </w:divBdr>
    </w:div>
    <w:div w:id="100419760">
      <w:bodyDiv w:val="1"/>
      <w:marLeft w:val="0"/>
      <w:marRight w:val="0"/>
      <w:marTop w:val="0"/>
      <w:marBottom w:val="0"/>
      <w:divBdr>
        <w:top w:val="none" w:sz="0" w:space="0" w:color="auto"/>
        <w:left w:val="none" w:sz="0" w:space="0" w:color="auto"/>
        <w:bottom w:val="none" w:sz="0" w:space="0" w:color="auto"/>
        <w:right w:val="none" w:sz="0" w:space="0" w:color="auto"/>
      </w:divBdr>
    </w:div>
    <w:div w:id="113595272">
      <w:bodyDiv w:val="1"/>
      <w:marLeft w:val="0"/>
      <w:marRight w:val="0"/>
      <w:marTop w:val="0"/>
      <w:marBottom w:val="0"/>
      <w:divBdr>
        <w:top w:val="none" w:sz="0" w:space="0" w:color="auto"/>
        <w:left w:val="none" w:sz="0" w:space="0" w:color="auto"/>
        <w:bottom w:val="none" w:sz="0" w:space="0" w:color="auto"/>
        <w:right w:val="none" w:sz="0" w:space="0" w:color="auto"/>
      </w:divBdr>
    </w:div>
    <w:div w:id="206185310">
      <w:bodyDiv w:val="1"/>
      <w:marLeft w:val="0"/>
      <w:marRight w:val="0"/>
      <w:marTop w:val="0"/>
      <w:marBottom w:val="0"/>
      <w:divBdr>
        <w:top w:val="none" w:sz="0" w:space="0" w:color="auto"/>
        <w:left w:val="none" w:sz="0" w:space="0" w:color="auto"/>
        <w:bottom w:val="none" w:sz="0" w:space="0" w:color="auto"/>
        <w:right w:val="none" w:sz="0" w:space="0" w:color="auto"/>
      </w:divBdr>
    </w:div>
    <w:div w:id="251355833">
      <w:bodyDiv w:val="1"/>
      <w:marLeft w:val="0"/>
      <w:marRight w:val="0"/>
      <w:marTop w:val="0"/>
      <w:marBottom w:val="0"/>
      <w:divBdr>
        <w:top w:val="none" w:sz="0" w:space="0" w:color="auto"/>
        <w:left w:val="none" w:sz="0" w:space="0" w:color="auto"/>
        <w:bottom w:val="none" w:sz="0" w:space="0" w:color="auto"/>
        <w:right w:val="none" w:sz="0" w:space="0" w:color="auto"/>
      </w:divBdr>
    </w:div>
    <w:div w:id="278492829">
      <w:bodyDiv w:val="1"/>
      <w:marLeft w:val="0"/>
      <w:marRight w:val="0"/>
      <w:marTop w:val="0"/>
      <w:marBottom w:val="0"/>
      <w:divBdr>
        <w:top w:val="none" w:sz="0" w:space="0" w:color="auto"/>
        <w:left w:val="none" w:sz="0" w:space="0" w:color="auto"/>
        <w:bottom w:val="none" w:sz="0" w:space="0" w:color="auto"/>
        <w:right w:val="none" w:sz="0" w:space="0" w:color="auto"/>
      </w:divBdr>
    </w:div>
    <w:div w:id="420950698">
      <w:bodyDiv w:val="1"/>
      <w:marLeft w:val="0"/>
      <w:marRight w:val="0"/>
      <w:marTop w:val="0"/>
      <w:marBottom w:val="0"/>
      <w:divBdr>
        <w:top w:val="none" w:sz="0" w:space="0" w:color="auto"/>
        <w:left w:val="none" w:sz="0" w:space="0" w:color="auto"/>
        <w:bottom w:val="none" w:sz="0" w:space="0" w:color="auto"/>
        <w:right w:val="none" w:sz="0" w:space="0" w:color="auto"/>
      </w:divBdr>
    </w:div>
    <w:div w:id="447044615">
      <w:bodyDiv w:val="1"/>
      <w:marLeft w:val="0"/>
      <w:marRight w:val="0"/>
      <w:marTop w:val="0"/>
      <w:marBottom w:val="0"/>
      <w:divBdr>
        <w:top w:val="none" w:sz="0" w:space="0" w:color="auto"/>
        <w:left w:val="none" w:sz="0" w:space="0" w:color="auto"/>
        <w:bottom w:val="none" w:sz="0" w:space="0" w:color="auto"/>
        <w:right w:val="none" w:sz="0" w:space="0" w:color="auto"/>
      </w:divBdr>
    </w:div>
    <w:div w:id="488332629">
      <w:bodyDiv w:val="1"/>
      <w:marLeft w:val="0"/>
      <w:marRight w:val="0"/>
      <w:marTop w:val="0"/>
      <w:marBottom w:val="0"/>
      <w:divBdr>
        <w:top w:val="none" w:sz="0" w:space="0" w:color="auto"/>
        <w:left w:val="none" w:sz="0" w:space="0" w:color="auto"/>
        <w:bottom w:val="none" w:sz="0" w:space="0" w:color="auto"/>
        <w:right w:val="none" w:sz="0" w:space="0" w:color="auto"/>
      </w:divBdr>
    </w:div>
    <w:div w:id="488600824">
      <w:bodyDiv w:val="1"/>
      <w:marLeft w:val="0"/>
      <w:marRight w:val="0"/>
      <w:marTop w:val="0"/>
      <w:marBottom w:val="0"/>
      <w:divBdr>
        <w:top w:val="none" w:sz="0" w:space="0" w:color="auto"/>
        <w:left w:val="none" w:sz="0" w:space="0" w:color="auto"/>
        <w:bottom w:val="none" w:sz="0" w:space="0" w:color="auto"/>
        <w:right w:val="none" w:sz="0" w:space="0" w:color="auto"/>
      </w:divBdr>
    </w:div>
    <w:div w:id="552429899">
      <w:bodyDiv w:val="1"/>
      <w:marLeft w:val="0"/>
      <w:marRight w:val="0"/>
      <w:marTop w:val="0"/>
      <w:marBottom w:val="0"/>
      <w:divBdr>
        <w:top w:val="none" w:sz="0" w:space="0" w:color="auto"/>
        <w:left w:val="none" w:sz="0" w:space="0" w:color="auto"/>
        <w:bottom w:val="none" w:sz="0" w:space="0" w:color="auto"/>
        <w:right w:val="none" w:sz="0" w:space="0" w:color="auto"/>
      </w:divBdr>
    </w:div>
    <w:div w:id="578640476">
      <w:bodyDiv w:val="1"/>
      <w:marLeft w:val="0"/>
      <w:marRight w:val="0"/>
      <w:marTop w:val="0"/>
      <w:marBottom w:val="0"/>
      <w:divBdr>
        <w:top w:val="none" w:sz="0" w:space="0" w:color="auto"/>
        <w:left w:val="none" w:sz="0" w:space="0" w:color="auto"/>
        <w:bottom w:val="none" w:sz="0" w:space="0" w:color="auto"/>
        <w:right w:val="none" w:sz="0" w:space="0" w:color="auto"/>
      </w:divBdr>
    </w:div>
    <w:div w:id="702485907">
      <w:bodyDiv w:val="1"/>
      <w:marLeft w:val="0"/>
      <w:marRight w:val="0"/>
      <w:marTop w:val="0"/>
      <w:marBottom w:val="0"/>
      <w:divBdr>
        <w:top w:val="none" w:sz="0" w:space="0" w:color="auto"/>
        <w:left w:val="none" w:sz="0" w:space="0" w:color="auto"/>
        <w:bottom w:val="none" w:sz="0" w:space="0" w:color="auto"/>
        <w:right w:val="none" w:sz="0" w:space="0" w:color="auto"/>
      </w:divBdr>
    </w:div>
    <w:div w:id="1145125031">
      <w:bodyDiv w:val="1"/>
      <w:marLeft w:val="0"/>
      <w:marRight w:val="0"/>
      <w:marTop w:val="0"/>
      <w:marBottom w:val="0"/>
      <w:divBdr>
        <w:top w:val="none" w:sz="0" w:space="0" w:color="auto"/>
        <w:left w:val="none" w:sz="0" w:space="0" w:color="auto"/>
        <w:bottom w:val="none" w:sz="0" w:space="0" w:color="auto"/>
        <w:right w:val="none" w:sz="0" w:space="0" w:color="auto"/>
      </w:divBdr>
    </w:div>
    <w:div w:id="1177958685">
      <w:bodyDiv w:val="1"/>
      <w:marLeft w:val="0"/>
      <w:marRight w:val="0"/>
      <w:marTop w:val="0"/>
      <w:marBottom w:val="0"/>
      <w:divBdr>
        <w:top w:val="none" w:sz="0" w:space="0" w:color="auto"/>
        <w:left w:val="none" w:sz="0" w:space="0" w:color="auto"/>
        <w:bottom w:val="none" w:sz="0" w:space="0" w:color="auto"/>
        <w:right w:val="none" w:sz="0" w:space="0" w:color="auto"/>
      </w:divBdr>
    </w:div>
    <w:div w:id="1297293961">
      <w:bodyDiv w:val="1"/>
      <w:marLeft w:val="0"/>
      <w:marRight w:val="0"/>
      <w:marTop w:val="0"/>
      <w:marBottom w:val="0"/>
      <w:divBdr>
        <w:top w:val="none" w:sz="0" w:space="0" w:color="auto"/>
        <w:left w:val="none" w:sz="0" w:space="0" w:color="auto"/>
        <w:bottom w:val="none" w:sz="0" w:space="0" w:color="auto"/>
        <w:right w:val="none" w:sz="0" w:space="0" w:color="auto"/>
      </w:divBdr>
    </w:div>
    <w:div w:id="1308314770">
      <w:bodyDiv w:val="1"/>
      <w:marLeft w:val="0"/>
      <w:marRight w:val="0"/>
      <w:marTop w:val="0"/>
      <w:marBottom w:val="0"/>
      <w:divBdr>
        <w:top w:val="none" w:sz="0" w:space="0" w:color="auto"/>
        <w:left w:val="none" w:sz="0" w:space="0" w:color="auto"/>
        <w:bottom w:val="none" w:sz="0" w:space="0" w:color="auto"/>
        <w:right w:val="none" w:sz="0" w:space="0" w:color="auto"/>
      </w:divBdr>
    </w:div>
    <w:div w:id="1395085737">
      <w:bodyDiv w:val="1"/>
      <w:marLeft w:val="0"/>
      <w:marRight w:val="0"/>
      <w:marTop w:val="0"/>
      <w:marBottom w:val="0"/>
      <w:divBdr>
        <w:top w:val="none" w:sz="0" w:space="0" w:color="auto"/>
        <w:left w:val="none" w:sz="0" w:space="0" w:color="auto"/>
        <w:bottom w:val="none" w:sz="0" w:space="0" w:color="auto"/>
        <w:right w:val="none" w:sz="0" w:space="0" w:color="auto"/>
      </w:divBdr>
    </w:div>
    <w:div w:id="1542089743">
      <w:bodyDiv w:val="1"/>
      <w:marLeft w:val="0"/>
      <w:marRight w:val="0"/>
      <w:marTop w:val="0"/>
      <w:marBottom w:val="0"/>
      <w:divBdr>
        <w:top w:val="none" w:sz="0" w:space="0" w:color="auto"/>
        <w:left w:val="none" w:sz="0" w:space="0" w:color="auto"/>
        <w:bottom w:val="none" w:sz="0" w:space="0" w:color="auto"/>
        <w:right w:val="none" w:sz="0" w:space="0" w:color="auto"/>
      </w:divBdr>
    </w:div>
    <w:div w:id="1555046461">
      <w:bodyDiv w:val="1"/>
      <w:marLeft w:val="0"/>
      <w:marRight w:val="0"/>
      <w:marTop w:val="0"/>
      <w:marBottom w:val="0"/>
      <w:divBdr>
        <w:top w:val="none" w:sz="0" w:space="0" w:color="auto"/>
        <w:left w:val="none" w:sz="0" w:space="0" w:color="auto"/>
        <w:bottom w:val="none" w:sz="0" w:space="0" w:color="auto"/>
        <w:right w:val="none" w:sz="0" w:space="0" w:color="auto"/>
      </w:divBdr>
    </w:div>
    <w:div w:id="1617251503">
      <w:bodyDiv w:val="1"/>
      <w:marLeft w:val="0"/>
      <w:marRight w:val="0"/>
      <w:marTop w:val="0"/>
      <w:marBottom w:val="0"/>
      <w:divBdr>
        <w:top w:val="none" w:sz="0" w:space="0" w:color="auto"/>
        <w:left w:val="none" w:sz="0" w:space="0" w:color="auto"/>
        <w:bottom w:val="none" w:sz="0" w:space="0" w:color="auto"/>
        <w:right w:val="none" w:sz="0" w:space="0" w:color="auto"/>
      </w:divBdr>
    </w:div>
    <w:div w:id="1665859631">
      <w:bodyDiv w:val="1"/>
      <w:marLeft w:val="0"/>
      <w:marRight w:val="0"/>
      <w:marTop w:val="0"/>
      <w:marBottom w:val="0"/>
      <w:divBdr>
        <w:top w:val="none" w:sz="0" w:space="0" w:color="auto"/>
        <w:left w:val="none" w:sz="0" w:space="0" w:color="auto"/>
        <w:bottom w:val="none" w:sz="0" w:space="0" w:color="auto"/>
        <w:right w:val="none" w:sz="0" w:space="0" w:color="auto"/>
      </w:divBdr>
    </w:div>
    <w:div w:id="1680765501">
      <w:bodyDiv w:val="1"/>
      <w:marLeft w:val="0"/>
      <w:marRight w:val="0"/>
      <w:marTop w:val="0"/>
      <w:marBottom w:val="0"/>
      <w:divBdr>
        <w:top w:val="none" w:sz="0" w:space="0" w:color="auto"/>
        <w:left w:val="none" w:sz="0" w:space="0" w:color="auto"/>
        <w:bottom w:val="none" w:sz="0" w:space="0" w:color="auto"/>
        <w:right w:val="none" w:sz="0" w:space="0" w:color="auto"/>
      </w:divBdr>
    </w:div>
    <w:div w:id="1694333907">
      <w:bodyDiv w:val="1"/>
      <w:marLeft w:val="0"/>
      <w:marRight w:val="0"/>
      <w:marTop w:val="0"/>
      <w:marBottom w:val="0"/>
      <w:divBdr>
        <w:top w:val="none" w:sz="0" w:space="0" w:color="auto"/>
        <w:left w:val="none" w:sz="0" w:space="0" w:color="auto"/>
        <w:bottom w:val="none" w:sz="0" w:space="0" w:color="auto"/>
        <w:right w:val="none" w:sz="0" w:space="0" w:color="auto"/>
      </w:divBdr>
    </w:div>
    <w:div w:id="1749424030">
      <w:bodyDiv w:val="1"/>
      <w:marLeft w:val="0"/>
      <w:marRight w:val="0"/>
      <w:marTop w:val="0"/>
      <w:marBottom w:val="0"/>
      <w:divBdr>
        <w:top w:val="none" w:sz="0" w:space="0" w:color="auto"/>
        <w:left w:val="none" w:sz="0" w:space="0" w:color="auto"/>
        <w:bottom w:val="none" w:sz="0" w:space="0" w:color="auto"/>
        <w:right w:val="none" w:sz="0" w:space="0" w:color="auto"/>
      </w:divBdr>
    </w:div>
    <w:div w:id="1776511708">
      <w:bodyDiv w:val="1"/>
      <w:marLeft w:val="0"/>
      <w:marRight w:val="0"/>
      <w:marTop w:val="0"/>
      <w:marBottom w:val="0"/>
      <w:divBdr>
        <w:top w:val="none" w:sz="0" w:space="0" w:color="auto"/>
        <w:left w:val="none" w:sz="0" w:space="0" w:color="auto"/>
        <w:bottom w:val="none" w:sz="0" w:space="0" w:color="auto"/>
        <w:right w:val="none" w:sz="0" w:space="0" w:color="auto"/>
      </w:divBdr>
    </w:div>
    <w:div w:id="1845441017">
      <w:bodyDiv w:val="1"/>
      <w:marLeft w:val="0"/>
      <w:marRight w:val="0"/>
      <w:marTop w:val="0"/>
      <w:marBottom w:val="0"/>
      <w:divBdr>
        <w:top w:val="none" w:sz="0" w:space="0" w:color="auto"/>
        <w:left w:val="none" w:sz="0" w:space="0" w:color="auto"/>
        <w:bottom w:val="none" w:sz="0" w:space="0" w:color="auto"/>
        <w:right w:val="none" w:sz="0" w:space="0" w:color="auto"/>
      </w:divBdr>
    </w:div>
    <w:div w:id="1907377137">
      <w:bodyDiv w:val="1"/>
      <w:marLeft w:val="0"/>
      <w:marRight w:val="0"/>
      <w:marTop w:val="0"/>
      <w:marBottom w:val="0"/>
      <w:divBdr>
        <w:top w:val="none" w:sz="0" w:space="0" w:color="auto"/>
        <w:left w:val="none" w:sz="0" w:space="0" w:color="auto"/>
        <w:bottom w:val="none" w:sz="0" w:space="0" w:color="auto"/>
        <w:right w:val="none" w:sz="0" w:space="0" w:color="auto"/>
      </w:divBdr>
    </w:div>
    <w:div w:id="1934585723">
      <w:bodyDiv w:val="1"/>
      <w:marLeft w:val="0"/>
      <w:marRight w:val="0"/>
      <w:marTop w:val="0"/>
      <w:marBottom w:val="0"/>
      <w:divBdr>
        <w:top w:val="none" w:sz="0" w:space="0" w:color="auto"/>
        <w:left w:val="none" w:sz="0" w:space="0" w:color="auto"/>
        <w:bottom w:val="none" w:sz="0" w:space="0" w:color="auto"/>
        <w:right w:val="none" w:sz="0" w:space="0" w:color="auto"/>
      </w:divBdr>
    </w:div>
    <w:div w:id="1937210544">
      <w:bodyDiv w:val="1"/>
      <w:marLeft w:val="0"/>
      <w:marRight w:val="0"/>
      <w:marTop w:val="0"/>
      <w:marBottom w:val="0"/>
      <w:divBdr>
        <w:top w:val="none" w:sz="0" w:space="0" w:color="auto"/>
        <w:left w:val="none" w:sz="0" w:space="0" w:color="auto"/>
        <w:bottom w:val="none" w:sz="0" w:space="0" w:color="auto"/>
        <w:right w:val="none" w:sz="0" w:space="0" w:color="auto"/>
      </w:divBdr>
    </w:div>
    <w:div w:id="19562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openxmlformats.org/officeDocument/2006/relationships/endnotes" Target="endnotes.xm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theme" Target="theme/theme1.xml"/><Relationship Id="rId20" Type="http://schemas.openxmlformats.org/officeDocument/2006/relationships/chart" Target="charts/chart9.xml"/><Relationship Id="rId41"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oari\Downloads\Projects\Finance\Tata%20Steel%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Table!$F$4</c:f>
              <c:strCache>
                <c:ptCount val="1"/>
                <c:pt idx="0">
                  <c:v>(1) Current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Table!$G$4:$K$4</c:f>
              <c:numCache>
                <c:formatCode>General</c:formatCode>
                <c:ptCount val="5"/>
                <c:pt idx="0">
                  <c:v>0.73108298716764308</c:v>
                </c:pt>
                <c:pt idx="1">
                  <c:v>0.5830554200954331</c:v>
                </c:pt>
                <c:pt idx="2">
                  <c:v>0.96086086019502726</c:v>
                </c:pt>
                <c:pt idx="3">
                  <c:v>0.64652379394453741</c:v>
                </c:pt>
                <c:pt idx="4">
                  <c:v>0.66561744807794121</c:v>
                </c:pt>
              </c:numCache>
            </c:numRef>
          </c:val>
          <c:smooth val="0"/>
          <c:extLst>
            <c:ext xmlns:c16="http://schemas.microsoft.com/office/drawing/2014/chart" uri="{C3380CC4-5D6E-409C-BE32-E72D297353CC}">
              <c16:uniqueId val="{00000000-5411-4946-8FD2-B5FB707811DF}"/>
            </c:ext>
          </c:extLst>
        </c:ser>
        <c:dLbls>
          <c:dLblPos val="ctr"/>
          <c:showLegendKey val="0"/>
          <c:showVal val="1"/>
          <c:showCatName val="0"/>
          <c:showSerName val="0"/>
          <c:showPercent val="0"/>
          <c:showBubbleSize val="0"/>
        </c:dLbls>
        <c:marker val="1"/>
        <c:smooth val="0"/>
        <c:axId val="505741231"/>
        <c:axId val="369612927"/>
      </c:lineChart>
      <c:dateAx>
        <c:axId val="505741231"/>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69612927"/>
        <c:crosses val="autoZero"/>
        <c:auto val="1"/>
        <c:lblOffset val="100"/>
        <c:baseTimeUnit val="years"/>
      </c:dateAx>
      <c:valAx>
        <c:axId val="369612927"/>
        <c:scaling>
          <c:orientation val="minMax"/>
        </c:scaling>
        <c:delete val="1"/>
        <c:axPos val="l"/>
        <c:numFmt formatCode="General" sourceLinked="1"/>
        <c:majorTickMark val="none"/>
        <c:minorTickMark val="none"/>
        <c:tickLblPos val="nextTo"/>
        <c:crossAx val="50574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Table!$F$28</c:f>
              <c:strCache>
                <c:ptCount val="1"/>
                <c:pt idx="0">
                  <c:v>(7) Return on equity</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Table!$G$28:$K$28</c:f>
              <c:numCache>
                <c:formatCode>General</c:formatCode>
                <c:ptCount val="5"/>
                <c:pt idx="0">
                  <c:v>0.99147669686275586</c:v>
                </c:pt>
                <c:pt idx="1">
                  <c:v>1.1737543023713011</c:v>
                </c:pt>
                <c:pt idx="2">
                  <c:v>0.99581353828570729</c:v>
                </c:pt>
                <c:pt idx="3">
                  <c:v>0.83349709480551448</c:v>
                </c:pt>
                <c:pt idx="4">
                  <c:v>1.0701092789965565</c:v>
                </c:pt>
              </c:numCache>
            </c:numRef>
          </c:val>
          <c:smooth val="0"/>
          <c:extLst>
            <c:ext xmlns:c16="http://schemas.microsoft.com/office/drawing/2014/chart" uri="{C3380CC4-5D6E-409C-BE32-E72D297353CC}">
              <c16:uniqueId val="{00000000-4BE8-4D6D-AD4D-9CCF3600F030}"/>
            </c:ext>
          </c:extLst>
        </c:ser>
        <c:dLbls>
          <c:dLblPos val="ctr"/>
          <c:showLegendKey val="0"/>
          <c:showVal val="1"/>
          <c:showCatName val="0"/>
          <c:showSerName val="0"/>
          <c:showPercent val="0"/>
          <c:showBubbleSize val="0"/>
        </c:dLbls>
        <c:marker val="1"/>
        <c:smooth val="0"/>
        <c:axId val="749581503"/>
        <c:axId val="641516751"/>
      </c:lineChart>
      <c:dateAx>
        <c:axId val="74958150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16751"/>
        <c:crosses val="autoZero"/>
        <c:auto val="1"/>
        <c:lblOffset val="100"/>
        <c:baseTimeUnit val="years"/>
      </c:dateAx>
      <c:valAx>
        <c:axId val="641516751"/>
        <c:scaling>
          <c:orientation val="minMax"/>
        </c:scaling>
        <c:delete val="1"/>
        <c:axPos val="l"/>
        <c:numFmt formatCode="General" sourceLinked="1"/>
        <c:majorTickMark val="none"/>
        <c:minorTickMark val="none"/>
        <c:tickLblPos val="nextTo"/>
        <c:crossAx val="749581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Table!$F$31</c:f>
              <c:strCache>
                <c:ptCount val="1"/>
                <c:pt idx="0">
                  <c:v>(8) Return on capital employed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Table!$G$31:$K$31</c:f>
              <c:numCache>
                <c:formatCode>General</c:formatCode>
                <c:ptCount val="5"/>
                <c:pt idx="0">
                  <c:v>0.13660142621896973</c:v>
                </c:pt>
                <c:pt idx="1">
                  <c:v>0.2799298413588433</c:v>
                </c:pt>
                <c:pt idx="2">
                  <c:v>0.14897662483605434</c:v>
                </c:pt>
                <c:pt idx="3">
                  <c:v>9.4925120434640672E-2</c:v>
                </c:pt>
                <c:pt idx="4">
                  <c:v>0.17126231773443676</c:v>
                </c:pt>
              </c:numCache>
            </c:numRef>
          </c:val>
          <c:smooth val="0"/>
          <c:extLst>
            <c:ext xmlns:c16="http://schemas.microsoft.com/office/drawing/2014/chart" uri="{C3380CC4-5D6E-409C-BE32-E72D297353CC}">
              <c16:uniqueId val="{00000000-2645-404B-8968-A5D370F35B07}"/>
            </c:ext>
          </c:extLst>
        </c:ser>
        <c:dLbls>
          <c:dLblPos val="ctr"/>
          <c:showLegendKey val="0"/>
          <c:showVal val="1"/>
          <c:showCatName val="0"/>
          <c:showSerName val="0"/>
          <c:showPercent val="0"/>
          <c:showBubbleSize val="0"/>
        </c:dLbls>
        <c:marker val="1"/>
        <c:smooth val="0"/>
        <c:axId val="749567583"/>
        <c:axId val="641517743"/>
      </c:lineChart>
      <c:dateAx>
        <c:axId val="74956758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17743"/>
        <c:crosses val="autoZero"/>
        <c:auto val="1"/>
        <c:lblOffset val="100"/>
        <c:baseTimeUnit val="years"/>
      </c:dateAx>
      <c:valAx>
        <c:axId val="641517743"/>
        <c:scaling>
          <c:orientation val="minMax"/>
        </c:scaling>
        <c:delete val="1"/>
        <c:axPos val="l"/>
        <c:numFmt formatCode="General" sourceLinked="1"/>
        <c:majorTickMark val="none"/>
        <c:minorTickMark val="none"/>
        <c:tickLblPos val="nextTo"/>
        <c:crossAx val="7495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Table!$F$34</c:f>
              <c:strCache>
                <c:ptCount val="1"/>
                <c:pt idx="0">
                  <c:v>(1) Inventory Turnover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Table!$G$34:$K$34</c:f>
              <c:numCache>
                <c:formatCode>General</c:formatCode>
                <c:ptCount val="5"/>
                <c:pt idx="0">
                  <c:v>4.6035298305043142</c:v>
                </c:pt>
                <c:pt idx="1">
                  <c:v>4.087908550035138</c:v>
                </c:pt>
                <c:pt idx="2">
                  <c:v>4.0181325577952487</c:v>
                </c:pt>
                <c:pt idx="3">
                  <c:v>3.5544401966138723</c:v>
                </c:pt>
                <c:pt idx="4">
                  <c:v>3.6916379958480614</c:v>
                </c:pt>
              </c:numCache>
            </c:numRef>
          </c:val>
          <c:smooth val="0"/>
          <c:extLst>
            <c:ext xmlns:c16="http://schemas.microsoft.com/office/drawing/2014/chart" uri="{C3380CC4-5D6E-409C-BE32-E72D297353CC}">
              <c16:uniqueId val="{00000000-7376-4E39-9491-C737CE8765D3}"/>
            </c:ext>
          </c:extLst>
        </c:ser>
        <c:dLbls>
          <c:dLblPos val="ctr"/>
          <c:showLegendKey val="0"/>
          <c:showVal val="1"/>
          <c:showCatName val="0"/>
          <c:showSerName val="0"/>
          <c:showPercent val="0"/>
          <c:showBubbleSize val="0"/>
        </c:dLbls>
        <c:marker val="1"/>
        <c:smooth val="0"/>
        <c:axId val="749577183"/>
        <c:axId val="641537087"/>
      </c:lineChart>
      <c:dateAx>
        <c:axId val="74957718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37087"/>
        <c:crosses val="autoZero"/>
        <c:auto val="1"/>
        <c:lblOffset val="100"/>
        <c:baseTimeUnit val="years"/>
      </c:dateAx>
      <c:valAx>
        <c:axId val="641537087"/>
        <c:scaling>
          <c:orientation val="minMax"/>
        </c:scaling>
        <c:delete val="1"/>
        <c:axPos val="l"/>
        <c:numFmt formatCode="General" sourceLinked="1"/>
        <c:majorTickMark val="none"/>
        <c:minorTickMark val="none"/>
        <c:tickLblPos val="nextTo"/>
        <c:crossAx val="749577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Table!$F$38</c:f>
              <c:strCache>
                <c:ptCount val="1"/>
                <c:pt idx="0">
                  <c:v>(2) Inventory turnover period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Table!$G$38:$K$38</c:f>
              <c:numCache>
                <c:formatCode>General</c:formatCode>
                <c:ptCount val="5"/>
                <c:pt idx="0">
                  <c:v>79.286984865701299</c:v>
                </c:pt>
                <c:pt idx="1">
                  <c:v>89.2877116825088</c:v>
                </c:pt>
                <c:pt idx="2">
                  <c:v>90.83821769192096</c:v>
                </c:pt>
                <c:pt idx="3">
                  <c:v>102.68846282678106</c:v>
                </c:pt>
                <c:pt idx="4">
                  <c:v>98.872099704930676</c:v>
                </c:pt>
              </c:numCache>
            </c:numRef>
          </c:val>
          <c:smooth val="0"/>
          <c:extLst>
            <c:ext xmlns:c16="http://schemas.microsoft.com/office/drawing/2014/chart" uri="{C3380CC4-5D6E-409C-BE32-E72D297353CC}">
              <c16:uniqueId val="{00000000-9C05-413B-8D42-171B3C2B3000}"/>
            </c:ext>
          </c:extLst>
        </c:ser>
        <c:dLbls>
          <c:dLblPos val="ctr"/>
          <c:showLegendKey val="0"/>
          <c:showVal val="1"/>
          <c:showCatName val="0"/>
          <c:showSerName val="0"/>
          <c:showPercent val="0"/>
          <c:showBubbleSize val="0"/>
        </c:dLbls>
        <c:marker val="1"/>
        <c:smooth val="0"/>
        <c:axId val="749569983"/>
        <c:axId val="641543535"/>
      </c:lineChart>
      <c:dateAx>
        <c:axId val="74956998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43535"/>
        <c:crosses val="autoZero"/>
        <c:auto val="1"/>
        <c:lblOffset val="100"/>
        <c:baseTimeUnit val="years"/>
      </c:dateAx>
      <c:valAx>
        <c:axId val="641543535"/>
        <c:scaling>
          <c:orientation val="minMax"/>
        </c:scaling>
        <c:delete val="1"/>
        <c:axPos val="l"/>
        <c:numFmt formatCode="General" sourceLinked="1"/>
        <c:majorTickMark val="none"/>
        <c:minorTickMark val="none"/>
        <c:tickLblPos val="nextTo"/>
        <c:crossAx val="749569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Table!$F$40</c:f>
              <c:strCache>
                <c:ptCount val="1"/>
                <c:pt idx="0">
                  <c:v>(3) Debtors tunover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Table!$G$40:$K$40</c:f>
              <c:numCache>
                <c:formatCode>General</c:formatCode>
                <c:ptCount val="5"/>
                <c:pt idx="0">
                  <c:v>38.904170976565204</c:v>
                </c:pt>
                <c:pt idx="1">
                  <c:v>41.897666458836675</c:v>
                </c:pt>
                <c:pt idx="2">
                  <c:v>43.197034382372649</c:v>
                </c:pt>
                <c:pt idx="3">
                  <c:v>50.791437828025401</c:v>
                </c:pt>
                <c:pt idx="4">
                  <c:v>43.604887191347061</c:v>
                </c:pt>
              </c:numCache>
            </c:numRef>
          </c:val>
          <c:smooth val="0"/>
          <c:extLst>
            <c:ext xmlns:c16="http://schemas.microsoft.com/office/drawing/2014/chart" uri="{C3380CC4-5D6E-409C-BE32-E72D297353CC}">
              <c16:uniqueId val="{00000000-AD0D-491F-BA6E-4ECF7D87F9B2}"/>
            </c:ext>
          </c:extLst>
        </c:ser>
        <c:dLbls>
          <c:dLblPos val="ctr"/>
          <c:showLegendKey val="0"/>
          <c:showVal val="1"/>
          <c:showCatName val="0"/>
          <c:showSerName val="0"/>
          <c:showPercent val="0"/>
          <c:showBubbleSize val="0"/>
        </c:dLbls>
        <c:marker val="1"/>
        <c:smooth val="0"/>
        <c:axId val="749570943"/>
        <c:axId val="641533119"/>
      </c:lineChart>
      <c:dateAx>
        <c:axId val="74957094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33119"/>
        <c:crosses val="autoZero"/>
        <c:auto val="1"/>
        <c:lblOffset val="100"/>
        <c:baseTimeUnit val="years"/>
      </c:dateAx>
      <c:valAx>
        <c:axId val="641533119"/>
        <c:scaling>
          <c:orientation val="minMax"/>
        </c:scaling>
        <c:delete val="1"/>
        <c:axPos val="l"/>
        <c:numFmt formatCode="General" sourceLinked="1"/>
        <c:majorTickMark val="none"/>
        <c:minorTickMark val="none"/>
        <c:tickLblPos val="nextTo"/>
        <c:crossAx val="749570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Table!$F$43</c:f>
              <c:strCache>
                <c:ptCount val="1"/>
                <c:pt idx="0">
                  <c:v>(4) Average collection period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Table!$G$43:$K$43</c:f>
              <c:numCache>
                <c:formatCode>General</c:formatCode>
                <c:ptCount val="5"/>
                <c:pt idx="0">
                  <c:v>9.3820274494440685</c:v>
                </c:pt>
                <c:pt idx="1">
                  <c:v>8.7117023655387253</c:v>
                </c:pt>
                <c:pt idx="2">
                  <c:v>8.4496541306304351</c:v>
                </c:pt>
                <c:pt idx="3">
                  <c:v>7.1862505888463435</c:v>
                </c:pt>
                <c:pt idx="4">
                  <c:v>8.370621357149858</c:v>
                </c:pt>
              </c:numCache>
            </c:numRef>
          </c:val>
          <c:smooth val="0"/>
          <c:extLst>
            <c:ext xmlns:c16="http://schemas.microsoft.com/office/drawing/2014/chart" uri="{C3380CC4-5D6E-409C-BE32-E72D297353CC}">
              <c16:uniqueId val="{00000000-F2BA-4C60-B4E5-3548BDB58367}"/>
            </c:ext>
          </c:extLst>
        </c:ser>
        <c:dLbls>
          <c:dLblPos val="ctr"/>
          <c:showLegendKey val="0"/>
          <c:showVal val="1"/>
          <c:showCatName val="0"/>
          <c:showSerName val="0"/>
          <c:showPercent val="0"/>
          <c:showBubbleSize val="0"/>
        </c:dLbls>
        <c:marker val="1"/>
        <c:smooth val="0"/>
        <c:axId val="504294255"/>
        <c:axId val="369914607"/>
      </c:lineChart>
      <c:dateAx>
        <c:axId val="50429425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69914607"/>
        <c:crosses val="autoZero"/>
        <c:auto val="1"/>
        <c:lblOffset val="100"/>
        <c:baseTimeUnit val="years"/>
      </c:dateAx>
      <c:valAx>
        <c:axId val="369914607"/>
        <c:scaling>
          <c:orientation val="minMax"/>
        </c:scaling>
        <c:delete val="1"/>
        <c:axPos val="l"/>
        <c:numFmt formatCode="General" sourceLinked="1"/>
        <c:majorTickMark val="none"/>
        <c:minorTickMark val="none"/>
        <c:tickLblPos val="nextTo"/>
        <c:crossAx val="50429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Table!$F$45</c:f>
              <c:strCache>
                <c:ptCount val="1"/>
                <c:pt idx="0">
                  <c:v>(5) Working capital turnover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Table!$G$45:$K$45</c:f>
              <c:numCache>
                <c:formatCode>General</c:formatCode>
                <c:ptCount val="5"/>
                <c:pt idx="0">
                  <c:v>-10.330628822737108</c:v>
                </c:pt>
                <c:pt idx="1">
                  <c:v>-5.7662503139628329</c:v>
                </c:pt>
                <c:pt idx="2">
                  <c:v>-71.491748950561686</c:v>
                </c:pt>
                <c:pt idx="3">
                  <c:v>-5.5383499491856414</c:v>
                </c:pt>
                <c:pt idx="4">
                  <c:v>-8.2507995377462446</c:v>
                </c:pt>
              </c:numCache>
            </c:numRef>
          </c:val>
          <c:smooth val="0"/>
          <c:extLst>
            <c:ext xmlns:c16="http://schemas.microsoft.com/office/drawing/2014/chart" uri="{C3380CC4-5D6E-409C-BE32-E72D297353CC}">
              <c16:uniqueId val="{00000000-977E-4709-B239-1CD197DD3BDD}"/>
            </c:ext>
          </c:extLst>
        </c:ser>
        <c:dLbls>
          <c:dLblPos val="ctr"/>
          <c:showLegendKey val="0"/>
          <c:showVal val="1"/>
          <c:showCatName val="0"/>
          <c:showSerName val="0"/>
          <c:showPercent val="0"/>
          <c:showBubbleSize val="0"/>
        </c:dLbls>
        <c:marker val="1"/>
        <c:smooth val="0"/>
        <c:axId val="634762815"/>
        <c:axId val="641538575"/>
      </c:lineChart>
      <c:dateAx>
        <c:axId val="634762815"/>
        <c:scaling>
          <c:orientation val="minMax"/>
        </c:scaling>
        <c:delete val="1"/>
        <c:axPos val="b"/>
        <c:numFmt formatCode="mmm\-yy" sourceLinked="1"/>
        <c:majorTickMark val="out"/>
        <c:minorTickMark val="none"/>
        <c:tickLblPos val="nextTo"/>
        <c:crossAx val="641538575"/>
        <c:crosses val="autoZero"/>
        <c:auto val="1"/>
        <c:lblOffset val="100"/>
        <c:baseTimeUnit val="years"/>
      </c:dateAx>
      <c:valAx>
        <c:axId val="641538575"/>
        <c:scaling>
          <c:orientation val="minMax"/>
        </c:scaling>
        <c:delete val="1"/>
        <c:axPos val="l"/>
        <c:numFmt formatCode="General" sourceLinked="1"/>
        <c:majorTickMark val="none"/>
        <c:minorTickMark val="none"/>
        <c:tickLblPos val="nextTo"/>
        <c:crossAx val="634762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Table!$F$47</c:f>
              <c:strCache>
                <c:ptCount val="1"/>
                <c:pt idx="0">
                  <c:v>(6) Fixed assets turnover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Table!$G$47:$K$47</c:f>
              <c:numCache>
                <c:formatCode>General</c:formatCode>
                <c:ptCount val="5"/>
                <c:pt idx="0">
                  <c:v>0.66066010640946971</c:v>
                </c:pt>
                <c:pt idx="1">
                  <c:v>0.75470240720173476</c:v>
                </c:pt>
                <c:pt idx="2">
                  <c:v>0.59753515537470003</c:v>
                </c:pt>
                <c:pt idx="3">
                  <c:v>0.48185686724711546</c:v>
                </c:pt>
                <c:pt idx="4">
                  <c:v>0.66950974671081909</c:v>
                </c:pt>
              </c:numCache>
            </c:numRef>
          </c:val>
          <c:smooth val="0"/>
          <c:extLst>
            <c:ext xmlns:c16="http://schemas.microsoft.com/office/drawing/2014/chart" uri="{C3380CC4-5D6E-409C-BE32-E72D297353CC}">
              <c16:uniqueId val="{00000000-0132-4674-8BBE-8857719478D6}"/>
            </c:ext>
          </c:extLst>
        </c:ser>
        <c:dLbls>
          <c:dLblPos val="ctr"/>
          <c:showLegendKey val="0"/>
          <c:showVal val="1"/>
          <c:showCatName val="0"/>
          <c:showSerName val="0"/>
          <c:showPercent val="0"/>
          <c:showBubbleSize val="0"/>
        </c:dLbls>
        <c:marker val="1"/>
        <c:smooth val="0"/>
        <c:axId val="367365263"/>
        <c:axId val="641516255"/>
      </c:lineChart>
      <c:dateAx>
        <c:axId val="36736526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16255"/>
        <c:crosses val="autoZero"/>
        <c:auto val="1"/>
        <c:lblOffset val="100"/>
        <c:baseTimeUnit val="years"/>
      </c:dateAx>
      <c:valAx>
        <c:axId val="641516255"/>
        <c:scaling>
          <c:orientation val="minMax"/>
        </c:scaling>
        <c:delete val="1"/>
        <c:axPos val="l"/>
        <c:numFmt formatCode="General" sourceLinked="1"/>
        <c:majorTickMark val="none"/>
        <c:minorTickMark val="none"/>
        <c:tickLblPos val="nextTo"/>
        <c:crossAx val="367365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Table!$F$50</c:f>
              <c:strCache>
                <c:ptCount val="1"/>
                <c:pt idx="0">
                  <c:v>(7) Total assets turnover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Table!$G$50:$K$50</c:f>
              <c:numCache>
                <c:formatCode>General</c:formatCode>
                <c:ptCount val="5"/>
                <c:pt idx="0">
                  <c:v>0.56609455435330258</c:v>
                </c:pt>
                <c:pt idx="1">
                  <c:v>0.64113627320209354</c:v>
                </c:pt>
                <c:pt idx="2">
                  <c:v>0.50853501333656748</c:v>
                </c:pt>
                <c:pt idx="3">
                  <c:v>0.41985325553164377</c:v>
                </c:pt>
                <c:pt idx="4">
                  <c:v>0.53775708486299412</c:v>
                </c:pt>
              </c:numCache>
            </c:numRef>
          </c:val>
          <c:smooth val="0"/>
          <c:extLst>
            <c:ext xmlns:c16="http://schemas.microsoft.com/office/drawing/2014/chart" uri="{C3380CC4-5D6E-409C-BE32-E72D297353CC}">
              <c16:uniqueId val="{00000000-C7FF-4BBF-9CCD-25C8372AB7C0}"/>
            </c:ext>
          </c:extLst>
        </c:ser>
        <c:dLbls>
          <c:dLblPos val="ctr"/>
          <c:showLegendKey val="0"/>
          <c:showVal val="1"/>
          <c:showCatName val="0"/>
          <c:showSerName val="0"/>
          <c:showPercent val="0"/>
          <c:showBubbleSize val="0"/>
        </c:dLbls>
        <c:marker val="1"/>
        <c:smooth val="0"/>
        <c:axId val="1742155599"/>
        <c:axId val="513120767"/>
      </c:lineChart>
      <c:dateAx>
        <c:axId val="1742155599"/>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20767"/>
        <c:crosses val="autoZero"/>
        <c:auto val="1"/>
        <c:lblOffset val="100"/>
        <c:baseTimeUnit val="years"/>
      </c:dateAx>
      <c:valAx>
        <c:axId val="513120767"/>
        <c:scaling>
          <c:orientation val="minMax"/>
        </c:scaling>
        <c:delete val="1"/>
        <c:axPos val="l"/>
        <c:numFmt formatCode="General" sourceLinked="1"/>
        <c:majorTickMark val="none"/>
        <c:minorTickMark val="none"/>
        <c:tickLblPos val="nextTo"/>
        <c:crossAx val="1742155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Table!$F$53</c:f>
              <c:strCache>
                <c:ptCount val="1"/>
                <c:pt idx="0">
                  <c:v>(1) Debt equity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Table!$G$53:$K$53</c:f>
              <c:numCache>
                <c:formatCode>General</c:formatCode>
                <c:ptCount val="5"/>
                <c:pt idx="0">
                  <c:v>0.2832323089647576</c:v>
                </c:pt>
                <c:pt idx="1">
                  <c:v>0.2573108706938228</c:v>
                </c:pt>
                <c:pt idx="2">
                  <c:v>0.35277033860353102</c:v>
                </c:pt>
                <c:pt idx="3">
                  <c:v>0.58605205898036461</c:v>
                </c:pt>
                <c:pt idx="4">
                  <c:v>0.45385851421430873</c:v>
                </c:pt>
              </c:numCache>
            </c:numRef>
          </c:val>
          <c:smooth val="0"/>
          <c:extLst>
            <c:ext xmlns:c16="http://schemas.microsoft.com/office/drawing/2014/chart" uri="{C3380CC4-5D6E-409C-BE32-E72D297353CC}">
              <c16:uniqueId val="{00000000-91A5-47FA-A919-E5FB3B46A9BD}"/>
            </c:ext>
          </c:extLst>
        </c:ser>
        <c:dLbls>
          <c:dLblPos val="ctr"/>
          <c:showLegendKey val="0"/>
          <c:showVal val="1"/>
          <c:showCatName val="0"/>
          <c:showSerName val="0"/>
          <c:showPercent val="0"/>
          <c:showBubbleSize val="0"/>
        </c:dLbls>
        <c:marker val="1"/>
        <c:smooth val="0"/>
        <c:axId val="758379087"/>
        <c:axId val="641254271"/>
      </c:lineChart>
      <c:dateAx>
        <c:axId val="75837908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254271"/>
        <c:crosses val="autoZero"/>
        <c:auto val="1"/>
        <c:lblOffset val="100"/>
        <c:baseTimeUnit val="years"/>
      </c:dateAx>
      <c:valAx>
        <c:axId val="641254271"/>
        <c:scaling>
          <c:orientation val="minMax"/>
        </c:scaling>
        <c:delete val="1"/>
        <c:axPos val="l"/>
        <c:numFmt formatCode="General" sourceLinked="1"/>
        <c:majorTickMark val="none"/>
        <c:minorTickMark val="none"/>
        <c:tickLblPos val="nextTo"/>
        <c:crossAx val="758379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Table!$F$6</c:f>
              <c:strCache>
                <c:ptCount val="1"/>
                <c:pt idx="0">
                  <c:v>(2) Quick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Table!$G$6:$K$6</c:f>
              <c:numCache>
                <c:formatCode>General</c:formatCode>
                <c:ptCount val="5"/>
                <c:pt idx="0">
                  <c:v>0.28326280813053289</c:v>
                </c:pt>
                <c:pt idx="1">
                  <c:v>0.21143512427040206</c:v>
                </c:pt>
                <c:pt idx="2">
                  <c:v>0.53324076414479371</c:v>
                </c:pt>
                <c:pt idx="3">
                  <c:v>0.29938389377836372</c:v>
                </c:pt>
                <c:pt idx="4">
                  <c:v>0.22584664555465911</c:v>
                </c:pt>
              </c:numCache>
            </c:numRef>
          </c:val>
          <c:smooth val="0"/>
          <c:extLst>
            <c:ext xmlns:c16="http://schemas.microsoft.com/office/drawing/2014/chart" uri="{C3380CC4-5D6E-409C-BE32-E72D297353CC}">
              <c16:uniqueId val="{00000000-72AF-4FEB-9BDA-6516EEB7BD0C}"/>
            </c:ext>
          </c:extLst>
        </c:ser>
        <c:dLbls>
          <c:dLblPos val="ctr"/>
          <c:showLegendKey val="0"/>
          <c:showVal val="1"/>
          <c:showCatName val="0"/>
          <c:showSerName val="0"/>
          <c:showPercent val="0"/>
          <c:showBubbleSize val="0"/>
        </c:dLbls>
        <c:marker val="1"/>
        <c:smooth val="0"/>
        <c:axId val="505744591"/>
        <c:axId val="513114319"/>
      </c:lineChart>
      <c:dateAx>
        <c:axId val="505744591"/>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14319"/>
        <c:crosses val="autoZero"/>
        <c:auto val="1"/>
        <c:lblOffset val="100"/>
        <c:baseTimeUnit val="years"/>
      </c:dateAx>
      <c:valAx>
        <c:axId val="513114319"/>
        <c:scaling>
          <c:orientation val="minMax"/>
        </c:scaling>
        <c:delete val="1"/>
        <c:axPos val="l"/>
        <c:numFmt formatCode="General" sourceLinked="1"/>
        <c:majorTickMark val="none"/>
        <c:minorTickMark val="none"/>
        <c:tickLblPos val="nextTo"/>
        <c:crossAx val="505744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Table!$F$55</c:f>
              <c:strCache>
                <c:ptCount val="1"/>
                <c:pt idx="0">
                  <c:v>(2) Total debt to assets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Table!$G$55:$K$55</c:f>
              <c:numCache>
                <c:formatCode>General</c:formatCode>
                <c:ptCount val="5"/>
                <c:pt idx="0">
                  <c:v>0.16330372603066443</c:v>
                </c:pt>
                <c:pt idx="1">
                  <c:v>0.14539402490839295</c:v>
                </c:pt>
                <c:pt idx="2">
                  <c:v>0.18452500632580263</c:v>
                </c:pt>
                <c:pt idx="3">
                  <c:v>0.29055872178783315</c:v>
                </c:pt>
                <c:pt idx="4">
                  <c:v>0.23255891924820052</c:v>
                </c:pt>
              </c:numCache>
            </c:numRef>
          </c:val>
          <c:smooth val="0"/>
          <c:extLst>
            <c:ext xmlns:c16="http://schemas.microsoft.com/office/drawing/2014/chart" uri="{C3380CC4-5D6E-409C-BE32-E72D297353CC}">
              <c16:uniqueId val="{00000000-0A9B-490D-9C90-C674B64F3A27}"/>
            </c:ext>
          </c:extLst>
        </c:ser>
        <c:dLbls>
          <c:dLblPos val="ctr"/>
          <c:showLegendKey val="0"/>
          <c:showVal val="1"/>
          <c:showCatName val="0"/>
          <c:showSerName val="0"/>
          <c:showPercent val="0"/>
          <c:showBubbleSize val="0"/>
        </c:dLbls>
        <c:marker val="1"/>
        <c:smooth val="0"/>
        <c:axId val="758405487"/>
        <c:axId val="641535599"/>
      </c:lineChart>
      <c:dateAx>
        <c:axId val="75840548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35599"/>
        <c:crosses val="autoZero"/>
        <c:auto val="1"/>
        <c:lblOffset val="100"/>
        <c:baseTimeUnit val="years"/>
      </c:dateAx>
      <c:valAx>
        <c:axId val="641535599"/>
        <c:scaling>
          <c:orientation val="minMax"/>
        </c:scaling>
        <c:delete val="1"/>
        <c:axPos val="l"/>
        <c:numFmt formatCode="General" sourceLinked="1"/>
        <c:majorTickMark val="none"/>
        <c:minorTickMark val="none"/>
        <c:tickLblPos val="nextTo"/>
        <c:crossAx val="75840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Table!$F$57</c:f>
              <c:strCache>
                <c:ptCount val="1"/>
                <c:pt idx="0">
                  <c:v>(3) Proprietary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Table!$G$57:$K$57</c:f>
              <c:numCache>
                <c:formatCode>General</c:formatCode>
                <c:ptCount val="5"/>
                <c:pt idx="0">
                  <c:v>0.57657167230516848</c:v>
                </c:pt>
                <c:pt idx="1">
                  <c:v>0.56505201088608115</c:v>
                </c:pt>
                <c:pt idx="2">
                  <c:v>0.52307404034097449</c:v>
                </c:pt>
                <c:pt idx="3">
                  <c:v>0.49578995131142123</c:v>
                </c:pt>
                <c:pt idx="4">
                  <c:v>0.5124040024913753</c:v>
                </c:pt>
              </c:numCache>
            </c:numRef>
          </c:val>
          <c:smooth val="0"/>
          <c:extLst>
            <c:ext xmlns:c16="http://schemas.microsoft.com/office/drawing/2014/chart" uri="{C3380CC4-5D6E-409C-BE32-E72D297353CC}">
              <c16:uniqueId val="{00000000-54AC-4D37-93A6-22F0F3C354A4}"/>
            </c:ext>
          </c:extLst>
        </c:ser>
        <c:dLbls>
          <c:dLblPos val="ctr"/>
          <c:showLegendKey val="0"/>
          <c:showVal val="1"/>
          <c:showCatName val="0"/>
          <c:showSerName val="0"/>
          <c:showPercent val="0"/>
          <c:showBubbleSize val="0"/>
        </c:dLbls>
        <c:marker val="1"/>
        <c:smooth val="0"/>
        <c:axId val="758380527"/>
        <c:axId val="641262207"/>
      </c:lineChart>
      <c:dateAx>
        <c:axId val="75838052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262207"/>
        <c:crosses val="autoZero"/>
        <c:auto val="1"/>
        <c:lblOffset val="100"/>
        <c:baseTimeUnit val="years"/>
      </c:dateAx>
      <c:valAx>
        <c:axId val="641262207"/>
        <c:scaling>
          <c:orientation val="minMax"/>
        </c:scaling>
        <c:delete val="1"/>
        <c:axPos val="l"/>
        <c:numFmt formatCode="General" sourceLinked="1"/>
        <c:majorTickMark val="none"/>
        <c:minorTickMark val="none"/>
        <c:tickLblPos val="nextTo"/>
        <c:crossAx val="758380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Table!$F$59</c:f>
              <c:strCache>
                <c:ptCount val="1"/>
                <c:pt idx="0">
                  <c:v>(4) Interest coverage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Table!$G$59:$K$59</c:f>
              <c:numCache>
                <c:formatCode>General</c:formatCode>
                <c:ptCount val="5"/>
                <c:pt idx="0">
                  <c:v>6.748917497771707</c:v>
                </c:pt>
                <c:pt idx="1">
                  <c:v>16.875655425345979</c:v>
                </c:pt>
                <c:pt idx="2">
                  <c:v>4.9349177057136933</c:v>
                </c:pt>
                <c:pt idx="3">
                  <c:v>3.7431648196475757</c:v>
                </c:pt>
                <c:pt idx="4">
                  <c:v>6.7875038072234544</c:v>
                </c:pt>
              </c:numCache>
            </c:numRef>
          </c:val>
          <c:smooth val="0"/>
          <c:extLst>
            <c:ext xmlns:c16="http://schemas.microsoft.com/office/drawing/2014/chart" uri="{C3380CC4-5D6E-409C-BE32-E72D297353CC}">
              <c16:uniqueId val="{00000000-065A-4DF6-830E-6687D0D4A732}"/>
            </c:ext>
          </c:extLst>
        </c:ser>
        <c:dLbls>
          <c:dLblPos val="ctr"/>
          <c:showLegendKey val="0"/>
          <c:showVal val="1"/>
          <c:showCatName val="0"/>
          <c:showSerName val="0"/>
          <c:showPercent val="0"/>
          <c:showBubbleSize val="0"/>
        </c:dLbls>
        <c:marker val="1"/>
        <c:smooth val="0"/>
        <c:axId val="761654927"/>
        <c:axId val="516649423"/>
      </c:lineChart>
      <c:dateAx>
        <c:axId val="76165492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6649423"/>
        <c:crosses val="autoZero"/>
        <c:auto val="1"/>
        <c:lblOffset val="100"/>
        <c:baseTimeUnit val="years"/>
      </c:dateAx>
      <c:valAx>
        <c:axId val="516649423"/>
        <c:scaling>
          <c:orientation val="minMax"/>
        </c:scaling>
        <c:delete val="1"/>
        <c:axPos val="l"/>
        <c:numFmt formatCode="General" sourceLinked="1"/>
        <c:majorTickMark val="none"/>
        <c:minorTickMark val="none"/>
        <c:tickLblPos val="nextTo"/>
        <c:crossAx val="761654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Table!$F$61</c:f>
              <c:strCache>
                <c:ptCount val="1"/>
                <c:pt idx="0">
                  <c:v>(1) Divident Yield </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Table!$G$61:$K$61</c:f>
              <c:numCache>
                <c:formatCode>General</c:formatCode>
                <c:ptCount val="5"/>
                <c:pt idx="0">
                  <c:v>344.49760765550241</c:v>
                </c:pt>
                <c:pt idx="1">
                  <c:v>39.014687882496943</c:v>
                </c:pt>
                <c:pt idx="2">
                  <c:v>30.793865861920306</c:v>
                </c:pt>
                <c:pt idx="3">
                  <c:v>37.091988130563799</c:v>
                </c:pt>
                <c:pt idx="4">
                  <c:v>24.95201535508637</c:v>
                </c:pt>
              </c:numCache>
            </c:numRef>
          </c:val>
          <c:smooth val="0"/>
          <c:extLst>
            <c:ext xmlns:c16="http://schemas.microsoft.com/office/drawing/2014/chart" uri="{C3380CC4-5D6E-409C-BE32-E72D297353CC}">
              <c16:uniqueId val="{00000000-CC4C-4E87-8EAC-BE1E600565F7}"/>
            </c:ext>
          </c:extLst>
        </c:ser>
        <c:dLbls>
          <c:dLblPos val="ctr"/>
          <c:showLegendKey val="0"/>
          <c:showVal val="1"/>
          <c:showCatName val="0"/>
          <c:showSerName val="0"/>
          <c:showPercent val="0"/>
          <c:showBubbleSize val="0"/>
        </c:dLbls>
        <c:marker val="1"/>
        <c:smooth val="0"/>
        <c:axId val="761656367"/>
        <c:axId val="516649919"/>
      </c:lineChart>
      <c:dateAx>
        <c:axId val="76165636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6649919"/>
        <c:crosses val="autoZero"/>
        <c:auto val="1"/>
        <c:lblOffset val="100"/>
        <c:baseTimeUnit val="years"/>
      </c:dateAx>
      <c:valAx>
        <c:axId val="516649919"/>
        <c:scaling>
          <c:orientation val="minMax"/>
        </c:scaling>
        <c:delete val="1"/>
        <c:axPos val="l"/>
        <c:numFmt formatCode="General" sourceLinked="1"/>
        <c:majorTickMark val="none"/>
        <c:minorTickMark val="none"/>
        <c:tickLblPos val="nextTo"/>
        <c:crossAx val="76165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Table!$F$64</c:f>
              <c:strCache>
                <c:ptCount val="1"/>
                <c:pt idx="0">
                  <c:v>(2) Price Earning Ratio </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Table!$G$64:$K$64</c:f>
              <c:numCache>
                <c:formatCode>General</c:formatCode>
                <c:ptCount val="5"/>
                <c:pt idx="0">
                  <c:v>8.2422349470761755</c:v>
                </c:pt>
                <c:pt idx="1">
                  <c:v>4.839635250256384</c:v>
                </c:pt>
                <c:pt idx="2">
                  <c:v>5.6977927501140471</c:v>
                </c:pt>
                <c:pt idx="3">
                  <c:v>4.5811384876805441</c:v>
                </c:pt>
                <c:pt idx="4">
                  <c:v>5.6680276460496239</c:v>
                </c:pt>
              </c:numCache>
            </c:numRef>
          </c:val>
          <c:smooth val="0"/>
          <c:extLst>
            <c:ext xmlns:c16="http://schemas.microsoft.com/office/drawing/2014/chart" uri="{C3380CC4-5D6E-409C-BE32-E72D297353CC}">
              <c16:uniqueId val="{00000000-E21C-4901-8E00-6BA772E45B56}"/>
            </c:ext>
          </c:extLst>
        </c:ser>
        <c:dLbls>
          <c:dLblPos val="ctr"/>
          <c:showLegendKey val="0"/>
          <c:showVal val="1"/>
          <c:showCatName val="0"/>
          <c:showSerName val="0"/>
          <c:showPercent val="0"/>
          <c:showBubbleSize val="0"/>
        </c:dLbls>
        <c:marker val="1"/>
        <c:smooth val="0"/>
        <c:axId val="1735419823"/>
        <c:axId val="640933391"/>
      </c:lineChart>
      <c:dateAx>
        <c:axId val="173541982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0933391"/>
        <c:crosses val="autoZero"/>
        <c:auto val="1"/>
        <c:lblOffset val="100"/>
        <c:baseTimeUnit val="years"/>
      </c:dateAx>
      <c:valAx>
        <c:axId val="640933391"/>
        <c:scaling>
          <c:orientation val="minMax"/>
        </c:scaling>
        <c:delete val="1"/>
        <c:axPos val="l"/>
        <c:numFmt formatCode="General" sourceLinked="1"/>
        <c:majorTickMark val="none"/>
        <c:minorTickMark val="none"/>
        <c:tickLblPos val="nextTo"/>
        <c:crossAx val="1735419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Table!$F$66</c:f>
              <c:strCache>
                <c:ptCount val="1"/>
                <c:pt idx="0">
                  <c:v>(3) Enterprise value to EBIDTA Ratio </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Table!$G$66:$K$66</c:f>
              <c:numCache>
                <c:formatCode>General</c:formatCode>
                <c:ptCount val="5"/>
                <c:pt idx="0">
                  <c:v>4.1161725230655284</c:v>
                </c:pt>
                <c:pt idx="1">
                  <c:v>3.0383489666791714</c:v>
                </c:pt>
                <c:pt idx="2">
                  <c:v>3.4903462073597518</c:v>
                </c:pt>
                <c:pt idx="3">
                  <c:v>2.0237723766970279</c:v>
                </c:pt>
                <c:pt idx="4">
                  <c:v>2.599371305018606</c:v>
                </c:pt>
              </c:numCache>
            </c:numRef>
          </c:val>
          <c:smooth val="0"/>
          <c:extLst>
            <c:ext xmlns:c16="http://schemas.microsoft.com/office/drawing/2014/chart" uri="{C3380CC4-5D6E-409C-BE32-E72D297353CC}">
              <c16:uniqueId val="{00000000-A671-42FF-B8D7-0D0F3894FB81}"/>
            </c:ext>
          </c:extLst>
        </c:ser>
        <c:dLbls>
          <c:dLblPos val="ctr"/>
          <c:showLegendKey val="0"/>
          <c:showVal val="1"/>
          <c:showCatName val="0"/>
          <c:showSerName val="0"/>
          <c:showPercent val="0"/>
          <c:showBubbleSize val="0"/>
        </c:dLbls>
        <c:marker val="1"/>
        <c:smooth val="0"/>
        <c:axId val="1654112943"/>
        <c:axId val="643619535"/>
      </c:lineChart>
      <c:dateAx>
        <c:axId val="1654112943"/>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3619535"/>
        <c:crosses val="autoZero"/>
        <c:auto val="1"/>
        <c:lblOffset val="100"/>
        <c:baseTimeUnit val="years"/>
      </c:dateAx>
      <c:valAx>
        <c:axId val="643619535"/>
        <c:scaling>
          <c:orientation val="minMax"/>
        </c:scaling>
        <c:delete val="1"/>
        <c:axPos val="l"/>
        <c:numFmt formatCode="General" sourceLinked="1"/>
        <c:majorTickMark val="none"/>
        <c:minorTickMark val="none"/>
        <c:tickLblPos val="nextTo"/>
        <c:crossAx val="1654112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Table!$F$71</c:f>
              <c:strCache>
                <c:ptCount val="1"/>
                <c:pt idx="0">
                  <c:v>(4) DU - Pont Analysis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Table!$G$71:$K$71</c:f>
              <c:numCache>
                <c:formatCode>General</c:formatCode>
                <c:ptCount val="5"/>
                <c:pt idx="0">
                  <c:v>21.217474541154957</c:v>
                </c:pt>
                <c:pt idx="1">
                  <c:v>39.907003442658301</c:v>
                </c:pt>
                <c:pt idx="2">
                  <c:v>39.916221510412825</c:v>
                </c:pt>
                <c:pt idx="3">
                  <c:v>26.577349038625645</c:v>
                </c:pt>
                <c:pt idx="4">
                  <c:v>27.739709410815056</c:v>
                </c:pt>
              </c:numCache>
            </c:numRef>
          </c:val>
          <c:smooth val="0"/>
          <c:extLst>
            <c:ext xmlns:c16="http://schemas.microsoft.com/office/drawing/2014/chart" uri="{C3380CC4-5D6E-409C-BE32-E72D297353CC}">
              <c16:uniqueId val="{00000000-A378-451B-AA65-80B75526279F}"/>
            </c:ext>
          </c:extLst>
        </c:ser>
        <c:dLbls>
          <c:dLblPos val="ctr"/>
          <c:showLegendKey val="0"/>
          <c:showVal val="1"/>
          <c:showCatName val="0"/>
          <c:showSerName val="0"/>
          <c:showPercent val="0"/>
          <c:showBubbleSize val="0"/>
        </c:dLbls>
        <c:marker val="1"/>
        <c:smooth val="0"/>
        <c:axId val="763616927"/>
        <c:axId val="508570399"/>
      </c:lineChart>
      <c:dateAx>
        <c:axId val="763616927"/>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08570399"/>
        <c:crosses val="autoZero"/>
        <c:auto val="1"/>
        <c:lblOffset val="100"/>
        <c:baseTimeUnit val="years"/>
      </c:dateAx>
      <c:valAx>
        <c:axId val="508570399"/>
        <c:scaling>
          <c:orientation val="minMax"/>
        </c:scaling>
        <c:delete val="1"/>
        <c:axPos val="l"/>
        <c:numFmt formatCode="General" sourceLinked="1"/>
        <c:majorTickMark val="none"/>
        <c:minorTickMark val="none"/>
        <c:tickLblPos val="nextTo"/>
        <c:crossAx val="763616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Net</a:t>
            </a:r>
            <a:r>
              <a:rPr lang="en-US" baseline="0"/>
              <a:t> Profit Margin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Sheet2!$B$1:$F$1</c:f>
              <c:numCache>
                <c:formatCode>d\-mmm</c:formatCode>
                <c:ptCount val="5"/>
                <c:pt idx="0">
                  <c:v>45374</c:v>
                </c:pt>
                <c:pt idx="1">
                  <c:v>45373</c:v>
                </c:pt>
                <c:pt idx="2">
                  <c:v>45372</c:v>
                </c:pt>
                <c:pt idx="3">
                  <c:v>45371</c:v>
                </c:pt>
                <c:pt idx="4">
                  <c:v>45370</c:v>
                </c:pt>
              </c:numCache>
            </c:numRef>
          </c:cat>
          <c:val>
            <c:numRef>
              <c:f>Sheet2!$B$2:$F$2</c:f>
              <c:numCache>
                <c:formatCode>General</c:formatCode>
                <c:ptCount val="5"/>
                <c:pt idx="0">
                  <c:v>12.01</c:v>
                </c:pt>
                <c:pt idx="1">
                  <c:v>25.59</c:v>
                </c:pt>
                <c:pt idx="2">
                  <c:v>20.3</c:v>
                </c:pt>
                <c:pt idx="3">
                  <c:v>11.16</c:v>
                </c:pt>
                <c:pt idx="4">
                  <c:v>14.92</c:v>
                </c:pt>
              </c:numCache>
            </c:numRef>
          </c:val>
          <c:smooth val="0"/>
          <c:extLst>
            <c:ext xmlns:c16="http://schemas.microsoft.com/office/drawing/2014/chart" uri="{C3380CC4-5D6E-409C-BE32-E72D297353CC}">
              <c16:uniqueId val="{00000000-2796-4B9F-9A64-AB08075B995C}"/>
            </c:ext>
          </c:extLst>
        </c:ser>
        <c:ser>
          <c:idx val="1"/>
          <c:order val="1"/>
          <c:tx>
            <c:strRef>
              <c:f>Sheet2!$A$3</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Sheet2!$B$1:$F$1</c:f>
              <c:numCache>
                <c:formatCode>d\-mmm</c:formatCode>
                <c:ptCount val="5"/>
                <c:pt idx="0">
                  <c:v>45374</c:v>
                </c:pt>
                <c:pt idx="1">
                  <c:v>45373</c:v>
                </c:pt>
                <c:pt idx="2">
                  <c:v>45372</c:v>
                </c:pt>
                <c:pt idx="3">
                  <c:v>45371</c:v>
                </c:pt>
                <c:pt idx="4">
                  <c:v>45370</c:v>
                </c:pt>
              </c:numCache>
            </c:numRef>
          </c:cat>
          <c:val>
            <c:numRef>
              <c:f>Sheet2!$B$3:$F$3</c:f>
              <c:numCache>
                <c:formatCode>General</c:formatCode>
                <c:ptCount val="5"/>
                <c:pt idx="0">
                  <c:v>3.75</c:v>
                </c:pt>
                <c:pt idx="1">
                  <c:v>14.06</c:v>
                </c:pt>
                <c:pt idx="2">
                  <c:v>11.87</c:v>
                </c:pt>
                <c:pt idx="3">
                  <c:v>8.23</c:v>
                </c:pt>
                <c:pt idx="4">
                  <c:v>10.52</c:v>
                </c:pt>
              </c:numCache>
            </c:numRef>
          </c:val>
          <c:smooth val="0"/>
          <c:extLst>
            <c:ext xmlns:c16="http://schemas.microsoft.com/office/drawing/2014/chart" uri="{C3380CC4-5D6E-409C-BE32-E72D297353CC}">
              <c16:uniqueId val="{00000001-2796-4B9F-9A64-AB08075B995C}"/>
            </c:ext>
          </c:extLst>
        </c:ser>
        <c:dLbls>
          <c:dLblPos val="ctr"/>
          <c:showLegendKey val="0"/>
          <c:showVal val="1"/>
          <c:showCatName val="0"/>
          <c:showSerName val="0"/>
          <c:showPercent val="0"/>
          <c:showBubbleSize val="0"/>
        </c:dLbls>
        <c:marker val="1"/>
        <c:smooth val="0"/>
        <c:axId val="1735693391"/>
        <c:axId val="645695967"/>
      </c:lineChart>
      <c:dateAx>
        <c:axId val="1735693391"/>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5695967"/>
        <c:crosses val="autoZero"/>
        <c:auto val="1"/>
        <c:lblOffset val="100"/>
        <c:baseTimeUnit val="days"/>
      </c:dateAx>
      <c:valAx>
        <c:axId val="645695967"/>
        <c:scaling>
          <c:orientation val="minMax"/>
        </c:scaling>
        <c:delete val="1"/>
        <c:axPos val="l"/>
        <c:numFmt formatCode="General" sourceLinked="1"/>
        <c:majorTickMark val="none"/>
        <c:minorTickMark val="none"/>
        <c:tickLblPos val="nextTo"/>
        <c:crossAx val="173569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Return</a:t>
            </a:r>
            <a:r>
              <a:rPr lang="en-US" baseline="0"/>
              <a:t> on AssetS</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Sheet2!$A$19</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Sheet2!$B$17:$F$18</c:f>
              <c:strCache>
                <c:ptCount val="5"/>
                <c:pt idx="0">
                  <c:v>23-Mar</c:v>
                </c:pt>
                <c:pt idx="1">
                  <c:v>22-Mar</c:v>
                </c:pt>
                <c:pt idx="2">
                  <c:v>21-Mar</c:v>
                </c:pt>
                <c:pt idx="3">
                  <c:v>20-Mar</c:v>
                </c:pt>
                <c:pt idx="4">
                  <c:v>19-Mar</c:v>
                </c:pt>
              </c:strCache>
            </c:strRef>
          </c:cat>
          <c:val>
            <c:numRef>
              <c:f>Sheet2!$B$19:$F$19</c:f>
              <c:numCache>
                <c:formatCode>General</c:formatCode>
                <c:ptCount val="5"/>
                <c:pt idx="0">
                  <c:v>47.5</c:v>
                </c:pt>
                <c:pt idx="1">
                  <c:v>109.71</c:v>
                </c:pt>
                <c:pt idx="2">
                  <c:v>69.92</c:v>
                </c:pt>
                <c:pt idx="3">
                  <c:v>36.46</c:v>
                </c:pt>
                <c:pt idx="4">
                  <c:v>40.76</c:v>
                </c:pt>
              </c:numCache>
            </c:numRef>
          </c:val>
          <c:smooth val="0"/>
          <c:extLst>
            <c:ext xmlns:c16="http://schemas.microsoft.com/office/drawing/2014/chart" uri="{C3380CC4-5D6E-409C-BE32-E72D297353CC}">
              <c16:uniqueId val="{00000000-BB4C-427E-B05C-8806318D732D}"/>
            </c:ext>
          </c:extLst>
        </c:ser>
        <c:ser>
          <c:idx val="1"/>
          <c:order val="1"/>
          <c:tx>
            <c:strRef>
              <c:f>Sheet2!$A$20</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Sheet2!$B$17:$F$18</c:f>
              <c:strCache>
                <c:ptCount val="5"/>
                <c:pt idx="0">
                  <c:v>23-Mar</c:v>
                </c:pt>
                <c:pt idx="1">
                  <c:v>22-Mar</c:v>
                </c:pt>
                <c:pt idx="2">
                  <c:v>21-Mar</c:v>
                </c:pt>
                <c:pt idx="3">
                  <c:v>20-Mar</c:v>
                </c:pt>
                <c:pt idx="4">
                  <c:v>19-Mar</c:v>
                </c:pt>
              </c:strCache>
            </c:strRef>
          </c:cat>
          <c:val>
            <c:numRef>
              <c:f>Sheet2!$B$20:$F$20</c:f>
              <c:numCache>
                <c:formatCode>General</c:formatCode>
                <c:ptCount val="5"/>
                <c:pt idx="0">
                  <c:v>2.94</c:v>
                </c:pt>
                <c:pt idx="1">
                  <c:v>11.28</c:v>
                </c:pt>
                <c:pt idx="2">
                  <c:v>6.57</c:v>
                </c:pt>
                <c:pt idx="3">
                  <c:v>4.6100000000000003</c:v>
                </c:pt>
                <c:pt idx="4">
                  <c:v>18.98</c:v>
                </c:pt>
              </c:numCache>
            </c:numRef>
          </c:val>
          <c:smooth val="0"/>
          <c:extLst>
            <c:ext xmlns:c16="http://schemas.microsoft.com/office/drawing/2014/chart" uri="{C3380CC4-5D6E-409C-BE32-E72D297353CC}">
              <c16:uniqueId val="{00000001-BB4C-427E-B05C-8806318D732D}"/>
            </c:ext>
          </c:extLst>
        </c:ser>
        <c:dLbls>
          <c:dLblPos val="ctr"/>
          <c:showLegendKey val="0"/>
          <c:showVal val="1"/>
          <c:showCatName val="0"/>
          <c:showSerName val="0"/>
          <c:showPercent val="0"/>
          <c:showBubbleSize val="0"/>
        </c:dLbls>
        <c:marker val="1"/>
        <c:smooth val="0"/>
        <c:axId val="761653967"/>
        <c:axId val="509102495"/>
      </c:lineChart>
      <c:catAx>
        <c:axId val="761653967"/>
        <c:scaling>
          <c:orientation val="minMax"/>
        </c:scaling>
        <c:delete val="0"/>
        <c:axPos val="b"/>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09102495"/>
        <c:crosses val="autoZero"/>
        <c:auto val="1"/>
        <c:lblAlgn val="ctr"/>
        <c:lblOffset val="100"/>
        <c:noMultiLvlLbl val="1"/>
      </c:catAx>
      <c:valAx>
        <c:axId val="509102495"/>
        <c:scaling>
          <c:orientation val="minMax"/>
        </c:scaling>
        <c:delete val="1"/>
        <c:axPos val="l"/>
        <c:numFmt formatCode="General" sourceLinked="1"/>
        <c:majorTickMark val="none"/>
        <c:minorTickMark val="none"/>
        <c:tickLblPos val="nextTo"/>
        <c:crossAx val="76165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Return</a:t>
            </a:r>
            <a:r>
              <a:rPr lang="en-US" baseline="0"/>
              <a:t> on Equity</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Sheet2!$A$32</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Sheet2!$B$30:$F$31</c:f>
              <c:strCache>
                <c:ptCount val="5"/>
                <c:pt idx="0">
                  <c:v>23-Mar</c:v>
                </c:pt>
                <c:pt idx="1">
                  <c:v>22-Mar</c:v>
                </c:pt>
                <c:pt idx="2">
                  <c:v>21-Mar</c:v>
                </c:pt>
                <c:pt idx="3">
                  <c:v>20-Mar</c:v>
                </c:pt>
                <c:pt idx="4">
                  <c:v>19-Mar</c:v>
                </c:pt>
              </c:strCache>
            </c:strRef>
          </c:cat>
          <c:val>
            <c:numRef>
              <c:f>Sheet2!$B$32:$F$32</c:f>
              <c:numCache>
                <c:formatCode>General</c:formatCode>
                <c:ptCount val="5"/>
                <c:pt idx="0">
                  <c:v>0.99</c:v>
                </c:pt>
                <c:pt idx="1">
                  <c:v>1.17</c:v>
                </c:pt>
                <c:pt idx="2">
                  <c:v>0.99</c:v>
                </c:pt>
                <c:pt idx="3">
                  <c:v>0.83</c:v>
                </c:pt>
                <c:pt idx="4">
                  <c:v>1.07</c:v>
                </c:pt>
              </c:numCache>
            </c:numRef>
          </c:val>
          <c:smooth val="0"/>
          <c:extLst>
            <c:ext xmlns:c16="http://schemas.microsoft.com/office/drawing/2014/chart" uri="{C3380CC4-5D6E-409C-BE32-E72D297353CC}">
              <c16:uniqueId val="{00000000-0AE1-427C-A4CD-554EFF3EDE23}"/>
            </c:ext>
          </c:extLst>
        </c:ser>
        <c:ser>
          <c:idx val="1"/>
          <c:order val="1"/>
          <c:tx>
            <c:strRef>
              <c:f>Sheet2!$A$33</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Sheet2!$B$30:$F$31</c:f>
              <c:strCache>
                <c:ptCount val="5"/>
                <c:pt idx="0">
                  <c:v>23-Mar</c:v>
                </c:pt>
                <c:pt idx="1">
                  <c:v>22-Mar</c:v>
                </c:pt>
                <c:pt idx="2">
                  <c:v>21-Mar</c:v>
                </c:pt>
                <c:pt idx="3">
                  <c:v>20-Mar</c:v>
                </c:pt>
                <c:pt idx="4">
                  <c:v>19-Mar</c:v>
                </c:pt>
              </c:strCache>
            </c:strRef>
          </c:cat>
          <c:val>
            <c:numRef>
              <c:f>Sheet2!$B$33:$F$33</c:f>
              <c:numCache>
                <c:formatCode>General</c:formatCode>
                <c:ptCount val="5"/>
                <c:pt idx="0">
                  <c:v>7.76</c:v>
                </c:pt>
                <c:pt idx="1">
                  <c:v>30.23</c:v>
                </c:pt>
                <c:pt idx="2">
                  <c:v>19.66</c:v>
                </c:pt>
                <c:pt idx="3">
                  <c:v>14.44</c:v>
                </c:pt>
                <c:pt idx="4">
                  <c:v>25.86</c:v>
                </c:pt>
              </c:numCache>
            </c:numRef>
          </c:val>
          <c:smooth val="0"/>
          <c:extLst>
            <c:ext xmlns:c16="http://schemas.microsoft.com/office/drawing/2014/chart" uri="{C3380CC4-5D6E-409C-BE32-E72D297353CC}">
              <c16:uniqueId val="{00000001-0AE1-427C-A4CD-554EFF3EDE23}"/>
            </c:ext>
          </c:extLst>
        </c:ser>
        <c:dLbls>
          <c:dLblPos val="ctr"/>
          <c:showLegendKey val="0"/>
          <c:showVal val="1"/>
          <c:showCatName val="0"/>
          <c:showSerName val="0"/>
          <c:showPercent val="0"/>
          <c:showBubbleSize val="0"/>
        </c:dLbls>
        <c:marker val="1"/>
        <c:smooth val="0"/>
        <c:axId val="1737070063"/>
        <c:axId val="636327647"/>
      </c:lineChart>
      <c:catAx>
        <c:axId val="1737070063"/>
        <c:scaling>
          <c:orientation val="minMax"/>
        </c:scaling>
        <c:delete val="0"/>
        <c:axPos val="b"/>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36327647"/>
        <c:crosses val="autoZero"/>
        <c:auto val="1"/>
        <c:lblAlgn val="ctr"/>
        <c:lblOffset val="100"/>
        <c:noMultiLvlLbl val="1"/>
      </c:catAx>
      <c:valAx>
        <c:axId val="636327647"/>
        <c:scaling>
          <c:orientation val="minMax"/>
        </c:scaling>
        <c:delete val="1"/>
        <c:axPos val="l"/>
        <c:numFmt formatCode="General" sourceLinked="1"/>
        <c:majorTickMark val="none"/>
        <c:minorTickMark val="none"/>
        <c:tickLblPos val="nextTo"/>
        <c:crossAx val="17370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Table!$F$9</c:f>
              <c:strCache>
                <c:ptCount val="1"/>
                <c:pt idx="0">
                  <c:v>(3) Cash Ratio or Absolute cash ratio</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Table!$G$9:$K$9</c:f>
              <c:numCache>
                <c:formatCode>General</c:formatCode>
                <c:ptCount val="5"/>
                <c:pt idx="0">
                  <c:v>2.3199669231415261E-2</c:v>
                </c:pt>
                <c:pt idx="1">
                  <c:v>5.3205982391074373E-2</c:v>
                </c:pt>
                <c:pt idx="2">
                  <c:v>7.9717037608588656E-2</c:v>
                </c:pt>
                <c:pt idx="3">
                  <c:v>3.9741442699206056E-2</c:v>
                </c:pt>
                <c:pt idx="4">
                  <c:v>2.8058131606863421E-2</c:v>
                </c:pt>
              </c:numCache>
            </c:numRef>
          </c:val>
          <c:smooth val="0"/>
          <c:extLst>
            <c:ext xmlns:c16="http://schemas.microsoft.com/office/drawing/2014/chart" uri="{C3380CC4-5D6E-409C-BE32-E72D297353CC}">
              <c16:uniqueId val="{00000000-77A2-4F50-8474-48D1C994FAD6}"/>
            </c:ext>
          </c:extLst>
        </c:ser>
        <c:dLbls>
          <c:dLblPos val="ctr"/>
          <c:showLegendKey val="0"/>
          <c:showVal val="1"/>
          <c:showCatName val="0"/>
          <c:showSerName val="0"/>
          <c:showPercent val="0"/>
          <c:showBubbleSize val="0"/>
        </c:dLbls>
        <c:marker val="1"/>
        <c:smooth val="0"/>
        <c:axId val="1656963711"/>
        <c:axId val="369903199"/>
      </c:lineChart>
      <c:dateAx>
        <c:axId val="1656963711"/>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69903199"/>
        <c:crosses val="autoZero"/>
        <c:auto val="1"/>
        <c:lblOffset val="100"/>
        <c:baseTimeUnit val="years"/>
      </c:dateAx>
      <c:valAx>
        <c:axId val="369903199"/>
        <c:scaling>
          <c:orientation val="minMax"/>
        </c:scaling>
        <c:delete val="1"/>
        <c:axPos val="l"/>
        <c:numFmt formatCode="General" sourceLinked="1"/>
        <c:majorTickMark val="none"/>
        <c:minorTickMark val="none"/>
        <c:tickLblPos val="nextTo"/>
        <c:crossAx val="1656963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Total</a:t>
            </a:r>
            <a:r>
              <a:rPr lang="en-US" baseline="0"/>
              <a:t> Asset Turnover Ratio</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Sheet2!$A$45</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Sheet2!$B$43:$F$44</c:f>
              <c:strCache>
                <c:ptCount val="5"/>
                <c:pt idx="0">
                  <c:v>23-Mar</c:v>
                </c:pt>
                <c:pt idx="1">
                  <c:v>22-Mar</c:v>
                </c:pt>
                <c:pt idx="2">
                  <c:v>21-Mar</c:v>
                </c:pt>
                <c:pt idx="3">
                  <c:v>20-Mar</c:v>
                </c:pt>
                <c:pt idx="4">
                  <c:v>19-Mar</c:v>
                </c:pt>
              </c:strCache>
            </c:strRef>
          </c:cat>
          <c:val>
            <c:numRef>
              <c:f>Sheet2!$B$45:$F$45</c:f>
              <c:numCache>
                <c:formatCode>General</c:formatCode>
                <c:ptCount val="5"/>
                <c:pt idx="0">
                  <c:v>0.56000000000000005</c:v>
                </c:pt>
                <c:pt idx="1">
                  <c:v>0.64</c:v>
                </c:pt>
                <c:pt idx="2">
                  <c:v>0.5</c:v>
                </c:pt>
                <c:pt idx="3">
                  <c:v>0.41</c:v>
                </c:pt>
                <c:pt idx="4">
                  <c:v>0.53</c:v>
                </c:pt>
              </c:numCache>
            </c:numRef>
          </c:val>
          <c:smooth val="0"/>
          <c:extLst>
            <c:ext xmlns:c16="http://schemas.microsoft.com/office/drawing/2014/chart" uri="{C3380CC4-5D6E-409C-BE32-E72D297353CC}">
              <c16:uniqueId val="{00000000-ABE7-40E0-B87D-5393D685342A}"/>
            </c:ext>
          </c:extLst>
        </c:ser>
        <c:ser>
          <c:idx val="1"/>
          <c:order val="1"/>
          <c:tx>
            <c:strRef>
              <c:f>Sheet2!$A$46</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Sheet2!$B$43:$F$44</c:f>
              <c:strCache>
                <c:ptCount val="5"/>
                <c:pt idx="0">
                  <c:v>23-Mar</c:v>
                </c:pt>
                <c:pt idx="1">
                  <c:v>22-Mar</c:v>
                </c:pt>
                <c:pt idx="2">
                  <c:v>21-Mar</c:v>
                </c:pt>
                <c:pt idx="3">
                  <c:v>20-Mar</c:v>
                </c:pt>
                <c:pt idx="4">
                  <c:v>19-Mar</c:v>
                </c:pt>
              </c:strCache>
            </c:strRef>
          </c:cat>
          <c:val>
            <c:numRef>
              <c:f>Sheet2!$B$46:$F$46</c:f>
              <c:numCache>
                <c:formatCode>General</c:formatCode>
                <c:ptCount val="5"/>
                <c:pt idx="0">
                  <c:v>0.78</c:v>
                </c:pt>
                <c:pt idx="1">
                  <c:v>0.8</c:v>
                </c:pt>
                <c:pt idx="2">
                  <c:v>0.55000000000000004</c:v>
                </c:pt>
                <c:pt idx="3">
                  <c:v>0.56000000000000005</c:v>
                </c:pt>
                <c:pt idx="4">
                  <c:v>0.79</c:v>
                </c:pt>
              </c:numCache>
            </c:numRef>
          </c:val>
          <c:smooth val="0"/>
          <c:extLst>
            <c:ext xmlns:c16="http://schemas.microsoft.com/office/drawing/2014/chart" uri="{C3380CC4-5D6E-409C-BE32-E72D297353CC}">
              <c16:uniqueId val="{00000001-ABE7-40E0-B87D-5393D685342A}"/>
            </c:ext>
          </c:extLst>
        </c:ser>
        <c:dLbls>
          <c:dLblPos val="ctr"/>
          <c:showLegendKey val="0"/>
          <c:showVal val="1"/>
          <c:showCatName val="0"/>
          <c:showSerName val="0"/>
          <c:showPercent val="0"/>
          <c:showBubbleSize val="0"/>
        </c:dLbls>
        <c:marker val="1"/>
        <c:smooth val="0"/>
        <c:axId val="514723247"/>
        <c:axId val="726341471"/>
      </c:lineChart>
      <c:catAx>
        <c:axId val="514723247"/>
        <c:scaling>
          <c:orientation val="minMax"/>
        </c:scaling>
        <c:delete val="0"/>
        <c:axPos val="b"/>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726341471"/>
        <c:crosses val="autoZero"/>
        <c:auto val="1"/>
        <c:lblAlgn val="ctr"/>
        <c:lblOffset val="100"/>
        <c:noMultiLvlLbl val="1"/>
      </c:catAx>
      <c:valAx>
        <c:axId val="726341471"/>
        <c:scaling>
          <c:orientation val="minMax"/>
        </c:scaling>
        <c:delete val="1"/>
        <c:axPos val="l"/>
        <c:numFmt formatCode="General" sourceLinked="1"/>
        <c:majorTickMark val="none"/>
        <c:minorTickMark val="none"/>
        <c:tickLblPos val="nextTo"/>
        <c:crossAx val="51472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Dividend</a:t>
            </a:r>
            <a:r>
              <a:rPr lang="en-US" baseline="0"/>
              <a:t> Yield</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Sheet2!$A$60</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Sheet2!$B$58:$F$59</c:f>
              <c:strCache>
                <c:ptCount val="5"/>
                <c:pt idx="0">
                  <c:v>23-Mar</c:v>
                </c:pt>
                <c:pt idx="1">
                  <c:v>22-Mar</c:v>
                </c:pt>
                <c:pt idx="2">
                  <c:v>21-Mar</c:v>
                </c:pt>
                <c:pt idx="3">
                  <c:v>20-Mar</c:v>
                </c:pt>
                <c:pt idx="4">
                  <c:v>19-Mar</c:v>
                </c:pt>
              </c:strCache>
            </c:strRef>
          </c:cat>
          <c:val>
            <c:numRef>
              <c:f>Sheet2!$B$60:$F$60</c:f>
              <c:numCache>
                <c:formatCode>General</c:formatCode>
                <c:ptCount val="5"/>
                <c:pt idx="0">
                  <c:v>344.49</c:v>
                </c:pt>
                <c:pt idx="1">
                  <c:v>39.01</c:v>
                </c:pt>
                <c:pt idx="2">
                  <c:v>30.79</c:v>
                </c:pt>
                <c:pt idx="3">
                  <c:v>37.090000000000003</c:v>
                </c:pt>
                <c:pt idx="4">
                  <c:v>24.95</c:v>
                </c:pt>
              </c:numCache>
            </c:numRef>
          </c:val>
          <c:smooth val="0"/>
          <c:extLst>
            <c:ext xmlns:c16="http://schemas.microsoft.com/office/drawing/2014/chart" uri="{C3380CC4-5D6E-409C-BE32-E72D297353CC}">
              <c16:uniqueId val="{00000000-E0CE-4047-A034-F06751957EA9}"/>
            </c:ext>
          </c:extLst>
        </c:ser>
        <c:ser>
          <c:idx val="1"/>
          <c:order val="1"/>
          <c:tx>
            <c:strRef>
              <c:f>Sheet2!$A$61</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Sheet2!$B$58:$F$59</c:f>
              <c:strCache>
                <c:ptCount val="5"/>
                <c:pt idx="0">
                  <c:v>23-Mar</c:v>
                </c:pt>
                <c:pt idx="1">
                  <c:v>22-Mar</c:v>
                </c:pt>
                <c:pt idx="2">
                  <c:v>21-Mar</c:v>
                </c:pt>
                <c:pt idx="3">
                  <c:v>20-Mar</c:v>
                </c:pt>
                <c:pt idx="4">
                  <c:v>19-Mar</c:v>
                </c:pt>
              </c:strCache>
            </c:strRef>
          </c:cat>
          <c:val>
            <c:numRef>
              <c:f>Sheet2!$B$61:$F$61</c:f>
              <c:numCache>
                <c:formatCode>General</c:formatCode>
                <c:ptCount val="5"/>
                <c:pt idx="0">
                  <c:v>0.49</c:v>
                </c:pt>
                <c:pt idx="1">
                  <c:v>2.36</c:v>
                </c:pt>
                <c:pt idx="2">
                  <c:v>1.38</c:v>
                </c:pt>
                <c:pt idx="3">
                  <c:v>1.36</c:v>
                </c:pt>
                <c:pt idx="4">
                  <c:v>1.39</c:v>
                </c:pt>
              </c:numCache>
            </c:numRef>
          </c:val>
          <c:smooth val="0"/>
          <c:extLst>
            <c:ext xmlns:c16="http://schemas.microsoft.com/office/drawing/2014/chart" uri="{C3380CC4-5D6E-409C-BE32-E72D297353CC}">
              <c16:uniqueId val="{00000001-E0CE-4047-A034-F06751957EA9}"/>
            </c:ext>
          </c:extLst>
        </c:ser>
        <c:dLbls>
          <c:dLblPos val="ctr"/>
          <c:showLegendKey val="0"/>
          <c:showVal val="1"/>
          <c:showCatName val="0"/>
          <c:showSerName val="0"/>
          <c:showPercent val="0"/>
          <c:showBubbleSize val="0"/>
        </c:dLbls>
        <c:marker val="1"/>
        <c:smooth val="0"/>
        <c:axId val="638981711"/>
        <c:axId val="725228095"/>
      </c:lineChart>
      <c:catAx>
        <c:axId val="638981711"/>
        <c:scaling>
          <c:orientation val="minMax"/>
        </c:scaling>
        <c:delete val="0"/>
        <c:axPos val="b"/>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725228095"/>
        <c:crosses val="autoZero"/>
        <c:auto val="1"/>
        <c:lblAlgn val="ctr"/>
        <c:lblOffset val="100"/>
        <c:noMultiLvlLbl val="1"/>
      </c:catAx>
      <c:valAx>
        <c:axId val="725228095"/>
        <c:scaling>
          <c:orientation val="minMax"/>
        </c:scaling>
        <c:delete val="1"/>
        <c:axPos val="l"/>
        <c:numFmt formatCode="General" sourceLinked="1"/>
        <c:majorTickMark val="none"/>
        <c:minorTickMark val="none"/>
        <c:tickLblPos val="nextTo"/>
        <c:crossAx val="638981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Price</a:t>
            </a:r>
            <a:r>
              <a:rPr lang="en-US" baseline="0"/>
              <a:t> Earning Ratio</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Sheet2!$A$74</c:f>
              <c:strCache>
                <c:ptCount val="1"/>
                <c:pt idx="0">
                  <c:v>Tata Steel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Sheet2!$B$72:$F$73</c:f>
              <c:strCache>
                <c:ptCount val="5"/>
                <c:pt idx="0">
                  <c:v>23-Mar</c:v>
                </c:pt>
                <c:pt idx="1">
                  <c:v>22-Mar</c:v>
                </c:pt>
                <c:pt idx="2">
                  <c:v>21-Mar</c:v>
                </c:pt>
                <c:pt idx="3">
                  <c:v>20-Mar</c:v>
                </c:pt>
                <c:pt idx="4">
                  <c:v>19-Mar</c:v>
                </c:pt>
              </c:strCache>
            </c:strRef>
          </c:cat>
          <c:val>
            <c:numRef>
              <c:f>Sheet2!$B$74:$F$74</c:f>
              <c:numCache>
                <c:formatCode>General</c:formatCode>
                <c:ptCount val="5"/>
                <c:pt idx="0">
                  <c:v>8.24</c:v>
                </c:pt>
                <c:pt idx="1">
                  <c:v>4.83</c:v>
                </c:pt>
                <c:pt idx="2">
                  <c:v>5.69</c:v>
                </c:pt>
                <c:pt idx="3">
                  <c:v>4.58</c:v>
                </c:pt>
                <c:pt idx="4">
                  <c:v>5.66</c:v>
                </c:pt>
              </c:numCache>
            </c:numRef>
          </c:val>
          <c:smooth val="0"/>
          <c:extLst>
            <c:ext xmlns:c16="http://schemas.microsoft.com/office/drawing/2014/chart" uri="{C3380CC4-5D6E-409C-BE32-E72D297353CC}">
              <c16:uniqueId val="{00000000-BD2C-458E-A1E2-0E0922DFE3E5}"/>
            </c:ext>
          </c:extLst>
        </c:ser>
        <c:ser>
          <c:idx val="1"/>
          <c:order val="1"/>
          <c:tx>
            <c:strRef>
              <c:f>Sheet2!$A$75</c:f>
              <c:strCache>
                <c:ptCount val="1"/>
                <c:pt idx="0">
                  <c:v>JSW Steel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Sheet2!$B$72:$F$73</c:f>
              <c:strCache>
                <c:ptCount val="5"/>
                <c:pt idx="0">
                  <c:v>23-Mar</c:v>
                </c:pt>
                <c:pt idx="1">
                  <c:v>22-Mar</c:v>
                </c:pt>
                <c:pt idx="2">
                  <c:v>21-Mar</c:v>
                </c:pt>
                <c:pt idx="3">
                  <c:v>20-Mar</c:v>
                </c:pt>
                <c:pt idx="4">
                  <c:v>19-Mar</c:v>
                </c:pt>
              </c:strCache>
            </c:strRef>
          </c:cat>
          <c:val>
            <c:numRef>
              <c:f>Sheet2!$B$75:$F$75</c:f>
              <c:numCache>
                <c:formatCode>General</c:formatCode>
                <c:ptCount val="5"/>
                <c:pt idx="0">
                  <c:v>33.450000000000003</c:v>
                </c:pt>
                <c:pt idx="1">
                  <c:v>10.52</c:v>
                </c:pt>
                <c:pt idx="2">
                  <c:v>13.45</c:v>
                </c:pt>
                <c:pt idx="3">
                  <c:v>6.63</c:v>
                </c:pt>
                <c:pt idx="4">
                  <c:v>8.66</c:v>
                </c:pt>
              </c:numCache>
            </c:numRef>
          </c:val>
          <c:smooth val="0"/>
          <c:extLst>
            <c:ext xmlns:c16="http://schemas.microsoft.com/office/drawing/2014/chart" uri="{C3380CC4-5D6E-409C-BE32-E72D297353CC}">
              <c16:uniqueId val="{00000001-BD2C-458E-A1E2-0E0922DFE3E5}"/>
            </c:ext>
          </c:extLst>
        </c:ser>
        <c:dLbls>
          <c:dLblPos val="ctr"/>
          <c:showLegendKey val="0"/>
          <c:showVal val="1"/>
          <c:showCatName val="0"/>
          <c:showSerName val="0"/>
          <c:showPercent val="0"/>
          <c:showBubbleSize val="0"/>
        </c:dLbls>
        <c:marker val="1"/>
        <c:smooth val="0"/>
        <c:axId val="726338271"/>
        <c:axId val="632002143"/>
      </c:lineChart>
      <c:catAx>
        <c:axId val="726338271"/>
        <c:scaling>
          <c:orientation val="minMax"/>
        </c:scaling>
        <c:delete val="0"/>
        <c:axPos val="b"/>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32002143"/>
        <c:crosses val="autoZero"/>
        <c:auto val="1"/>
        <c:lblAlgn val="ctr"/>
        <c:lblOffset val="100"/>
        <c:noMultiLvlLbl val="1"/>
      </c:catAx>
      <c:valAx>
        <c:axId val="632002143"/>
        <c:scaling>
          <c:orientation val="minMax"/>
        </c:scaling>
        <c:delete val="1"/>
        <c:axPos val="l"/>
        <c:numFmt formatCode="General" sourceLinked="1"/>
        <c:majorTickMark val="none"/>
        <c:minorTickMark val="none"/>
        <c:tickLblPos val="nextTo"/>
        <c:crossAx val="726338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Table!$F$11</c:f>
              <c:strCache>
                <c:ptCount val="1"/>
                <c:pt idx="0">
                  <c:v>(1) Gross Profit Margin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Table!$G$11:$K$11</c:f>
              <c:numCache>
                <c:formatCode>General</c:formatCode>
                <c:ptCount val="5"/>
                <c:pt idx="0">
                  <c:v>27.313458797695805</c:v>
                </c:pt>
                <c:pt idx="1">
                  <c:v>48.03757672664252</c:v>
                </c:pt>
                <c:pt idx="2">
                  <c:v>43.705662420845485</c:v>
                </c:pt>
                <c:pt idx="3">
                  <c:v>35.387683857808518</c:v>
                </c:pt>
                <c:pt idx="4">
                  <c:v>41.761784154632167</c:v>
                </c:pt>
              </c:numCache>
            </c:numRef>
          </c:val>
          <c:smooth val="0"/>
          <c:extLst>
            <c:ext xmlns:c16="http://schemas.microsoft.com/office/drawing/2014/chart" uri="{C3380CC4-5D6E-409C-BE32-E72D297353CC}">
              <c16:uniqueId val="{00000000-5CAF-4979-9F26-9C8F78C247D3}"/>
            </c:ext>
          </c:extLst>
        </c:ser>
        <c:dLbls>
          <c:dLblPos val="ctr"/>
          <c:showLegendKey val="0"/>
          <c:showVal val="1"/>
          <c:showCatName val="0"/>
          <c:showSerName val="0"/>
          <c:showPercent val="0"/>
          <c:showBubbleSize val="0"/>
        </c:dLbls>
        <c:marker val="1"/>
        <c:smooth val="0"/>
        <c:axId val="634768095"/>
        <c:axId val="513125727"/>
      </c:lineChart>
      <c:dateAx>
        <c:axId val="63476809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25727"/>
        <c:crosses val="autoZero"/>
        <c:auto val="1"/>
        <c:lblOffset val="100"/>
        <c:baseTimeUnit val="years"/>
      </c:dateAx>
      <c:valAx>
        <c:axId val="513125727"/>
        <c:scaling>
          <c:orientation val="minMax"/>
        </c:scaling>
        <c:delete val="1"/>
        <c:axPos val="l"/>
        <c:numFmt formatCode="General" sourceLinked="1"/>
        <c:majorTickMark val="none"/>
        <c:minorTickMark val="none"/>
        <c:tickLblPos val="nextTo"/>
        <c:crossAx val="634768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Table!$F$15</c:f>
              <c:strCache>
                <c:ptCount val="1"/>
                <c:pt idx="0">
                  <c:v>(2) Operating profit margin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Table!$G$15:$K$15</c:f>
              <c:numCache>
                <c:formatCode>General</c:formatCode>
                <c:ptCount val="5"/>
                <c:pt idx="0">
                  <c:v>24.05105257389117</c:v>
                </c:pt>
                <c:pt idx="1">
                  <c:v>40.754394524627124</c:v>
                </c:pt>
                <c:pt idx="2">
                  <c:v>33.136636645916958</c:v>
                </c:pt>
                <c:pt idx="3">
                  <c:v>25.259278538923098</c:v>
                </c:pt>
                <c:pt idx="4">
                  <c:v>32.527575054963172</c:v>
                </c:pt>
              </c:numCache>
            </c:numRef>
          </c:val>
          <c:smooth val="0"/>
          <c:extLst>
            <c:ext xmlns:c16="http://schemas.microsoft.com/office/drawing/2014/chart" uri="{C3380CC4-5D6E-409C-BE32-E72D297353CC}">
              <c16:uniqueId val="{00000000-5B4A-40EE-9B46-1F26A00FF66F}"/>
            </c:ext>
          </c:extLst>
        </c:ser>
        <c:dLbls>
          <c:dLblPos val="ctr"/>
          <c:showLegendKey val="0"/>
          <c:showVal val="1"/>
          <c:showCatName val="0"/>
          <c:showSerName val="0"/>
          <c:showPercent val="0"/>
          <c:showBubbleSize val="0"/>
        </c:dLbls>
        <c:marker val="1"/>
        <c:smooth val="0"/>
        <c:axId val="634771935"/>
        <c:axId val="513118287"/>
      </c:lineChart>
      <c:dateAx>
        <c:axId val="63477193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18287"/>
        <c:crosses val="autoZero"/>
        <c:auto val="1"/>
        <c:lblOffset val="100"/>
        <c:baseTimeUnit val="years"/>
      </c:dateAx>
      <c:valAx>
        <c:axId val="513118287"/>
        <c:scaling>
          <c:orientation val="minMax"/>
        </c:scaling>
        <c:delete val="1"/>
        <c:axPos val="l"/>
        <c:numFmt formatCode="General" sourceLinked="1"/>
        <c:majorTickMark val="none"/>
        <c:minorTickMark val="none"/>
        <c:tickLblPos val="nextTo"/>
        <c:crossAx val="634771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Table!$F$17</c:f>
              <c:strCache>
                <c:ptCount val="1"/>
                <c:pt idx="0">
                  <c:v>(3) EBIT / PBIT Margin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Table!$G$17:$K$17</c:f>
              <c:numCache>
                <c:formatCode>General</c:formatCode>
                <c:ptCount val="5"/>
                <c:pt idx="0">
                  <c:v>19.838392789455302</c:v>
                </c:pt>
                <c:pt idx="1">
                  <c:v>36.519676782175971</c:v>
                </c:pt>
                <c:pt idx="2">
                  <c:v>26.635899479062413</c:v>
                </c:pt>
                <c:pt idx="3">
                  <c:v>18.772876483987929</c:v>
                </c:pt>
                <c:pt idx="4">
                  <c:v>27.14177920355662</c:v>
                </c:pt>
              </c:numCache>
            </c:numRef>
          </c:val>
          <c:smooth val="0"/>
          <c:extLst>
            <c:ext xmlns:c16="http://schemas.microsoft.com/office/drawing/2014/chart" uri="{C3380CC4-5D6E-409C-BE32-E72D297353CC}">
              <c16:uniqueId val="{00000000-884C-4BF6-9FB4-BDD9A813FA65}"/>
            </c:ext>
          </c:extLst>
        </c:ser>
        <c:dLbls>
          <c:dLblPos val="ctr"/>
          <c:showLegendKey val="0"/>
          <c:showVal val="1"/>
          <c:showCatName val="0"/>
          <c:showSerName val="0"/>
          <c:showPercent val="0"/>
          <c:showBubbleSize val="0"/>
        </c:dLbls>
        <c:marker val="1"/>
        <c:smooth val="0"/>
        <c:axId val="634775295"/>
        <c:axId val="513116799"/>
      </c:lineChart>
      <c:dateAx>
        <c:axId val="63477529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16799"/>
        <c:crosses val="autoZero"/>
        <c:auto val="1"/>
        <c:lblOffset val="100"/>
        <c:baseTimeUnit val="years"/>
      </c:dateAx>
      <c:valAx>
        <c:axId val="513116799"/>
        <c:scaling>
          <c:orientation val="minMax"/>
        </c:scaling>
        <c:delete val="1"/>
        <c:axPos val="l"/>
        <c:numFmt formatCode="General" sourceLinked="1"/>
        <c:majorTickMark val="none"/>
        <c:minorTickMark val="none"/>
        <c:tickLblPos val="nextTo"/>
        <c:crossAx val="634775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Table!$F$20</c:f>
              <c:strCache>
                <c:ptCount val="1"/>
                <c:pt idx="0">
                  <c:v>(4) EBT / PBT margin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Table!$G$20:$K$20</c:f>
              <c:numCache>
                <c:formatCode>General</c:formatCode>
                <c:ptCount val="5"/>
                <c:pt idx="0">
                  <c:v>16.898900226980601</c:v>
                </c:pt>
                <c:pt idx="1">
                  <c:v>34.355631839226611</c:v>
                </c:pt>
                <c:pt idx="2">
                  <c:v>21.238464087541473</c:v>
                </c:pt>
                <c:pt idx="3">
                  <c:v>13.757634733090244</c:v>
                </c:pt>
                <c:pt idx="4">
                  <c:v>23.142992613607078</c:v>
                </c:pt>
              </c:numCache>
            </c:numRef>
          </c:val>
          <c:smooth val="0"/>
          <c:extLst>
            <c:ext xmlns:c16="http://schemas.microsoft.com/office/drawing/2014/chart" uri="{C3380CC4-5D6E-409C-BE32-E72D297353CC}">
              <c16:uniqueId val="{00000000-1BC2-4BD8-8005-1A46A71F372D}"/>
            </c:ext>
          </c:extLst>
        </c:ser>
        <c:dLbls>
          <c:dLblPos val="ctr"/>
          <c:showLegendKey val="0"/>
          <c:showVal val="1"/>
          <c:showCatName val="0"/>
          <c:showSerName val="0"/>
          <c:showPercent val="0"/>
          <c:showBubbleSize val="0"/>
        </c:dLbls>
        <c:marker val="1"/>
        <c:smooth val="0"/>
        <c:axId val="634767135"/>
        <c:axId val="513106879"/>
      </c:lineChart>
      <c:dateAx>
        <c:axId val="63476713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06879"/>
        <c:crosses val="autoZero"/>
        <c:auto val="1"/>
        <c:lblOffset val="100"/>
        <c:baseTimeUnit val="years"/>
      </c:dateAx>
      <c:valAx>
        <c:axId val="513106879"/>
        <c:scaling>
          <c:orientation val="minMax"/>
        </c:scaling>
        <c:delete val="1"/>
        <c:axPos val="l"/>
        <c:numFmt formatCode="General" sourceLinked="1"/>
        <c:majorTickMark val="none"/>
        <c:minorTickMark val="none"/>
        <c:tickLblPos val="nextTo"/>
        <c:crossAx val="634767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Table!$F$23</c:f>
              <c:strCache>
                <c:ptCount val="1"/>
                <c:pt idx="0">
                  <c:v>(5) Net profit margin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Table!$G$23:$K$23</c:f>
              <c:numCache>
                <c:formatCode>General</c:formatCode>
                <c:ptCount val="5"/>
                <c:pt idx="0">
                  <c:v>12.011096794877659</c:v>
                </c:pt>
                <c:pt idx="1">
                  <c:v>25.58582746188906</c:v>
                </c:pt>
                <c:pt idx="2">
                  <c:v>20.298796238143169</c:v>
                </c:pt>
                <c:pt idx="3">
                  <c:v>11.15858651726778</c:v>
                </c:pt>
                <c:pt idx="4">
                  <c:v>14.917225267706469</c:v>
                </c:pt>
              </c:numCache>
            </c:numRef>
          </c:val>
          <c:smooth val="0"/>
          <c:extLst>
            <c:ext xmlns:c16="http://schemas.microsoft.com/office/drawing/2014/chart" uri="{C3380CC4-5D6E-409C-BE32-E72D297353CC}">
              <c16:uniqueId val="{00000000-C8BC-4379-BA75-2C466B91B71C}"/>
            </c:ext>
          </c:extLst>
        </c:ser>
        <c:dLbls>
          <c:dLblPos val="ctr"/>
          <c:showLegendKey val="0"/>
          <c:showVal val="1"/>
          <c:showCatName val="0"/>
          <c:showSerName val="0"/>
          <c:showPercent val="0"/>
          <c:showBubbleSize val="0"/>
        </c:dLbls>
        <c:marker val="1"/>
        <c:smooth val="0"/>
        <c:axId val="504289935"/>
        <c:axId val="513122751"/>
      </c:lineChart>
      <c:dateAx>
        <c:axId val="50428993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13122751"/>
        <c:crosses val="autoZero"/>
        <c:auto val="1"/>
        <c:lblOffset val="100"/>
        <c:baseTimeUnit val="years"/>
      </c:dateAx>
      <c:valAx>
        <c:axId val="513122751"/>
        <c:scaling>
          <c:orientation val="minMax"/>
        </c:scaling>
        <c:delete val="1"/>
        <c:axPos val="l"/>
        <c:numFmt formatCode="General" sourceLinked="1"/>
        <c:majorTickMark val="none"/>
        <c:minorTickMark val="none"/>
        <c:tickLblPos val="nextTo"/>
        <c:crossAx val="50428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Table!$F$25</c:f>
              <c:strCache>
                <c:ptCount val="1"/>
                <c:pt idx="0">
                  <c:v>(6) Return on assets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Table!$G$3:$K$3</c:f>
              <c:numCache>
                <c:formatCode>mmm\-yy</c:formatCode>
                <c:ptCount val="5"/>
                <c:pt idx="0">
                  <c:v>44986</c:v>
                </c:pt>
                <c:pt idx="1">
                  <c:v>44621</c:v>
                </c:pt>
                <c:pt idx="2">
                  <c:v>44256</c:v>
                </c:pt>
                <c:pt idx="3">
                  <c:v>43891</c:v>
                </c:pt>
                <c:pt idx="4">
                  <c:v>43525</c:v>
                </c:pt>
              </c:numCache>
            </c:numRef>
          </c:cat>
          <c:val>
            <c:numRef>
              <c:f>Table!$G$25:$K$25</c:f>
              <c:numCache>
                <c:formatCode>General</c:formatCode>
                <c:ptCount val="5"/>
                <c:pt idx="0">
                  <c:v>47.502532607367762</c:v>
                </c:pt>
                <c:pt idx="1">
                  <c:v>109.70750419364461</c:v>
                </c:pt>
                <c:pt idx="2">
                  <c:v>69.920312893745134</c:v>
                </c:pt>
                <c:pt idx="3">
                  <c:v>36.458284058137117</c:v>
                </c:pt>
                <c:pt idx="4">
                  <c:v>40.763521466639858</c:v>
                </c:pt>
              </c:numCache>
            </c:numRef>
          </c:val>
          <c:smooth val="0"/>
          <c:extLst>
            <c:ext xmlns:c16="http://schemas.microsoft.com/office/drawing/2014/chart" uri="{C3380CC4-5D6E-409C-BE32-E72D297353CC}">
              <c16:uniqueId val="{00000000-45CF-4146-BC5E-7AB8D94EFD64}"/>
            </c:ext>
          </c:extLst>
        </c:ser>
        <c:dLbls>
          <c:dLblPos val="ctr"/>
          <c:showLegendKey val="0"/>
          <c:showVal val="1"/>
          <c:showCatName val="0"/>
          <c:showSerName val="0"/>
          <c:showPercent val="0"/>
          <c:showBubbleSize val="0"/>
        </c:dLbls>
        <c:marker val="1"/>
        <c:smooth val="0"/>
        <c:axId val="367355615"/>
        <c:axId val="641514271"/>
      </c:lineChart>
      <c:dateAx>
        <c:axId val="367355615"/>
        <c:scaling>
          <c:orientation val="minMax"/>
        </c:scaling>
        <c:delete val="0"/>
        <c:axPos val="b"/>
        <c:numFmt formatCode="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1514271"/>
        <c:crosses val="autoZero"/>
        <c:auto val="1"/>
        <c:lblOffset val="100"/>
        <c:baseTimeUnit val="years"/>
      </c:dateAx>
      <c:valAx>
        <c:axId val="641514271"/>
        <c:scaling>
          <c:orientation val="minMax"/>
        </c:scaling>
        <c:delete val="1"/>
        <c:axPos val="l"/>
        <c:numFmt formatCode="General" sourceLinked="1"/>
        <c:majorTickMark val="none"/>
        <c:minorTickMark val="none"/>
        <c:tickLblPos val="nextTo"/>
        <c:crossAx val="36735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ce6054b-fca5-484b-bb91-bc29c9f60d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DDFC1DA5D64849A8480B849DBC4BFD" ma:contentTypeVersion="8" ma:contentTypeDescription="Create a new document." ma:contentTypeScope="" ma:versionID="ac61fd1881f154e75c4d6e1b4c8040a6">
  <xsd:schema xmlns:xsd="http://www.w3.org/2001/XMLSchema" xmlns:xs="http://www.w3.org/2001/XMLSchema" xmlns:p="http://schemas.microsoft.com/office/2006/metadata/properties" xmlns:ns3="8ce6054b-fca5-484b-bb91-bc29c9f60df1" xmlns:ns4="1b68f2a0-e56c-4a78-b91d-d9ad978e2000" targetNamespace="http://schemas.microsoft.com/office/2006/metadata/properties" ma:root="true" ma:fieldsID="cf43b08fc22d1f69440bdf20941846f3" ns3:_="" ns4:_="">
    <xsd:import namespace="8ce6054b-fca5-484b-bb91-bc29c9f60df1"/>
    <xsd:import namespace="1b68f2a0-e56c-4a78-b91d-d9ad978e200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6054b-fca5-484b-bb91-bc29c9f60d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68f2a0-e56c-4a78-b91d-d9ad978e20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37259-12C7-4663-A467-5665820D5278}">
  <ds:schemaRefs>
    <ds:schemaRef ds:uri="http://schemas.microsoft.com/sharepoint/v3/contenttype/forms"/>
  </ds:schemaRefs>
</ds:datastoreItem>
</file>

<file path=customXml/itemProps2.xml><?xml version="1.0" encoding="utf-8"?>
<ds:datastoreItem xmlns:ds="http://schemas.openxmlformats.org/officeDocument/2006/customXml" ds:itemID="{77A4CCD0-3E70-4F3F-9C09-95CC95B854AC}">
  <ds:schemaRefs>
    <ds:schemaRef ds:uri="http://schemas.microsoft.com/office/2006/metadata/properties"/>
    <ds:schemaRef ds:uri="http://schemas.microsoft.com/office/infopath/2007/PartnerControls"/>
    <ds:schemaRef ds:uri="8ce6054b-fca5-484b-bb91-bc29c9f60df1"/>
  </ds:schemaRefs>
</ds:datastoreItem>
</file>

<file path=customXml/itemProps3.xml><?xml version="1.0" encoding="utf-8"?>
<ds:datastoreItem xmlns:ds="http://schemas.openxmlformats.org/officeDocument/2006/customXml" ds:itemID="{0FD65F2B-4C09-466E-BFD8-1D1A72E28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6054b-fca5-484b-bb91-bc29c9f60df1"/>
    <ds:schemaRef ds:uri="1b68f2a0-e56c-4a78-b91d-d9ad978e2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6D8389-6A83-4FCE-AB43-C1A8ADE7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39</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Prathmesh Talhande</cp:lastModifiedBy>
  <cp:revision>28</cp:revision>
  <dcterms:created xsi:type="dcterms:W3CDTF">2023-10-08T00:14:00Z</dcterms:created>
  <dcterms:modified xsi:type="dcterms:W3CDTF">2024-01-06T20:45:00Z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0x010100BFDDFC1DA5D64849A8480B849DBC4BFD</vt:lpwstr>
  </property>
</Properties>
</file>