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21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320" w:after="80"/>
              <w:rPr>
                <w:rFonts w:ascii="Calibri" w:hAnsi="Calibri" w:eastAsia="Calibri" w:cs="Calibri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2025"/>
        <w:gridCol w:w="5300"/>
        <w:gridCol w:w="1349"/>
      </w:tblGrid>
      <w:tr>
        <w:trPr>
          <w:tblHeader w:val="true"/>
        </w:trPr>
        <w:tc>
          <w:tcPr>
            <w:tcW w:w="685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Emphasis"/>
                <w:b/>
              </w:rPr>
              <w:t>Details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Emphasis"/>
                <w:b/>
              </w:rPr>
              <w:t>Screenshot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Model Summary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Transfer learning approach applied to classify waste images into Biodegradable, Recyclable, and Trash categories. Utilized pre-trained models fine-tuned on our dataset for enhanced accuracy and efficiency.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Accuracy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- Training Accuracy: 98% - Validation Accuracy: 98%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Confidence Score </w:t>
            </w:r>
            <w:r>
              <w:rPr>
                <w:rStyle w:val="Emphasis"/>
              </w:rPr>
              <w:t>(If YOLO or object detection used)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- Classes detected accurately with high confidence. - Example: Model shows 92% confidence in correct classification of waste types.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41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98</Words>
  <Characters>624</Characters>
  <CharactersWithSpaces>699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2025-06-28T12:44:10Z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