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6024828"/>
      <w:bookmarkStart w:id="1" w:name="_Toc526616507"/>
      <w:bookmarkStart w:id="2" w:name="_Toc526017437"/>
      <w:bookmarkStart w:id="3" w:name="_Toc526017400"/>
      <w:bookmarkStart w:id="4" w:name="_Toc526024415"/>
      <w:bookmarkStart w:id="5" w:name="_Toc497416131"/>
      <w:bookmarkStart w:id="6" w:name="_Toc527843619"/>
      <w:bookmarkStart w:id="7" w:name="_Toc526024954"/>
      <w:bookmarkStart w:id="8" w:name="_Toc526616651"/>
      <w:bookmarkStart w:id="9" w:name="_Toc526025162"/>
      <w:bookmarkStart w:id="10" w:name="_Toc526017357"/>
      <w:r>
        <w:rPr>
          <w:rFonts w:hint="eastAsia"/>
        </w:rPr>
        <w:t>第4</w:t>
      </w:r>
      <w:r>
        <w:t>章  成本管理计划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1.劳动估计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数量或小时数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单位小时成本</w:t>
            </w:r>
          </w:p>
        </w:tc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子层总和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计算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项目成员劳动估计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960h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42.75 元/h</w:t>
            </w:r>
          </w:p>
        </w:tc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41040元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960*42.75元/h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项目成员团建估计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2T</w:t>
            </w:r>
          </w:p>
        </w:tc>
        <w:tc>
          <w:tcPr>
            <w:tcW w:w="1425" w:type="dxa"/>
            <w:shd w:val="clear" w:color="auto" w:fill="auto"/>
          </w:tcPr>
          <w:p>
            <w:r>
              <w:rPr>
                <w:rFonts w:hint="eastAsia"/>
              </w:rPr>
              <w:t>500元/T</w:t>
            </w:r>
          </w:p>
        </w:tc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1000元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2*500元/T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其他劳动成本</w:t>
            </w:r>
          </w:p>
        </w:tc>
        <w:tc>
          <w:tcPr>
            <w:tcW w:w="1425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5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（例如保险费等不做计算）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总劳动成本估计</w:t>
            </w:r>
          </w:p>
        </w:tc>
        <w:tc>
          <w:tcPr>
            <w:tcW w:w="1425" w:type="dxa"/>
            <w:shd w:val="clear" w:color="auto" w:fill="auto"/>
            <w:vAlign w:val="top"/>
          </w:tcPr>
          <w:p/>
        </w:tc>
        <w:tc>
          <w:tcPr>
            <w:tcW w:w="1425" w:type="dxa"/>
            <w:shd w:val="clear" w:color="auto" w:fill="auto"/>
            <w:vAlign w:val="top"/>
          </w:tcPr>
          <w:p/>
        </w:tc>
        <w:tc>
          <w:tcPr>
            <w:tcW w:w="142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42040元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以上数值相加</w:t>
            </w:r>
          </w:p>
        </w:tc>
        <w:tc>
          <w:tcPr>
            <w:tcW w:w="1403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r>
              <w:rPr>
                <w:rFonts w:hint="eastAsia"/>
              </w:rPr>
              <w:t>2.其他估计</w:t>
            </w:r>
          </w:p>
        </w:tc>
        <w:tc>
          <w:tcPr>
            <w:tcW w:w="1425" w:type="dxa"/>
            <w:shd w:val="clear" w:color="auto" w:fill="auto"/>
          </w:tcPr>
          <w:p/>
        </w:tc>
        <w:tc>
          <w:tcPr>
            <w:tcW w:w="1425" w:type="dxa"/>
            <w:shd w:val="clear" w:color="auto" w:fill="auto"/>
          </w:tcPr>
          <w:p/>
        </w:tc>
        <w:tc>
          <w:tcPr>
            <w:tcW w:w="1424" w:type="dxa"/>
            <w:shd w:val="clear" w:color="auto" w:fill="auto"/>
          </w:tcPr>
          <w:p/>
        </w:tc>
        <w:tc>
          <w:tcPr>
            <w:tcW w:w="1418" w:type="dxa"/>
            <w:shd w:val="clear" w:color="auto" w:fill="auto"/>
          </w:tcPr>
          <w:p/>
        </w:tc>
        <w:tc>
          <w:tcPr>
            <w:tcW w:w="140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软件（本次所有的使用的软件，包括WPS，Github</w:t>
            </w:r>
          </w:p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Desktop，x Mind等等）   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4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03" w:type="dxa"/>
            <w:shd w:val="clear" w:color="auto" w:fill="auto"/>
          </w:tcPr>
          <w:p>
            <w:pPr>
              <w:jc w:val="left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本次软件的花费用为0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  <w:bookmarkStart w:id="11" w:name="_GoBack"/>
            <w:bookmarkEnd w:id="11"/>
          </w:p>
        </w:tc>
        <w:tc>
          <w:tcPr>
            <w:tcW w:w="1424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书籍参考网页PDF，无需花费。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其他的花费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5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24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>
            <w:pPr>
              <w:ind w:firstLine="630" w:firstLineChars="300"/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403" w:type="dxa"/>
            <w:shd w:val="clear" w:color="auto" w:fill="auto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暂无。</w:t>
            </w:r>
          </w:p>
        </w:tc>
      </w:tr>
    </w:tbl>
    <w:p>
      <w:r>
        <w:t>详细说明</w:t>
      </w:r>
      <w:r>
        <w:rPr>
          <w:rFonts w:hint="eastAsia"/>
        </w:rPr>
        <w:t>：</w:t>
      </w:r>
    </w:p>
    <w:p>
      <w:r>
        <w:rPr>
          <w:rFonts w:hint="eastAsia"/>
        </w:rPr>
        <w:t>1.项目成员劳动估计：</w:t>
      </w:r>
    </w:p>
    <w:p>
      <w:pPr>
        <w:ind w:firstLine="420" w:firstLineChars="200"/>
      </w:pPr>
      <w:r>
        <w:rPr>
          <w:rFonts w:hint="eastAsia"/>
        </w:rPr>
        <w:t>按照每人每天工作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非双休日）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双休日（周六周日）每天工作4小时</w:t>
      </w:r>
      <w:r>
        <w:rPr>
          <w:rFonts w:hint="eastAsia"/>
        </w:rPr>
        <w:t>，工资标准为</w:t>
      </w:r>
      <w:r>
        <w:t>69.34</w:t>
      </w:r>
      <w:r>
        <w:rPr>
          <w:rFonts w:hint="eastAsia"/>
        </w:rPr>
        <w:t>元/每人每小时，项目时间一共十六周，人员工资预算共计</w:t>
      </w:r>
      <w:r>
        <w:rPr>
          <w:rFonts w:hint="eastAsia"/>
          <w:lang w:val="en-US" w:eastAsia="zh-CN"/>
        </w:rPr>
        <w:t>7211.60</w:t>
      </w:r>
      <w:r>
        <w:rPr>
          <w:rFonts w:hint="eastAsia"/>
        </w:rPr>
        <w:t>元。</w:t>
      </w:r>
    </w:p>
    <w:p>
      <w:r>
        <w:rPr>
          <w:rFonts w:hint="eastAsia"/>
        </w:rPr>
        <w:t>2.项目成员团建估计：</w:t>
      </w:r>
    </w:p>
    <w:p>
      <w:pPr>
        <w:ind w:firstLine="420"/>
      </w:pPr>
      <w:r>
        <w:rPr>
          <w:rFonts w:hint="eastAsia"/>
        </w:rPr>
        <w:t>按团队500元/次，项目时间总计三个月，一共进行2次团队建设预算总计1000元。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.总计：</w:t>
      </w:r>
    </w:p>
    <w:p>
      <w:pPr>
        <w:ind w:left="425"/>
        <w:rPr>
          <w:rFonts w:hint="eastAsia"/>
        </w:rPr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  <w:lang w:val="en-US" w:eastAsia="zh-CN"/>
        </w:rPr>
        <w:t>72113.6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备注:根据2017年城镇非私营单位就业人员分行业年平均工资报告指出：</w:t>
      </w:r>
    </w:p>
    <w:p>
      <w:pPr>
        <w:ind w:firstLine="420" w:firstLineChars="0"/>
      </w:pPr>
      <w:r>
        <w:rPr>
          <w:rFonts w:hint="eastAsia"/>
        </w:rPr>
        <w:t>以总体平均看(以一年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</w:t>
      </w:r>
      <w:r>
        <w:t>)</w:t>
      </w:r>
      <w:r>
        <w:rPr>
          <w:rFonts w:hint="eastAsia"/>
        </w:rPr>
        <w:t>：</w:t>
      </w:r>
    </w:p>
    <w:p>
      <w:pPr>
        <w:ind w:firstLine="420" w:firstLineChars="0"/>
      </w:pPr>
      <w:r>
        <w:rPr>
          <w:rFonts w:hint="eastAsia"/>
        </w:rPr>
        <w:t>人均工资/小时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元/小时）</w:t>
      </w:r>
    </w:p>
    <w:p>
      <w:pPr>
        <w:ind w:firstLine="420" w:firstLineChars="0"/>
      </w:pPr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</w:t>
      </w:r>
    </w:p>
    <w:p>
      <w:pPr>
        <w:ind w:firstLine="420" w:firstLineChars="0"/>
      </w:pPr>
      <w:r>
        <w:rPr>
          <w:rFonts w:hint="eastAsia"/>
        </w:rPr>
        <w:t>人均工资/小时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（元/小时）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D，一天工作8小时为准，实际可能大于8小时</w:t>
      </w:r>
      <w:r>
        <w:t>)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人均工资/小时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（元/小时）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12F41"/>
    <w:rsid w:val="2BF3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</dc:creator>
  <cp:lastModifiedBy>周德阳</cp:lastModifiedBy>
  <dcterms:modified xsi:type="dcterms:W3CDTF">2018-11-08T04:22:36Z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