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教师用例描述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1、登录用例描述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31"/>
        <w:gridCol w:w="6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31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</w:t>
            </w:r>
          </w:p>
        </w:tc>
        <w:tc>
          <w:tcPr>
            <w:tcW w:w="6991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31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用例标识号</w:t>
            </w:r>
          </w:p>
        </w:tc>
        <w:tc>
          <w:tcPr>
            <w:tcW w:w="6991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Uc001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31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用例概述</w:t>
            </w:r>
          </w:p>
        </w:tc>
        <w:tc>
          <w:tcPr>
            <w:tcW w:w="6991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教师登录模块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31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991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31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991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用户进入教学辅助网站系统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31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1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教师点击网站主页面登录按钮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系统响应后弹出登录框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教师输入账号和密码，并勾选教师登录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点击登录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系统响应后在数据库内确认数据的正确性后页面跳转至教师主页面，显示相关信息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31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其他事件流</w:t>
            </w:r>
          </w:p>
        </w:tc>
        <w:tc>
          <w:tcPr>
            <w:tcW w:w="6991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31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6991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在基本事件流第5步出错：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显示提示信息：账号为空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显示提示信息：密码为空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显示提示信息：用户名不存在或者密码认证失败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31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991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完成登录</w:t>
            </w:r>
          </w:p>
        </w:tc>
      </w:tr>
    </w:tbl>
    <w:p>
      <w:pPr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注销用例描述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31"/>
        <w:gridCol w:w="6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31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</w:t>
            </w:r>
          </w:p>
        </w:tc>
        <w:tc>
          <w:tcPr>
            <w:tcW w:w="6991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31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用例标识号</w:t>
            </w:r>
          </w:p>
        </w:tc>
        <w:tc>
          <w:tcPr>
            <w:tcW w:w="6991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Uc002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31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简要说明</w:t>
            </w:r>
          </w:p>
        </w:tc>
        <w:tc>
          <w:tcPr>
            <w:tcW w:w="6991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教师注销模块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31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991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31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991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31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4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教师在教师主页面点击注销按钮</w:t>
            </w:r>
          </w:p>
          <w:p>
            <w:pPr>
              <w:numPr>
                <w:ilvl w:val="0"/>
                <w:numId w:val="4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系统响应后弹出提示框提示信息：确认要注销吗</w:t>
            </w:r>
          </w:p>
          <w:p>
            <w:pPr>
              <w:numPr>
                <w:ilvl w:val="0"/>
                <w:numId w:val="4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教师点击确认</w:t>
            </w:r>
          </w:p>
          <w:p>
            <w:pPr>
              <w:numPr>
                <w:ilvl w:val="0"/>
                <w:numId w:val="4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系统响应后页面跳转到主页面，显示主页面信息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31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其他事件流</w:t>
            </w:r>
          </w:p>
        </w:tc>
        <w:tc>
          <w:tcPr>
            <w:tcW w:w="6991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点击取消后仍停留在当前用户界面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31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6991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31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991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修改密码用例描述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31"/>
        <w:gridCol w:w="6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  <w:r>
              <w:rPr>
                <w:rFonts w:hint="eastAsia"/>
                <w:vertAlign w:val="baseline"/>
                <w:lang w:val="en-US" w:eastAsia="zh-CN"/>
              </w:rPr>
              <w:t>用例名</w:t>
            </w:r>
          </w:p>
        </w:tc>
        <w:tc>
          <w:tcPr>
            <w:tcW w:w="6991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  <w:r>
              <w:rPr>
                <w:rFonts w:hint="eastAsia"/>
                <w:vertAlign w:val="baseline"/>
                <w:lang w:val="en-US" w:eastAsia="zh-CN"/>
              </w:rPr>
              <w:t>用例标识号</w:t>
            </w:r>
          </w:p>
        </w:tc>
        <w:tc>
          <w:tcPr>
            <w:tcW w:w="6991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Uc003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  <w:r>
              <w:rPr>
                <w:rFonts w:hint="eastAsia"/>
                <w:vertAlign w:val="baseline"/>
                <w:lang w:val="en-US" w:eastAsia="zh-CN"/>
              </w:rPr>
              <w:t>简要说明</w:t>
            </w:r>
          </w:p>
        </w:tc>
        <w:tc>
          <w:tcPr>
            <w:tcW w:w="6991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991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991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  <w:r>
              <w:rPr>
                <w:rFonts w:hint="eastAsia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5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教师点击教师主页面个人中心，跳转到教师个人信息界面</w:t>
            </w:r>
          </w:p>
          <w:p>
            <w:pPr>
              <w:numPr>
                <w:ilvl w:val="0"/>
                <w:numId w:val="5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教师点击教师个人信息界面里的密码修改按钮</w:t>
            </w:r>
          </w:p>
          <w:p>
            <w:pPr>
              <w:numPr>
                <w:ilvl w:val="0"/>
                <w:numId w:val="5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系统响应后页面弹出修改密码框</w:t>
            </w:r>
          </w:p>
          <w:p>
            <w:pPr>
              <w:numPr>
                <w:ilvl w:val="0"/>
                <w:numId w:val="5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教师在修改密码框内进行操作，输入旧密码与两次新密码后点击确定</w:t>
            </w:r>
          </w:p>
          <w:p>
            <w:pPr>
              <w:numPr>
                <w:ilvl w:val="0"/>
                <w:numId w:val="5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系统响应后页面弹出提示框提示，修改密码成功</w:t>
            </w:r>
          </w:p>
          <w:p>
            <w:pPr>
              <w:numPr>
                <w:ilvl w:val="0"/>
                <w:numId w:val="5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教师点击确定按钮页面跳转到教师登录界面，重新登录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  <w:r>
              <w:rPr>
                <w:rFonts w:hint="eastAsia"/>
                <w:vertAlign w:val="baseline"/>
                <w:lang w:val="en-US" w:eastAsia="zh-CN"/>
              </w:rPr>
              <w:t>其他事件流</w:t>
            </w:r>
          </w:p>
        </w:tc>
        <w:tc>
          <w:tcPr>
            <w:tcW w:w="6991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点击取消返回用户访问界面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42" w:hRule="atLeast"/>
        </w:trPr>
        <w:tc>
          <w:tcPr>
            <w:tcW w:w="15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  <w:r>
              <w:rPr>
                <w:rFonts w:hint="eastAsia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6991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在基本操作流程第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5步出错，显示提示信息：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原密码错误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991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教师密码修改成功</w:t>
            </w:r>
          </w:p>
        </w:tc>
      </w:tr>
    </w:tbl>
    <w:p>
      <w:pPr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找回密码用例描述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31"/>
        <w:gridCol w:w="6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</w:t>
            </w:r>
          </w:p>
        </w:tc>
        <w:tc>
          <w:tcPr>
            <w:tcW w:w="6991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找回密码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用例标识号</w:t>
            </w:r>
          </w:p>
        </w:tc>
        <w:tc>
          <w:tcPr>
            <w:tcW w:w="6991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Uc004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用例概述</w:t>
            </w:r>
          </w:p>
        </w:tc>
        <w:tc>
          <w:tcPr>
            <w:tcW w:w="6991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教师密码找回模块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991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991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教师登录多次失败状态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6991" w:type="dxa"/>
          </w:tcPr>
          <w:p>
            <w:pPr>
              <w:pStyle w:val="5"/>
              <w:numPr>
                <w:ilvl w:val="0"/>
                <w:numId w:val="6"/>
              </w:numPr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登录按钮，弹出登录框，若教师多次输入账号密码而并未登录成功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教师点击登录框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的忘记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密码按钮</w:t>
            </w:r>
          </w:p>
          <w:p>
            <w:pPr>
              <w:pStyle w:val="5"/>
              <w:numPr>
                <w:ilvl w:val="0"/>
                <w:numId w:val="6"/>
              </w:numPr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系统响应后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弹出密码找回框</w:t>
            </w:r>
          </w:p>
          <w:p>
            <w:pPr>
              <w:pStyle w:val="5"/>
              <w:numPr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 教师在密码找回框内输入账号，并选择问题，输入问题的答案</w:t>
            </w:r>
          </w:p>
          <w:p>
            <w:pPr>
              <w:pStyle w:val="5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点击确定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按钮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，系统响应后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跳转到修改密码框</w:t>
            </w:r>
          </w:p>
          <w:p>
            <w:pPr>
              <w:pStyle w:val="5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5. 教师输入两次新密码，点击确定按钮。</w:t>
            </w:r>
          </w:p>
          <w:p>
            <w:pPr>
              <w:pStyle w:val="5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6. 系统响应后弹出提示框：修改密码完成</w:t>
            </w:r>
          </w:p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7. 点击提示框确定按钮后，回到主界面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其他事件流</w:t>
            </w:r>
          </w:p>
        </w:tc>
        <w:tc>
          <w:tcPr>
            <w:tcW w:w="6991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点击取消返回用户访问界面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6991" w:type="dxa"/>
          </w:tcPr>
          <w:p>
            <w:pPr>
              <w:pStyle w:val="5"/>
              <w:numPr>
                <w:ilvl w:val="0"/>
                <w:numId w:val="7"/>
              </w:numPr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在基本操作流程第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4步出错</w:t>
            </w:r>
          </w:p>
          <w:p>
            <w:pPr>
              <w:pStyle w:val="5"/>
              <w:numPr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1.1显示提示信息：请输入账号</w:t>
            </w:r>
          </w:p>
          <w:p>
            <w:pPr>
              <w:pStyle w:val="5"/>
              <w:numPr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1.2显示提示信息：请输入问题答案</w:t>
            </w:r>
          </w:p>
          <w:p>
            <w:pPr>
              <w:pStyle w:val="5"/>
              <w:numPr>
                <w:ilvl w:val="0"/>
                <w:numId w:val="7"/>
              </w:numPr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在基本操作流程第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5步出错</w:t>
            </w:r>
          </w:p>
          <w:p>
            <w:pPr>
              <w:pStyle w:val="5"/>
              <w:numPr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2.1显示提示信息：请输入密码</w:t>
            </w:r>
          </w:p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2.2显示提示信息：两次输入的密码不同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991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教师密码找回成功</w:t>
            </w:r>
            <w:bookmarkStart w:id="0" w:name="_GoBack"/>
            <w:bookmarkEnd w:id="0"/>
          </w:p>
        </w:tc>
      </w:tr>
    </w:tbl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712B7E"/>
    <w:multiLevelType w:val="singleLevel"/>
    <w:tmpl w:val="98712B7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886B681"/>
    <w:multiLevelType w:val="singleLevel"/>
    <w:tmpl w:val="D886B68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EC50073"/>
    <w:multiLevelType w:val="singleLevel"/>
    <w:tmpl w:val="DEC5007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17CBE305"/>
    <w:multiLevelType w:val="singleLevel"/>
    <w:tmpl w:val="17CBE30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38B06AB2"/>
    <w:multiLevelType w:val="singleLevel"/>
    <w:tmpl w:val="38B06AB2"/>
    <w:lvl w:ilvl="0" w:tentative="0">
      <w:start w:val="2"/>
      <w:numFmt w:val="decimal"/>
      <w:suff w:val="nothing"/>
      <w:lvlText w:val="%1、"/>
      <w:lvlJc w:val="left"/>
    </w:lvl>
  </w:abstractNum>
  <w:abstractNum w:abstractNumId="5">
    <w:nsid w:val="58555AC4"/>
    <w:multiLevelType w:val="singleLevel"/>
    <w:tmpl w:val="58555AC4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8556DAD"/>
    <w:multiLevelType w:val="singleLevel"/>
    <w:tmpl w:val="58556DAD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381C12"/>
    <w:rsid w:val="0D38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2018-11-03T13:00:00Z</dcterms:created>
  <dc:creator>asus</dc:creator>
  <cp:lastModifiedBy>asus</cp:lastModifiedBy>
  <dcterms:modified xsi:type="dcterms:W3CDTF">2018-11-03T14:07:28Z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