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AKICI OKUMA (OKUMA)</w:t>
      </w:r>
    </w:p>
    <w:p>
      <w:pPr>
        <w:spacing w:after="400"/>
        <w:jc w:val="center"/>
      </w:pPr>
      <w:r>
        <w:rPr>
          <w:i/>
          <w:iCs/>
          <w:color w:val="8A6D3B"/>
          <w:sz w:val="20"/>
          <w:szCs w:val="20"/>
        </w:rPr>
        <w:t xml:space="preserve">Öğrenme Çıktısı Kodu: T.O.5.2</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Bir metni sesli olarak; uygun hızda, doğru, akışkan biçimde, doğru vurgu-tonlama ve duraklamalarla okuma</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T.O.5.2. Akıcı okuyabilme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T.O.5.2.</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Akıcı okuma, referans dosyada tüm tema boyunca (Okuma Atölyesi dâhil) sürekli izlenmesi gereken bir beceri olarak tanımlandığından, bu ders yalnızca odaklı bir başlangıç/uygulama oturumudur; beceri farklı metinlerle tekrar tekrar pekiştirilmelidir.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bu çıktı için açık bir “Temel Kabul” ifadesi yer almaktadır: “Akıcı okuyabilme öğrenme çıktısı için dördüncü sınıftaki okuma sürecini yönetebilme öğrenme çıktısı ön öğrenme olarak kabul edilmektedir.” Bu nedenle öğretmen, öğrencilerin 4. sınıftan itibaren okuma sürecini (kitap seçme, okuma öncesi/sırası/sonrası davranışlar) genel hatlarıyla yönetebildiğini varsayabilir.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Sesli okuma için basılı/yansıtılan metin, akıcı okuma gelişim çizelgesi (öğretmen ve akran değerlendirmesi için), tahta</w:t>
            </w:r>
          </w:p>
        </w:tc>
      </w:tr>
    </w:tbl>
    <w:p>
      <w:pPr>
        <w:pBdr>
          <w:left w:val="single" w:color="8A6D3B" w:sz="12" w:space="4"/>
        </w:pBdr>
        <w:shd w:fill="FFF3D6" w:val="clear"/>
        <w:spacing w:after="160" w:before="60"/>
      </w:pPr>
      <w:r>
        <w:rPr>
          <w:i/>
          <w:iCs/>
          <w:sz w:val="20"/>
          <w:szCs w:val="20"/>
        </w:rPr>
        <w:t xml:space="preserve">NOT: Referans dosyada bu tema için önceden belirlenmiş bir okuma metni adı verilmemiştir (“okuma atölyesi uygulama esaslarına uygun olarak belirlenen iki kitap” ifadesiyle kitap seçimi okula/öğretmene bırakılmıştır). Bu pakette, diyalog içeren, vurgu-tonlama pratiğine uygun illüstratif bir örnek metin üretilmiş ve Bölüm 9’da “örnek materyal” olarak işaretlenmiştir.</w:t>
      </w:r>
    </w:p>
    <w:p>
      <w:pPr>
        <w:pStyle w:val="Heading1"/>
        <w:spacing w:after="160" w:before="320"/>
      </w:pPr>
      <w:r>
        <w:t xml:space="preserve">2. Öğrenme Çıktısı ve Maarif Modeli Bileşenleri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T.O.5.2.</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verilen metni sesli olarak uygun hız, doğruluk, vurgu-tonlama ve duraklamayla okur.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Beceri doğrudan sesli okuma uygulamasıyla gerçekleştirilir.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KB1. Temel Beceriler</w:t>
            </w:r>
          </w:p>
        </w:tc>
        <w:tc>
          <w:tcPr>
            <w:tcW w:type="dxa" w:w="4300"/>
            <w:tcMar>
              <w:top w:type="dxa" w:w="80"/>
              <w:left w:type="dxa" w:w="100"/>
              <w:bottom w:type="dxa" w:w="80"/>
              <w:right w:type="dxa" w:w="100"/>
            </w:tcMar>
            <w:vAlign w:val="center"/>
          </w:tcPr>
          <w:p>
            <w:r>
              <w:rPr>
                <w:b w:val="false"/>
                <w:bCs w:val="false"/>
                <w:color w:val="000000"/>
                <w:sz w:val="20"/>
                <w:szCs w:val="20"/>
              </w:rPr>
              <w:t xml:space="preserve">Akıcı okuma, dil becerilerinin temelini oluşturan bir temel beceridir; bu ders doğrudan bu temel becerinin geliştirilmesine yöneliktir.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E2.4. Güven</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Sesli okuma, öğrencinin kendi okuma performansına güven duymasını gerektirir ve bu güveni geliştirir.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tcMar>
              <w:top w:type="dxa" w:w="80"/>
              <w:left w:type="dxa" w:w="100"/>
              <w:bottom w:type="dxa" w:w="80"/>
              <w:right w:type="dxa" w:w="100"/>
            </w:tcMar>
            <w:vAlign w:val="center"/>
          </w:tcPr>
          <w:p>
            <w:r>
              <w:rPr>
                <w:b w:val="false"/>
                <w:bCs w:val="false"/>
                <w:color w:val="000000"/>
                <w:sz w:val="20"/>
                <w:szCs w:val="20"/>
              </w:rPr>
              <w:t xml:space="preserve">Akıcı okuma, metne kesintisiz dikkat gerektirir; duraksama ve dikkat dağınıklığı akıcılığı doğrudan bozar.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Sosyal-Duygusal Öğrenme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SDB2.1. İletişim, SDB2.2. İş Birliği</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Eşli/akran okuma ve akran değerlendirmesi uygulamalarında öğrenciler birbirine geri bildirim vererek iletişim kurar ve iş birliği yapar.</w:t>
            </w:r>
          </w:p>
        </w:tc>
      </w:tr>
    </w:tbl>
    <w:p>
      <w:pPr>
        <w:pBdr>
          <w:left w:val="single" w:color="8A6D3B" w:sz="12" w:space="4"/>
        </w:pBdr>
        <w:shd w:fill="FFF3D6" w:val="clear"/>
        <w:spacing w:after="160" w:before="60"/>
      </w:pPr>
      <w:r>
        <w:rPr>
          <w:i/>
          <w:iCs/>
          <w:sz w:val="20"/>
          <w:szCs w:val="20"/>
        </w:rPr>
        <w:t xml:space="preserve">Referans dosyada okuma sürecini yönetebilme öğrenme çıktısı (T.O.5.3.) ile akıcı okuma (T.O.5.2.) aynı öğretim-öğretme uygulamaları cümlesinde birlikte anılmaktadır: “Öğrencilerin sesli okuma çalışmalarında akıcı bir şekilde okuyup okumadıkları izlenir; ... okumada strateji, yöntem ve teknik seçimlerini yönetebilmelerini sağlayacak çalışmalar yapılır (T.O.5.2., T.O.5.3.).” Bu nedenle bu iki çıktı doğal olarak birlikte işlenmeye uygundur; ancak bu paket, kullanıcı talebi doğrultusunda T.O.5.2.’yi odağa almaktadır. T.O.5.3.’ün (strateji/yöntem/teknik seçimi) kendi ölçütleri ve etkinlikleri ayrı bir derste ayrıca ele alınmalıdır; bu pakette zorlanarak birleştirilmemiştir.</w:t>
      </w:r>
    </w:p>
    <w:p>
      <w:pPr>
        <w:pStyle w:val="Heading1"/>
        <w:spacing w:after="160" w:before="320"/>
      </w:pPr>
      <w:r>
        <w:t xml:space="preserve">3. Öğrenci Hazırbulunuşluğu ve Muhtemel Güçlükler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4. sınıftan itibaren temel okuma sürecini yönetme deneyimine sahiptir (Temel Kabul).</w:t>
      </w:r>
    </w:p>
    <w:p>
      <w:pPr>
        <w:pStyle w:val="ListParagraph"/>
        <w:numPr>
          <w:ilvl w:val="0"/>
          <w:numId w:val="1"/>
        </w:numPr>
        <w:spacing w:after="60"/>
      </w:pPr>
      <w:r>
        <w:t xml:space="preserve">Öğrenciler günlük yaşamda “akıcı okuma” ile “kekeleyerek/duraksayarak okuma” arasındaki farkı sezgisel olarak ayırt edebilir, ancak bunu adlandırma ve kendi okumasında fark etme becerisi gelişmemiş olabilir.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“akıcı okuma” ile “hızlı okuma” kavramlarını karıştırabilir; hızlı okumanın tek başına akıcılık göstergesi olduğunu düşünebilirler.</w:t>
      </w:r>
    </w:p>
    <w:p>
      <w:pPr>
        <w:pStyle w:val="ListParagraph"/>
        <w:numPr>
          <w:ilvl w:val="0"/>
          <w:numId w:val="1"/>
        </w:numPr>
        <w:spacing w:after="60"/>
      </w:pPr>
      <w:r>
        <w:t xml:space="preserve">Noktalama işaretlerine göre ses tonunu ayarlamadan (soru cümlesini düz cümle gibi okuma vb.) düz bir tonda okuma eğilimi görülebilir.</w:t>
      </w:r>
    </w:p>
    <w:p>
      <w:pPr>
        <w:pStyle w:val="ListParagraph"/>
        <w:numPr>
          <w:ilvl w:val="0"/>
          <w:numId w:val="1"/>
        </w:numPr>
        <w:spacing w:after="60"/>
      </w:pPr>
      <w:r>
        <w:t xml:space="preserve">Bilmedikleri bir kelimede uzun süre takılıp akışı tamamen kesebilirler.</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Okuma güçlüğü olan öğrenciler için metnin önceden bir kez sessizce incelenmesine izin verilmesi.</w:t>
      </w:r>
    </w:p>
    <w:p>
      <w:pPr>
        <w:pStyle w:val="ListParagraph"/>
        <w:numPr>
          <w:ilvl w:val="0"/>
          <w:numId w:val="1"/>
        </w:numPr>
        <w:spacing w:after="60"/>
      </w:pPr>
      <w:r>
        <w:t xml:space="preserve">Zor kelimelerin okuma öncesinde kısaca vurgulanması.</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Aynı cümleyi hem duraksayarak hem akıcı biçimde okuyup farkı sordurur</w:t>
            </w:r>
          </w:p>
        </w:tc>
        <w:tc>
          <w:tcPr>
            <w:tcW w:type="dxa" w:w="1900"/>
            <w:tcMar>
              <w:top w:type="dxa" w:w="80"/>
              <w:left w:type="dxa" w:w="100"/>
              <w:bottom w:type="dxa" w:w="80"/>
              <w:right w:type="dxa" w:w="100"/>
            </w:tcMar>
            <w:vAlign w:val="center"/>
          </w:tcPr>
          <w:p>
            <w:r>
              <w:rPr>
                <w:b w:val="false"/>
                <w:bCs w:val="false"/>
                <w:color w:val="000000"/>
                <w:sz w:val="20"/>
                <w:szCs w:val="20"/>
              </w:rPr>
              <w:t xml:space="preserve">Farkı fark eder, yorumlar</w:t>
            </w:r>
          </w:p>
        </w:tc>
        <w:tc>
          <w:tcPr>
            <w:tcW w:type="dxa" w:w="1500"/>
            <w:tcMar>
              <w:top w:type="dxa" w:w="80"/>
              <w:left w:type="dxa" w:w="100"/>
              <w:bottom w:type="dxa" w:w="80"/>
              <w:right w:type="dxa" w:w="100"/>
            </w:tcMar>
            <w:vAlign w:val="center"/>
          </w:tcPr>
          <w:p>
            <w:r>
              <w:rPr>
                <w:b w:val="false"/>
                <w:bCs w:val="false"/>
                <w:color w:val="000000"/>
                <w:sz w:val="20"/>
                <w:szCs w:val="20"/>
              </w:rPr>
              <w:t xml:space="preserve">Akıcı okuma kavramına ısınma</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Ölçütlerin Tanıtımı / Modelleme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8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Akıcı okuma ölçütlerini (hız, doğruluk, vurgu-tonlama, duraklama) tanıtır, örnek metin üzerinde modeller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Ölçütleri not alır, modellemeyi izler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Akıcı okuma ölçütlerini içselleştirme (T.O.5.2.)</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Sözlü katılım, ölçüt listesi</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Eşli Sesli Okuma Uygulaması</w:t>
            </w:r>
          </w:p>
        </w:tc>
        <w:tc>
          <w:tcPr>
            <w:tcW w:type="dxa" w:w="700"/>
            <w:tcMar>
              <w:top w:type="dxa" w:w="80"/>
              <w:left w:type="dxa" w:w="100"/>
              <w:bottom w:type="dxa" w:w="80"/>
              <w:right w:type="dxa" w:w="100"/>
            </w:tcMar>
            <w:vAlign w:val="center"/>
          </w:tcPr>
          <w:p>
            <w:r>
              <w:rPr>
                <w:b w:val="false"/>
                <w:bCs w:val="false"/>
                <w:color w:val="000000"/>
                <w:sz w:val="20"/>
                <w:szCs w:val="20"/>
              </w:rPr>
              <w:t xml:space="preserve">17 dk</w:t>
            </w:r>
          </w:p>
        </w:tc>
        <w:tc>
          <w:tcPr>
            <w:tcW w:type="dxa" w:w="1900"/>
            <w:tcMar>
              <w:top w:type="dxa" w:w="80"/>
              <w:left w:type="dxa" w:w="100"/>
              <w:bottom w:type="dxa" w:w="80"/>
              <w:right w:type="dxa" w:w="100"/>
            </w:tcMar>
            <w:vAlign w:val="center"/>
          </w:tcPr>
          <w:p>
            <w:r>
              <w:rPr>
                <w:b w:val="false"/>
                <w:bCs w:val="false"/>
                <w:color w:val="000000"/>
                <w:sz w:val="20"/>
                <w:szCs w:val="20"/>
              </w:rPr>
              <w:t xml:space="preserve">Öğrencileri eşleştirir, gelişim çizelgesini tanıtır, sınıfı dolaşarak gözlem yapar</w:t>
            </w:r>
          </w:p>
        </w:tc>
        <w:tc>
          <w:tcPr>
            <w:tcW w:type="dxa" w:w="1900"/>
            <w:tcMar>
              <w:top w:type="dxa" w:w="80"/>
              <w:left w:type="dxa" w:w="100"/>
              <w:bottom w:type="dxa" w:w="80"/>
              <w:right w:type="dxa" w:w="100"/>
            </w:tcMar>
            <w:vAlign w:val="center"/>
          </w:tcPr>
          <w:p>
            <w:r>
              <w:rPr>
                <w:b w:val="false"/>
                <w:bCs w:val="false"/>
                <w:color w:val="000000"/>
                <w:sz w:val="20"/>
                <w:szCs w:val="20"/>
              </w:rPr>
              <w:t xml:space="preserve">Sırayla sesli okur, eşini gelişim çizelgesiyle dinler/değerlendirir</w:t>
            </w:r>
          </w:p>
        </w:tc>
        <w:tc>
          <w:tcPr>
            <w:tcW w:type="dxa" w:w="1500"/>
            <w:tcMar>
              <w:top w:type="dxa" w:w="80"/>
              <w:left w:type="dxa" w:w="100"/>
              <w:bottom w:type="dxa" w:w="80"/>
              <w:right w:type="dxa" w:w="100"/>
            </w:tcMar>
            <w:vAlign w:val="center"/>
          </w:tcPr>
          <w:p>
            <w:r>
              <w:rPr>
                <w:b w:val="false"/>
                <w:bCs w:val="false"/>
                <w:color w:val="000000"/>
                <w:sz w:val="20"/>
                <w:szCs w:val="20"/>
              </w:rPr>
              <w:t xml:space="preserve">Akıcı okuma becerisini uygulama ve akran geri bildirimi alma</w:t>
            </w:r>
          </w:p>
        </w:tc>
        <w:tc>
          <w:tcPr>
            <w:tcW w:type="dxa" w:w="1500"/>
            <w:tcMar>
              <w:top w:type="dxa" w:w="80"/>
              <w:left w:type="dxa" w:w="100"/>
              <w:bottom w:type="dxa" w:w="80"/>
              <w:right w:type="dxa" w:w="100"/>
            </w:tcMar>
            <w:vAlign w:val="center"/>
          </w:tcPr>
          <w:p>
            <w:r>
              <w:rPr>
                <w:b w:val="false"/>
                <w:bCs w:val="false"/>
                <w:color w:val="000000"/>
                <w:sz w:val="20"/>
                <w:szCs w:val="20"/>
              </w:rPr>
              <w:t xml:space="preserve">Doldurulmuş akran değerlendirme (gelişim çizelgesi)</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Geri Bildirim ve Pekiştirme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10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2-3 öğrenciyi sınıf önünde kısa bir bölüm okutur, geri bildirim verir, öz değerlendirme sorusu sorar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Dinler, kendi okumasını değerlendirir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Öğrenme çıktısına ulaşma düzeyinin belirlenmesi</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Öz değerlendirme notu</w:t>
            </w:r>
          </w:p>
        </w:tc>
      </w:tr>
    </w:tbl>
    <w:p>
      <w:pPr>
        <w:pBdr>
          <w:left w:val="single" w:color="8A6D3B" w:sz="12" w:space="4"/>
        </w:pBdr>
        <w:shd w:fill="FFF3D6" w:val="clear"/>
        <w:spacing w:after="160" w:before="60"/>
      </w:pPr>
      <w:r>
        <w:rPr>
          <w:i/>
          <w:iCs/>
          <w:sz w:val="20"/>
          <w:szCs w:val="20"/>
        </w:rPr>
        <w:t xml:space="preserve">Toplam süre kontrolü: 5 + 8 + 17 + 10 = 40 dk.</w:t>
      </w:r>
    </w:p>
    <w:p>
      <w:pPr>
        <w:pStyle w:val="Heading1"/>
        <w:spacing w:after="160" w:before="320"/>
      </w:pPr>
      <w:r>
        <w:t xml:space="preserve">5. Ders Öncesi Öğretmen Hazırlığı</w:t>
      </w:r>
    </w:p>
    <w:p>
      <w:pPr>
        <w:pStyle w:val="ListParagraph"/>
        <w:numPr>
          <w:ilvl w:val="0"/>
          <w:numId w:val="1"/>
        </w:numPr>
        <w:spacing w:after="60"/>
      </w:pPr>
      <w:r>
        <w:t xml:space="preserve">Okuma metnini önceden sesli okuyarak zor kelimeleri ve doğal duraklama noktalarını belirleyin.</w:t>
      </w:r>
    </w:p>
    <w:p>
      <w:pPr>
        <w:pStyle w:val="ListParagraph"/>
        <w:numPr>
          <w:ilvl w:val="0"/>
          <w:numId w:val="1"/>
        </w:numPr>
        <w:spacing w:after="60"/>
      </w:pPr>
      <w:r>
        <w:t xml:space="preserve">Akıcı okuma gelişim çizelgesini (Bölüm 9) sınıf mevcuduna göre çoğaltın.</w:t>
      </w:r>
    </w:p>
    <w:p>
      <w:pPr>
        <w:pStyle w:val="ListParagraph"/>
        <w:numPr>
          <w:ilvl w:val="0"/>
          <w:numId w:val="1"/>
        </w:numPr>
        <w:spacing w:after="60"/>
      </w:pPr>
      <w:r>
        <w:t xml:space="preserve">Eşli okuma için öğrenci eşleştirmesini önceden planlayın (mümkünse birbirini destekleyebilecek eşleştirmeler yapın).</w:t>
      </w:r>
    </w:p>
    <w:p>
      <w:pPr>
        <w:pStyle w:val="ListParagraph"/>
        <w:numPr>
          <w:ilvl w:val="0"/>
          <w:numId w:val="1"/>
        </w:numPr>
        <w:spacing w:after="60"/>
      </w:pPr>
      <w:r>
        <w:t xml:space="preserve">Tahtaya Bölüm 12’deki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t xml:space="preserve">Öğretmen aynı cümleyi önce kelime kelime duraksayarak, sonra akıcı biçimde okur: “Çocuklar... bahçede... topaç... çeviriyordu” / “Çocuklar bahçede topaç çeviriyordu.” “Hangisini dinlemek daha kolaydı, neden?” diye sorar.</w:t>
      </w:r>
    </w:p>
    <w:p>
      <w:pPr>
        <w:pStyle w:val="Heading3"/>
        <w:spacing w:after="100" w:before="200"/>
      </w:pPr>
      <w:r>
        <w:rPr>
          <w:b/>
          <w:bCs/>
          <w:color w:val="8A6D3B"/>
        </w:rPr>
        <w:t xml:space="preserve">Öğrencinin Yapacağı</w:t>
      </w:r>
    </w:p>
    <w:p>
      <w:pPr>
        <w:spacing w:after="120"/>
      </w:pPr>
      <w:r>
        <w:t xml:space="preserve">İki okuma biçimi arasındaki farkı fark eder ve nedenini kendi cümleleriyle ifade etmeye çalışır.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“Hangi okuma sizin için daha anlaşılırdı?”</w:t>
      </w:r>
    </w:p>
    <w:p>
      <w:pPr>
        <w:pStyle w:val="ListParagraph"/>
        <w:numPr>
          <w:ilvl w:val="0"/>
          <w:numId w:val="1"/>
        </w:numPr>
        <w:spacing w:after="60"/>
      </w:pPr>
      <w:r>
        <w:t xml:space="preserve">“İkinci okumada ne farklıydı?”</w:t>
      </w:r>
    </w:p>
    <w:p>
      <w:pPr>
        <w:pStyle w:val="Heading3"/>
        <w:spacing w:after="100" w:before="200"/>
      </w:pPr>
      <w:r>
        <w:rPr>
          <w:b/>
          <w:bCs/>
          <w:color w:val="8A6D3B"/>
        </w:rPr>
        <w:t xml:space="preserve">Beklenen Öğrenci Tepkileri</w:t>
      </w:r>
    </w:p>
    <w:p>
      <w:pPr>
        <w:spacing w:after="120"/>
      </w:pPr>
      <w:r>
        <w:t xml:space="preserve">Doğru/olası: “İkincisi daha akıcıydı, duraksamadan okundu.” Kısmen doğru: Farkı sezgisel olarak fark edip adlandıramama (“daha iyiydi” gibi belirsiz yanıt).</w:t>
      </w:r>
    </w:p>
    <w:p>
      <w:pPr>
        <w:pStyle w:val="Heading3"/>
        <w:spacing w:after="100" w:before="200"/>
      </w:pPr>
      <w:r>
        <w:rPr>
          <w:b/>
          <w:bCs/>
          <w:color w:val="8A6D3B"/>
        </w:rPr>
        <w:t xml:space="preserve">Öğrenme Kanıtı</w:t>
      </w:r>
    </w:p>
    <w:p>
      <w:pPr>
        <w:spacing w:after="120"/>
      </w:pPr>
      <w:r>
        <w:t xml:space="preserve">Sözlü katılım.</w:t>
      </w:r>
    </w:p>
    <w:p>
      <w:pPr>
        <w:pStyle w:val="Heading2"/>
        <w:spacing w:after="120" w:before="240"/>
      </w:pPr>
      <w:r>
        <w:t xml:space="preserve">2. Aşama — Ölçütlerin Tanıtımı / Modelleme (8 dk)</w:t>
      </w:r>
    </w:p>
    <w:p>
      <w:pPr>
        <w:pStyle w:val="Heading3"/>
        <w:spacing w:after="100" w:before="200"/>
      </w:pPr>
      <w:r>
        <w:rPr>
          <w:b/>
          <w:bCs/>
          <w:color w:val="8A6D3B"/>
        </w:rPr>
        <w:t xml:space="preserve">Öğretmenin Yapacağı</w:t>
      </w:r>
    </w:p>
    <w:p>
      <w:pPr>
        <w:spacing w:after="120"/>
      </w:pPr>
      <w:r>
        <w:t xml:space="preserve">Öğretmen tahtaya dört ölçütü yazar: Hız (ne çok yavaş ne çok hızlı), Doğruluk (kelimeleri değiştirmeden/atlamadan okuma), Vurgu-Tonlama (noktalama işaretlerine uygun ses tonu), Duraklama (virgül/nokta gibi işaretlerde doğru yerde durma). Örnek metinden kısa bir paragrafı bu dört ölçüte dikkat ederek modelce okur.</w:t>
      </w:r>
    </w:p>
    <w:p>
      <w:pPr>
        <w:pStyle w:val="Heading3"/>
        <w:spacing w:after="100" w:before="200"/>
      </w:pPr>
      <w:r>
        <w:rPr>
          <w:b/>
          <w:bCs/>
          <w:color w:val="8A6D3B"/>
        </w:rPr>
        <w:t xml:space="preserve">Öğrencinin Yapacağı</w:t>
      </w:r>
    </w:p>
    <w:p>
      <w:pPr>
        <w:spacing w:after="120"/>
      </w:pPr>
      <w:r>
        <w:t xml:space="preserve">Ölçütleri not alır, öğretmenin okumasını dinlerken hangi ölçütün nasıl uygulandığını gözlemler.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cümlenin sonunda soru işareti var, sesimi nasıl kullanmalıyım?”</w:t>
      </w:r>
    </w:p>
    <w:p>
      <w:pPr>
        <w:pStyle w:val="ListParagraph"/>
        <w:numPr>
          <w:ilvl w:val="0"/>
          <w:numId w:val="1"/>
        </w:numPr>
        <w:spacing w:after="60"/>
      </w:pPr>
      <w:r>
        <w:t xml:space="preserve">“Virgülde ne kadar durmalıyım?”</w:t>
      </w:r>
    </w:p>
    <w:p>
      <w:pPr>
        <w:pStyle w:val="Heading3"/>
        <w:spacing w:after="100" w:before="200"/>
      </w:pPr>
      <w:r>
        <w:rPr>
          <w:b/>
          <w:bCs/>
          <w:color w:val="8A6D3B"/>
        </w:rPr>
        <w:t xml:space="preserve">Beklenen Öğrenci Tepkileri</w:t>
      </w:r>
    </w:p>
    <w:p>
      <w:pPr>
        <w:spacing w:after="120"/>
      </w:pPr>
      <w:r>
        <w:t xml:space="preserve">Doğru/olası: Soru cümlesinde ses tonunun yükseldiğini, virgülde kısa bir duraklama olduğunu fark etme. Kısmen doğru: Ölçütleri ezbere tekrar edip kendi okumasında henüz uygulayamama.</w:t>
      </w:r>
    </w:p>
    <w:p>
      <w:pPr>
        <w:pStyle w:val="Heading3"/>
        <w:spacing w:after="100" w:before="200"/>
      </w:pPr>
      <w:r>
        <w:rPr>
          <w:b/>
          <w:bCs/>
          <w:color w:val="8A6D3B"/>
        </w:rPr>
        <w:t xml:space="preserve">Olası Yanılgılar ve Öğretmen Müdahalesi</w:t>
      </w:r>
    </w:p>
    <w:p>
      <w:pPr>
        <w:spacing w:after="120"/>
      </w:pPr>
      <w:r>
        <w:t xml:space="preserve">“Akıcı okuma = hızlı okuma” diyen öğrenciye öğretmen çok hızlı ama hatalı bir okuma örneği sunarak “Bu hızlı ama akıcı mıydı?” diye sorar.</w:t>
      </w:r>
    </w:p>
    <w:p>
      <w:pPr>
        <w:pStyle w:val="Heading3"/>
        <w:spacing w:after="100" w:before="200"/>
      </w:pPr>
      <w:r>
        <w:rPr>
          <w:b/>
          <w:bCs/>
          <w:color w:val="8A6D3B"/>
        </w:rPr>
        <w:t xml:space="preserve">Öğrenme Kanıtı</w:t>
      </w:r>
    </w:p>
    <w:p>
      <w:pPr>
        <w:spacing w:after="120"/>
      </w:pPr>
      <w:r>
        <w:t xml:space="preserve">Dört ölçütün öğrenciler tarafından örnek üzerinde tanınabilmesi.</w:t>
      </w:r>
    </w:p>
    <w:p>
      <w:pPr>
        <w:pStyle w:val="Heading2"/>
        <w:spacing w:after="120" w:before="240"/>
      </w:pPr>
      <w:r>
        <w:t xml:space="preserve">3. Aşama — Eşli Sesli Okuma Uygulaması (17 dk)</w:t>
      </w:r>
    </w:p>
    <w:p>
      <w:pPr>
        <w:pStyle w:val="Heading3"/>
        <w:spacing w:after="100" w:before="200"/>
      </w:pPr>
      <w:r>
        <w:rPr>
          <w:b/>
          <w:bCs/>
          <w:color w:val="8A6D3B"/>
        </w:rPr>
        <w:t xml:space="preserve">Öğretmenin Yapacağı</w:t>
      </w:r>
    </w:p>
    <w:p>
      <w:pPr>
        <w:spacing w:after="120"/>
      </w:pPr>
      <w:r>
        <w:t xml:space="preserve">Öğretmen öğrencileri ikişerli eşleştirir, gelişim çizelgesini (Bölüm 9) dağıtır ve nasıl kullanılacağını kısaca gösterir. Öğrenciler sırayla metni okurken sınıfı dolaşarak gözlem yapar, gerektiğinde anlık geri bildirim verir.</w:t>
      </w:r>
    </w:p>
    <w:p>
      <w:pPr>
        <w:pStyle w:val="Heading3"/>
        <w:spacing w:after="100" w:before="200"/>
      </w:pPr>
      <w:r>
        <w:rPr>
          <w:b/>
          <w:bCs/>
          <w:color w:val="8A6D3B"/>
        </w:rPr>
        <w:t xml:space="preserve">Öğrencinin Yapacağı</w:t>
      </w:r>
    </w:p>
    <w:p>
      <w:pPr>
        <w:spacing w:after="120"/>
      </w:pPr>
      <w:r>
        <w:t xml:space="preserve">Sırayla metni sesli okur; okumayan öğrenci, gelişim çizelgesindeki ölçütlere göre arkadaşını dinler ve işaretler.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“Arkadaşının okuması hangi ölçütte güçlüydü?”</w:t>
      </w:r>
    </w:p>
    <w:p>
      <w:pPr>
        <w:pStyle w:val="ListParagraph"/>
        <w:numPr>
          <w:ilvl w:val="0"/>
          <w:numId w:val="1"/>
        </w:numPr>
        <w:spacing w:after="60"/>
      </w:pPr>
      <w:r>
        <w:t xml:space="preserve">“Hangi noktada duraksama oldu, neden olabilir?”</w:t>
      </w:r>
    </w:p>
    <w:p>
      <w:pPr>
        <w:pStyle w:val="Heading3"/>
        <w:spacing w:after="100" w:before="200"/>
      </w:pPr>
      <w:r>
        <w:rPr>
          <w:b/>
          <w:bCs/>
          <w:color w:val="8A6D3B"/>
        </w:rPr>
        <w:t xml:space="preserve">Beklenen Öğrenci Tepkileri</w:t>
      </w:r>
    </w:p>
    <w:p>
      <w:pPr>
        <w:spacing w:after="120"/>
      </w:pPr>
      <w:r>
        <w:t xml:space="preserve">Doğru/olası: Gelişim çizelgesindeki ölçütleri somut örneklerle doldurma (“soru cümlesinde sesini yükseltti” gibi). Kısmen doğru: Yalnızca “iyi/kötü” gibi genel yargılarla doldurma. Muhtemel yanlış: Arkadaşının okumasını dinlemeden rastgele işaretleme.</w:t>
      </w:r>
    </w:p>
    <w:p>
      <w:pPr>
        <w:pStyle w:val="Heading3"/>
        <w:spacing w:after="100" w:before="200"/>
      </w:pPr>
      <w:r>
        <w:rPr>
          <w:b/>
          <w:bCs/>
          <w:color w:val="8A6D3B"/>
        </w:rPr>
        <w:t xml:space="preserve">Olası Yanılgılar ve Öğretmen Müdahalesi</w:t>
      </w:r>
    </w:p>
    <w:p>
      <w:pPr>
        <w:spacing w:after="120"/>
      </w:pPr>
      <w:r>
        <w:t xml:space="preserve">Genel/belirsiz geri bildirim veren öğrenciye öğretmen “Bunu hangi cümlede fark ettin?” diye sorarak somut örnek istemeyi model gösterir.</w:t>
      </w:r>
    </w:p>
    <w:p>
      <w:pPr>
        <w:pStyle w:val="Heading3"/>
        <w:spacing w:after="100" w:before="200"/>
      </w:pPr>
      <w:r>
        <w:rPr>
          <w:b/>
          <w:bCs/>
          <w:color w:val="8A6D3B"/>
        </w:rPr>
        <w:t xml:space="preserve">Öğrenme Kanıtı</w:t>
      </w:r>
    </w:p>
    <w:p>
      <w:pPr>
        <w:spacing w:after="120"/>
      </w:pPr>
      <w:r>
        <w:t xml:space="preserve">Doldurulmuş, somut gözleme dayalı akran değerlendirme (gelişim çizelgesi).</w:t>
      </w:r>
    </w:p>
    <w:p>
      <w:pPr>
        <w:pStyle w:val="Heading2"/>
        <w:spacing w:after="120" w:before="240"/>
      </w:pPr>
      <w:r>
        <w:t xml:space="preserve">4. Aşama — Geri Bildirim ve Pekiştirme (10 dk)</w:t>
      </w:r>
    </w:p>
    <w:p>
      <w:pPr>
        <w:pStyle w:val="Heading3"/>
        <w:spacing w:after="100" w:before="200"/>
      </w:pPr>
      <w:r>
        <w:rPr>
          <w:b/>
          <w:bCs/>
          <w:color w:val="8A6D3B"/>
        </w:rPr>
        <w:t xml:space="preserve">Öğretmenin Yapacağı</w:t>
      </w:r>
    </w:p>
    <w:p>
      <w:pPr>
        <w:spacing w:after="120"/>
      </w:pPr>
      <w:r>
        <w:t xml:space="preserve">Öğretmen gönüllü 2-3 öğrenciden metnin kısa bir bölümünü sınıf önünde okumasını ister, ardından somut, ölçüte dayalı geri bildirim verir (“Doğruluk çok iyiydi, soru cümlesinde ses tonunu biraz daha yükseltebilirsin” gibi). Öz değerlendirme sorusunu sınıfa yöneltir.</w:t>
      </w:r>
    </w:p>
    <w:p>
      <w:pPr>
        <w:pStyle w:val="Heading3"/>
        <w:spacing w:after="100" w:before="200"/>
      </w:pPr>
      <w:r>
        <w:rPr>
          <w:b/>
          <w:bCs/>
          <w:color w:val="8A6D3B"/>
        </w:rPr>
        <w:t xml:space="preserve">Öğrencinin Yapacağı</w:t>
      </w:r>
    </w:p>
    <w:p>
      <w:pPr>
        <w:spacing w:after="120"/>
      </w:pPr>
      <w:r>
        <w:t xml:space="preserve">Gönüllü olan öğrenciler okur; tüm sınıf kendi okumasını düşünerek öz değerlendirme notunu yazar (“Bugün en iyi yaptığım ölçüt ... idi, geliştirmem gereken ... idi”).</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“Bugünkü okumanda hangi ölçütte kendini güçlü hissettin?”</w:t>
      </w:r>
    </w:p>
    <w:p>
      <w:pPr>
        <w:pStyle w:val="ListParagraph"/>
        <w:numPr>
          <w:ilvl w:val="0"/>
          <w:numId w:val="1"/>
        </w:numPr>
        <w:spacing w:after="60"/>
      </w:pPr>
      <w:r>
        <w:t xml:space="preserve">“Bir dahaki sefere hangi ölçüte daha çok dikkat edeceksin?”</w:t>
      </w:r>
    </w:p>
    <w:p>
      <w:pPr>
        <w:pStyle w:val="Heading3"/>
        <w:spacing w:after="100" w:before="200"/>
      </w:pPr>
      <w:r>
        <w:rPr>
          <w:b/>
          <w:bCs/>
          <w:color w:val="8A6D3B"/>
        </w:rPr>
        <w:t xml:space="preserve">Beklenen Öğrenci Tepkileri</w:t>
      </w:r>
    </w:p>
    <w:p>
      <w:pPr>
        <w:spacing w:after="120"/>
      </w:pPr>
      <w:r>
        <w:t xml:space="preserve">Öğrencilerin kendi okumaları hakkında en az bir güçlü ve bir gelişime açık yön belirleyebilmesi beklenir.</w:t>
      </w:r>
    </w:p>
    <w:p>
      <w:pPr>
        <w:pStyle w:val="Heading3"/>
        <w:spacing w:after="100" w:before="200"/>
      </w:pPr>
      <w:r>
        <w:rPr>
          <w:b/>
          <w:bCs/>
          <w:color w:val="8A6D3B"/>
        </w:rPr>
        <w:t xml:space="preserve">Öğrenme Kanıtı</w:t>
      </w:r>
    </w:p>
    <w:p>
      <w:pPr>
        <w:spacing w:after="120"/>
      </w:pPr>
      <w:r>
        <w:t xml:space="preserve">Yazılı öz değerlendirme notunda en az bir ölçüte dayalı somut ifade.</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Okuma güçlüğü olan öğrenciye metnin daha kısa bir bölümü verilir ve okuma öncesi sessiz ön inceleme için ek süre tanınır.</w:t>
      </w:r>
    </w:p>
    <w:p>
      <w:pPr>
        <w:pStyle w:val="ListParagraph"/>
        <w:numPr>
          <w:ilvl w:val="0"/>
          <w:numId w:val="1"/>
        </w:numPr>
        <w:spacing w:after="60"/>
      </w:pPr>
      <w:r>
        <w:t xml:space="preserve">Zor kelimeler okuma öncesinde ayrıca vurgulanıp birlikte telaffuz edilir.</w:t>
      </w:r>
    </w:p>
    <w:p>
      <w:pPr>
        <w:pStyle w:val="ListParagraph"/>
        <w:numPr>
          <w:ilvl w:val="0"/>
          <w:numId w:val="1"/>
        </w:numPr>
        <w:spacing w:after="60"/>
      </w:pPr>
      <w:r>
        <w:t xml:space="preserve">Eşleştirmede akıcı okuyan bir öğrenciyle desteğe ihtiyaç duyan bir öğrenci bir araya getirilerek model sunulması sağlanır.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ve akıcı okuyan öğrencilerden metni farklı bir duygu tonuyla (heyecanlı, sakin, meraklı) yeniden okumaları ve farkı sınıfa fark ettirmeleri istenebilir.</w:t>
      </w:r>
    </w:p>
    <w:p>
      <w:pPr>
        <w:pStyle w:val="ListParagraph"/>
        <w:numPr>
          <w:ilvl w:val="0"/>
          <w:numId w:val="1"/>
        </w:numPr>
        <w:spacing w:after="60"/>
      </w:pPr>
      <w:r>
        <w:t xml:space="preserve">Bu öğrenciler, akran değerlendirmesi yaparken ek olarak “bu cümleyi başka nasıl okuyabilirdin?” gibi bir geliştirme sorusu da sorabilir.</w:t>
      </w:r>
    </w:p>
    <w:p>
      <w:pPr>
        <w:pStyle w:val="Heading1"/>
        <w:spacing w:after="160" w:before="320"/>
      </w:pPr>
      <w:r>
        <w:t xml:space="preserve">8. Ölçme ve Değerlendirme</w:t>
      </w:r>
    </w:p>
    <w:p>
      <w:pPr>
        <w:spacing w:after="120"/>
      </w:pPr>
      <w:r>
        <w:t xml:space="preserve">Referans dosyanın Öğrenme Kanıtları bölümü bu çıktı için açıkça şunu belirtir: “Öğrencinin akıcı ve doğru okuma gelişimini takip ederek öğrenciye geri bildirim verebilmek için akıcı ve doğru okumaya yönelik ölçütler içeren gelişim çizelgesi ve akran değerlendirme ölçme araçları kullanılabilir.” Bu paket, bu iki resmî önerilen aracı doğrudan kullanmaktadır.</w:t>
      </w:r>
    </w:p>
    <w:p>
      <w:pPr>
        <w:pStyle w:val="Heading3"/>
        <w:spacing w:after="100" w:before="200"/>
      </w:pPr>
      <w:r>
        <w:rPr>
          <w:b/>
          <w:bCs/>
          <w:color w:val="8A6D3B"/>
        </w:rPr>
        <w:t xml:space="preserve">Ön Değerlendirme</w:t>
      </w:r>
    </w:p>
    <w:p>
      <w:pPr>
        <w:spacing w:after="120"/>
      </w:pPr>
      <w:r>
        <w:t xml:space="preserve">1. Aşamadaki karşılaştırmalı dinleme etkinliği, öğrencilerin akıcı/akıcı olmayan okuma ayrımını sezgisel düzeyde yapıp yapamadığını gözlemlemek için kullanılır.</w:t>
      </w:r>
    </w:p>
    <w:p>
      <w:pPr>
        <w:pStyle w:val="Heading3"/>
        <w:spacing w:after="100" w:before="200"/>
      </w:pPr>
      <w:r>
        <w:rPr>
          <w:b/>
          <w:bCs/>
          <w:color w:val="8A6D3B"/>
        </w:rPr>
        <w:t xml:space="preserve">Süreç İçi Değerlendirme</w:t>
      </w:r>
    </w:p>
    <w:p>
      <w:pPr>
        <w:spacing w:after="120"/>
      </w:pPr>
      <w:r>
        <w:t xml:space="preserve">3. Aşamadaki akran değerlendirmesi (gelişim çizelgesiyle), öğretmene her öğrencinin akıcı okuma ölçütlerine göre nerede olduğuna dair anlık, somut bilgi verir; öğretmen gezerek gerektiğinde anında geri bildirim verir.</w:t>
      </w:r>
    </w:p>
    <w:p>
      <w:pPr>
        <w:pStyle w:val="Heading3"/>
        <w:spacing w:after="100" w:before="200"/>
      </w:pPr>
      <w:r>
        <w:rPr>
          <w:b/>
          <w:bCs/>
          <w:color w:val="8A6D3B"/>
        </w:rPr>
        <w:t xml:space="preserve">Sonuç Değerlendirmesi</w:t>
      </w:r>
    </w:p>
    <w:p>
      <w:pPr>
        <w:spacing w:after="120"/>
      </w:pPr>
      <w:r>
        <w:t xml:space="preserve">4. Aşamadaki sınıf önü okuma ve öz değerlendirme, öğrencinin kendi akıcı okuma düzeyini fark edip edemediğini gösterir.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Akıcı okuma gelişim çizelgesi (referans dosyada önerilen araç)</w:t>
            </w:r>
          </w:p>
        </w:tc>
        <w:tc>
          <w:tcPr>
            <w:tcW w:type="dxa" w:w="3000"/>
            <w:tcMar>
              <w:top w:type="dxa" w:w="80"/>
              <w:left w:type="dxa" w:w="100"/>
              <w:bottom w:type="dxa" w:w="80"/>
              <w:right w:type="dxa" w:w="100"/>
            </w:tcMar>
            <w:vAlign w:val="center"/>
          </w:tcPr>
          <w:p>
            <w:r>
              <w:rPr>
                <w:b w:val="false"/>
                <w:bCs w:val="false"/>
                <w:color w:val="000000"/>
                <w:sz w:val="20"/>
                <w:szCs w:val="20"/>
              </w:rPr>
              <w:t xml:space="preserve">T.O.5.2. — hız, doğruluk, vurgu-tonlama, duraklama</w:t>
            </w:r>
          </w:p>
        </w:tc>
        <w:tc>
          <w:tcPr>
            <w:tcW w:type="dxa" w:w="2200"/>
            <w:tcMar>
              <w:top w:type="dxa" w:w="80"/>
              <w:left w:type="dxa" w:w="100"/>
              <w:bottom w:type="dxa" w:w="80"/>
              <w:right w:type="dxa" w:w="100"/>
            </w:tcMar>
            <w:vAlign w:val="center"/>
          </w:tcPr>
          <w:p>
            <w:r>
              <w:rPr>
                <w:b w:val="false"/>
                <w:bCs w:val="false"/>
                <w:color w:val="000000"/>
                <w:sz w:val="20"/>
                <w:szCs w:val="20"/>
              </w:rPr>
              <w:t xml:space="preserve">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Akran değerlendirmesi (referans dosyada önerilen araç)</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T.O.5.2. — akranın gözünden akıcılık</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3. Aşama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Öz değerlendirme notu</w:t>
            </w:r>
          </w:p>
        </w:tc>
        <w:tc>
          <w:tcPr>
            <w:tcW w:type="dxa" w:w="3000"/>
            <w:tcMar>
              <w:top w:type="dxa" w:w="80"/>
              <w:left w:type="dxa" w:w="100"/>
              <w:bottom w:type="dxa" w:w="80"/>
              <w:right w:type="dxa" w:w="100"/>
            </w:tcMar>
            <w:vAlign w:val="center"/>
          </w:tcPr>
          <w:p>
            <w:r>
              <w:rPr>
                <w:b w:val="false"/>
                <w:bCs w:val="false"/>
                <w:color w:val="000000"/>
                <w:sz w:val="20"/>
                <w:szCs w:val="20"/>
              </w:rPr>
              <w:t xml:space="preserve">Öğrencinin kendi akıcı okuma farkındalığı</w:t>
            </w:r>
          </w:p>
        </w:tc>
        <w:tc>
          <w:tcPr>
            <w:tcW w:type="dxa" w:w="2200"/>
            <w:tcMar>
              <w:top w:type="dxa" w:w="80"/>
              <w:left w:type="dxa" w:w="100"/>
              <w:bottom w:type="dxa" w:w="80"/>
              <w:right w:type="dxa" w:w="100"/>
            </w:tcMar>
            <w:vAlign w:val="center"/>
          </w:tcPr>
          <w:p>
            <w:r>
              <w:rPr>
                <w:b w:val="false"/>
                <w:bCs w:val="false"/>
                <w:color w:val="000000"/>
                <w:sz w:val="20"/>
                <w:szCs w:val="20"/>
              </w:rPr>
              <w:t xml:space="preserve">4. Aşama</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okuma metni ÖRNEK/İLLÜSTRATİF materyaldir; referans dosyada resmî olarak belirlenmemiştir.</w:t>
      </w:r>
    </w:p>
    <w:p>
      <w:pPr>
        <w:pStyle w:val="Heading3"/>
        <w:spacing w:after="100" w:before="200"/>
      </w:pPr>
      <w:r>
        <w:rPr>
          <w:b/>
          <w:bCs/>
          <w:color w:val="8A6D3B"/>
        </w:rPr>
        <w:t xml:space="preserve">9.1. Örnek Okuma Metni — “Sokak Ortasında Bir Yarış”</w:t>
      </w:r>
    </w:p>
    <w:p>
      <w:pPr>
        <w:spacing w:after="120"/>
      </w:pPr>
      <w:r>
        <w:t xml:space="preserve">Mahallenin en hızlı koşucusu kimdi, bunu kimse tam olarak bilmiyordu. Bir gün Kerem, arkadaşı Ela’ya sordu: “Sence aramızda kim daha hızlı koşar?” Ela gülümseyerek, “Bence ben!” dedi. “O zaman hemen bir yarış yapalım!” diye bağırdı Kerem. İkisi de sokağın başına gitti. Diğer çocuklar da meraklanıp etraflarında toplandı. “Hazır mısınız?” diye sordu en yaşlı çocuk, “Bir, iki, üç, başla!” İkisi de olanca hızlarıyla koşmaya başladı. Sonunda kim kazandı dersiniz? Aslında kimse tam emin olamadı; ama herkes bir şeyden emindi: O gün sokakta kahkahalar hiç eksik olmadı.</w:t>
      </w:r>
    </w:p>
    <w:p>
      <w:pPr>
        <w:pStyle w:val="Heading3"/>
        <w:spacing w:after="100" w:before="200"/>
      </w:pPr>
      <w:r>
        <w:rPr>
          <w:b/>
          <w:bCs/>
          <w:color w:val="8A6D3B"/>
        </w:rPr>
        <w:t xml:space="preserve">9.2. Akıcı Okuma Gelişim Çizelgesi (Akran Değerlendirmesi)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00"/>
      </w:tblGrid>
      <w:tr>
        <w:tc>
          <w:tcPr>
            <w:tcW w:type="dxa" w:w="24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1600"/>
            <w:shd w:fill="1F3864" w:val="clear"/>
            <w:tcMar>
              <w:top w:type="dxa" w:w="80"/>
              <w:left w:type="dxa" w:w="100"/>
              <w:bottom w:type="dxa" w:w="80"/>
              <w:right w:type="dxa" w:w="100"/>
            </w:tcMar>
            <w:vAlign w:val="center"/>
          </w:tcPr>
          <w:p>
            <w:r>
              <w:rPr>
                <w:b/>
                <w:bCs/>
                <w:color w:val="FFFFFF"/>
                <w:sz w:val="20"/>
                <w:szCs w:val="20"/>
              </w:rPr>
              <w:t xml:space="preserve">Başlangıç</w:t>
            </w:r>
          </w:p>
        </w:tc>
        <w:tc>
          <w:tcPr>
            <w:tcW w:type="dxa" w:w="16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3400"/>
            <w:shd w:fill="1F3864" w:val="clear"/>
            <w:tcMar>
              <w:top w:type="dxa" w:w="80"/>
              <w:left w:type="dxa" w:w="100"/>
              <w:bottom w:type="dxa" w:w="80"/>
              <w:right w:type="dxa" w:w="100"/>
            </w:tcMar>
            <w:vAlign w:val="center"/>
          </w:tcPr>
          <w:p>
            <w:r>
              <w:rPr>
                <w:b/>
                <w:bCs/>
                <w:color w:val="FFFFFF"/>
                <w:sz w:val="20"/>
                <w:szCs w:val="20"/>
              </w:rPr>
              <w:t xml:space="preserve">İyi Düzeyde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Hız (ne çok yavaş ne çok hızlı)</w:t>
            </w:r>
          </w:p>
        </w:tc>
        <w:tc>
          <w:tcPr>
            <w:tcW w:type="dxa" w:w="1600"/>
            <w:tcMar>
              <w:top w:type="dxa" w:w="80"/>
              <w:left w:type="dxa" w:w="100"/>
              <w:bottom w:type="dxa" w:w="80"/>
              <w:right w:type="dxa" w:w="100"/>
            </w:tcMar>
            <w:vAlign w:val="center"/>
          </w:tcPr>
          <w:p>
            <w:r>
              <w:rPr>
                <w:b w:val="false"/>
                <w:bCs w:val="false"/>
                <w:color w:val="000000"/>
                <w:sz w:val="20"/>
                <w:szCs w:val="20"/>
              </w:rPr>
              <w:t xml:space="preserve">□</w:t>
            </w:r>
          </w:p>
        </w:tc>
        <w:tc>
          <w:tcPr>
            <w:tcW w:type="dxa" w:w="1600"/>
            <w:tcMar>
              <w:top w:type="dxa" w:w="80"/>
              <w:left w:type="dxa" w:w="100"/>
              <w:bottom w:type="dxa" w:w="80"/>
              <w:right w:type="dxa" w:w="100"/>
            </w:tcMar>
            <w:vAlign w:val="center"/>
          </w:tcPr>
          <w:p>
            <w:r>
              <w:rPr>
                <w:b w:val="false"/>
                <w:bCs w:val="false"/>
                <w:color w:val="000000"/>
                <w:sz w:val="20"/>
                <w:szCs w:val="20"/>
              </w:rPr>
              <w:t xml:space="preserve">□</w:t>
            </w:r>
          </w:p>
        </w:tc>
        <w:tc>
          <w:tcPr>
            <w:tcW w:type="dxa" w:w="3400"/>
            <w:tcMar>
              <w:top w:type="dxa" w:w="80"/>
              <w:left w:type="dxa" w:w="100"/>
              <w:bottom w:type="dxa" w:w="80"/>
              <w:right w:type="dxa" w:w="100"/>
            </w:tcMar>
            <w:vAlign w:val="center"/>
          </w:tcPr>
          <w:p>
            <w:r>
              <w:rPr>
                <w:b w:val="false"/>
                <w:bCs w:val="false"/>
                <w:color w:val="000000"/>
                <w:sz w:val="20"/>
                <w:szCs w:val="20"/>
              </w:rPr>
              <w:t xml:space="preserve">□  Not: .......................</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Doğruluk (kelime atlamadan/değiştirmeden okuma)</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w:t>
            </w:r>
          </w:p>
        </w:tc>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  Not: .......................</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Vurgu-Tonlama (noktalama işaretine uygun ses tonu)</w:t>
            </w:r>
          </w:p>
        </w:tc>
        <w:tc>
          <w:tcPr>
            <w:tcW w:type="dxa" w:w="1600"/>
            <w:tcMar>
              <w:top w:type="dxa" w:w="80"/>
              <w:left w:type="dxa" w:w="100"/>
              <w:bottom w:type="dxa" w:w="80"/>
              <w:right w:type="dxa" w:w="100"/>
            </w:tcMar>
            <w:vAlign w:val="center"/>
          </w:tcPr>
          <w:p>
            <w:r>
              <w:rPr>
                <w:b w:val="false"/>
                <w:bCs w:val="false"/>
                <w:color w:val="000000"/>
                <w:sz w:val="20"/>
                <w:szCs w:val="20"/>
              </w:rPr>
              <w:t xml:space="preserve">□</w:t>
            </w:r>
          </w:p>
        </w:tc>
        <w:tc>
          <w:tcPr>
            <w:tcW w:type="dxa" w:w="1600"/>
            <w:tcMar>
              <w:top w:type="dxa" w:w="80"/>
              <w:left w:type="dxa" w:w="100"/>
              <w:bottom w:type="dxa" w:w="80"/>
              <w:right w:type="dxa" w:w="100"/>
            </w:tcMar>
            <w:vAlign w:val="center"/>
          </w:tcPr>
          <w:p>
            <w:r>
              <w:rPr>
                <w:b w:val="false"/>
                <w:bCs w:val="false"/>
                <w:color w:val="000000"/>
                <w:sz w:val="20"/>
                <w:szCs w:val="20"/>
              </w:rPr>
              <w:t xml:space="preserve">□</w:t>
            </w:r>
          </w:p>
        </w:tc>
        <w:tc>
          <w:tcPr>
            <w:tcW w:type="dxa" w:w="3400"/>
            <w:tcMar>
              <w:top w:type="dxa" w:w="80"/>
              <w:left w:type="dxa" w:w="100"/>
              <w:bottom w:type="dxa" w:w="80"/>
              <w:right w:type="dxa" w:w="100"/>
            </w:tcMar>
            <w:vAlign w:val="center"/>
          </w:tcPr>
          <w:p>
            <w:r>
              <w:rPr>
                <w:b w:val="false"/>
                <w:bCs w:val="false"/>
                <w:color w:val="000000"/>
                <w:sz w:val="20"/>
                <w:szCs w:val="20"/>
              </w:rPr>
              <w:t xml:space="preserve">□  Not: .......................</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Duraklama (virgül/nokta gibi işaretlerde doğru duraklama)</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w:t>
            </w:r>
          </w:p>
        </w:tc>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  Not: .......................</w:t>
            </w:r>
          </w:p>
        </w:tc>
      </w:tr>
    </w:tbl>
    <w:p>
      <w:pPr>
        <w:pStyle w:val="Heading3"/>
        <w:spacing w:after="100" w:before="200"/>
      </w:pPr>
      <w:r>
        <w:rPr>
          <w:b/>
          <w:bCs/>
          <w:color w:val="8A6D3B"/>
        </w:rPr>
        <w:t xml:space="preserve">9.3. Öz Değerlendirme Notu</w:t>
      </w:r>
    </w:p>
    <w:p>
      <w:pPr>
        <w:spacing w:after="120"/>
      </w:pPr>
      <w:r>
        <w:t xml:space="preserve">Bugünkü okumamda en iyi yaptığım ölçüt: .......................................................................................................................... </w:t>
      </w:r>
    </w:p>
    <w:p>
      <w:pPr>
        <w:spacing w:after="120"/>
      </w:pPr>
      <w:r>
        <w:t xml:space="preserve">Bir dahaki sefere geliştirmek istediğim ölçüt: .......................................................................................................................... </w:t>
      </w:r>
    </w:p>
    <w:p>
      <w:pPr>
        <w:pStyle w:val="Heading1"/>
        <w:spacing w:after="160" w:before="320"/>
      </w:pPr>
      <w:r>
        <w:t xml:space="preserve">10. Öğretmen İçin Cevap Anahtarı / Beklenen Yanıtlar</w:t>
      </w:r>
    </w:p>
    <w:p>
      <w:pPr>
        <w:spacing w:after="120"/>
      </w:pPr>
      <w:r>
        <w:t xml:space="preserve">Bu ders için “tek doğru cevap” yoktur; aşağıdakiler öğretmenin geri bildirim verirken referans alabileceği örnek noktalardır.</w:t>
      </w:r>
    </w:p>
    <w:p>
      <w:pPr>
        <w:pStyle w:val="ListParagraph"/>
        <w:numPr>
          <w:ilvl w:val="0"/>
          <w:numId w:val="1"/>
        </w:numPr>
        <w:spacing w:after="60"/>
      </w:pPr>
      <w:r>
        <w:t xml:space="preserve">Metindeki “Sence aramızda kim daha hızlı koşar?” cümlesi soru tonuyla, “O zaman hemen bir yarış yapalım!” cümlesi ise heyecanlı/yüksek tonla okunmalıdır.</w:t>
      </w:r>
    </w:p>
    <w:p>
      <w:pPr>
        <w:pStyle w:val="ListParagraph"/>
        <w:numPr>
          <w:ilvl w:val="0"/>
          <w:numId w:val="1"/>
        </w:numPr>
        <w:spacing w:after="60"/>
      </w:pPr>
      <w:r>
        <w:t xml:space="preserve">“Bir, iki, üç, başla!” ifadesinde virgüllerde kısa duraklamalarla, artan bir heyecanla okuma beklenir.</w:t>
      </w:r>
    </w:p>
    <w:p>
      <w:pPr>
        <w:pStyle w:val="ListParagraph"/>
        <w:numPr>
          <w:ilvl w:val="0"/>
          <w:numId w:val="1"/>
        </w:numPr>
        <w:spacing w:after="60"/>
      </w:pPr>
      <w:r>
        <w:t xml:space="preserve">Diyalog cümlelerinde konuşan kişiye göre ses tonunun (ör. “gülümseyerek” ifadesine uygun yumuşak bir ton) ayarlanması iyi düzeyde bir gösterge olarak değerlendirilebilir.</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Hız ve doğruluk</w:t>
            </w:r>
          </w:p>
        </w:tc>
        <w:tc>
          <w:tcPr>
            <w:tcW w:type="dxa" w:w="2400"/>
            <w:tcMar>
              <w:top w:type="dxa" w:w="80"/>
              <w:left w:type="dxa" w:w="100"/>
              <w:bottom w:type="dxa" w:w="80"/>
              <w:right w:type="dxa" w:w="100"/>
            </w:tcMar>
            <w:vAlign w:val="center"/>
          </w:tcPr>
          <w:p>
            <w:r>
              <w:rPr>
                <w:b w:val="false"/>
                <w:bCs w:val="false"/>
                <w:color w:val="000000"/>
                <w:sz w:val="20"/>
                <w:szCs w:val="20"/>
              </w:rPr>
              <w:t xml:space="preserve">Çok yavaş/çok hızlı okuma, sık kelime atlama/değiştirme</w:t>
            </w:r>
          </w:p>
        </w:tc>
        <w:tc>
          <w:tcPr>
            <w:tcW w:type="dxa" w:w="2400"/>
            <w:tcMar>
              <w:top w:type="dxa" w:w="80"/>
              <w:left w:type="dxa" w:w="100"/>
              <w:bottom w:type="dxa" w:w="80"/>
              <w:right w:type="dxa" w:w="100"/>
            </w:tcMar>
            <w:vAlign w:val="center"/>
          </w:tcPr>
          <w:p>
            <w:r>
              <w:rPr>
                <w:b w:val="false"/>
                <w:bCs w:val="false"/>
                <w:color w:val="000000"/>
                <w:sz w:val="20"/>
                <w:szCs w:val="20"/>
              </w:rPr>
              <w:t xml:space="preserve">Hız uygun ama zaman zaman kelime hatası var</w:t>
            </w:r>
          </w:p>
        </w:tc>
        <w:tc>
          <w:tcPr>
            <w:tcW w:type="dxa" w:w="2400"/>
            <w:tcMar>
              <w:top w:type="dxa" w:w="80"/>
              <w:left w:type="dxa" w:w="100"/>
              <w:bottom w:type="dxa" w:w="80"/>
              <w:right w:type="dxa" w:w="100"/>
            </w:tcMar>
            <w:vAlign w:val="center"/>
          </w:tcPr>
          <w:p>
            <w:r>
              <w:rPr>
                <w:b w:val="false"/>
                <w:bCs w:val="false"/>
                <w:color w:val="000000"/>
                <w:sz w:val="20"/>
                <w:szCs w:val="20"/>
              </w:rPr>
              <w:t xml:space="preserve">Uygun hızda, kelime atlamadan/değiştirmeden okuma</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Vurgu-tonlama ve duraklama</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Noktalama işaretleri dikkate alınmadan düz bir tonda okuma</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Bazı noktalama işaretlerine uygun ton/duraklama var</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Soru, ünlem, virgül ve nokta gibi işaretlere uygun ton ve duraklamalarla okuma</w:t>
            </w:r>
          </w:p>
        </w:tc>
      </w:tr>
    </w:tbl>
    <w:p>
      <w:pPr>
        <w:pBdr>
          <w:left w:val="single" w:color="8A6D3B" w:sz="12" w:space="4"/>
        </w:pBdr>
        <w:shd w:fill="FFF3D6" w:val="clear"/>
        <w:spacing w:after="160" w:before="60"/>
      </w:pPr>
      <w:r>
        <w:rPr>
          <w:i/>
          <w:iCs/>
          <w:sz w:val="20"/>
          <w:szCs w:val="20"/>
        </w:rPr>
        <w:t xml:space="preserve">Rubrik yalnızca T.O.5.2.’nin (akıcı okuma) kapsamındaki ölçütleri içerir; metnin içeriğini anlama/yorumlama bu çıktının değil, başka öğrenme çıktılarının (ör. T.O.5.6. yüzey anlam) konusudur ve burada puanlanmaz.</w:t>
      </w:r>
    </w:p>
    <w:p>
      <w:pPr>
        <w:pStyle w:val="Heading1"/>
        <w:spacing w:after="160" w:before="320"/>
      </w:pPr>
      <w:r>
        <w:t xml:space="preserve">12. Tahta Planı</w:t>
      </w:r>
    </w:p>
    <w:p>
      <w:pPr>
        <w:pStyle w:val="ListParagraph"/>
        <w:numPr>
          <w:ilvl w:val="0"/>
          <w:numId w:val="1"/>
        </w:numPr>
        <w:spacing w:after="60"/>
      </w:pPr>
      <w:r>
        <w:t xml:space="preserve">Başlık: Akıcı Okuyoruz!</w:t>
      </w:r>
    </w:p>
    <w:p>
      <w:pPr>
        <w:pStyle w:val="ListParagraph"/>
        <w:numPr>
          <w:ilvl w:val="0"/>
          <w:numId w:val="1"/>
        </w:numPr>
        <w:spacing w:after="60"/>
      </w:pPr>
      <w:r>
        <w:t xml:space="preserve">Dört ölçüt: Hız — Doğruluk — Vurgu-Tonlama — Duraklama</w:t>
      </w:r>
    </w:p>
    <w:p>
      <w:pPr>
        <w:pStyle w:val="ListParagraph"/>
        <w:numPr>
          <w:ilvl w:val="0"/>
          <w:numId w:val="1"/>
        </w:numPr>
        <w:spacing w:after="60"/>
      </w:pPr>
      <w:r>
        <w:t xml:space="preserve">Hatırlatma: “? → sesini yükselt”, “! → heyecanlı/güçlü tonla oku”, “, → kısa dur”, “. → tam dur”</w:t>
      </w:r>
    </w:p>
    <w:p>
      <w:pPr>
        <w:pStyle w:val="ListParagraph"/>
        <w:numPr>
          <w:ilvl w:val="0"/>
          <w:numId w:val="1"/>
        </w:numPr>
        <w:spacing w:after="60"/>
      </w:pPr>
      <w:r>
        <w:t xml:space="preserve">Sonuç genellemesi: “Akıcı okuma; doğru hızda, hatasız, noktalama işaretlerine uygun ton ve duraklamalarla okumaktır.”</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(akıcı okuma) anlamazsa:</w:t>
      </w:r>
    </w:p>
    <w:p>
      <w:pPr>
        <w:spacing w:after="120"/>
      </w:pPr>
      <w:r>
        <w:t xml:space="preserve">Öğretmen aynı cümleyi tekrar iki farklı biçimde (duraksayarak / akıcı) okuyarak farkı somutlaştırır.</w:t>
      </w:r>
    </w:p>
    <w:p>
      <w:pPr>
        <w:pStyle w:val="Heading3"/>
        <w:spacing w:after="100" w:before="200"/>
      </w:pPr>
      <w:r>
        <w:rPr>
          <w:b/>
          <w:bCs/>
          <w:color w:val="8A6D3B"/>
        </w:rPr>
        <w:t xml:space="preserve">Eğer öğrenciler beklenen cevabı vermezse (yalnızca hız odaklı okuma):</w:t>
      </w:r>
    </w:p>
    <w:p>
      <w:pPr>
        <w:spacing w:after="120"/>
      </w:pPr>
      <w:r>
        <w:t xml:space="preserve">Öğretmen çok hızlı ama hatalı bir okuma örneği sunarak “Bu akıcı mıydı, yoksa sadece hızlı mıydı?” diye sorar.</w:t>
      </w:r>
    </w:p>
    <w:p>
      <w:pPr>
        <w:pStyle w:val="Heading3"/>
        <w:spacing w:after="100" w:before="200"/>
      </w:pPr>
      <w:r>
        <w:rPr>
          <w:b/>
          <w:bCs/>
          <w:color w:val="8A6D3B"/>
        </w:rPr>
        <w:t xml:space="preserve">Eğer etkinlik beklenenden hızlı biterse:</w:t>
      </w:r>
    </w:p>
    <w:p>
      <w:pPr>
        <w:spacing w:after="120"/>
      </w:pPr>
      <w:r>
        <w:t xml:space="preserve">Zenginleştirme görevine geçilir: metni farklı bir duygu tonuyla yeniden okuma.</w:t>
      </w:r>
    </w:p>
    <w:p>
      <w:pPr>
        <w:pStyle w:val="Heading3"/>
        <w:spacing w:after="100" w:before="200"/>
      </w:pPr>
      <w:r>
        <w:rPr>
          <w:b/>
          <w:bCs/>
          <w:color w:val="8A6D3B"/>
        </w:rPr>
        <w:t xml:space="preserve">Eğer etkinlik beklenenden uzun sürerse:</w:t>
      </w:r>
    </w:p>
    <w:p>
      <w:pPr>
        <w:spacing w:after="120"/>
      </w:pPr>
      <w:r>
        <w:t xml:space="preserve">4. Aşamadaki sınıf önü okuma 1-2 öğrenciyle sınırlandırılır, öz değerlendirme ev ödevine bırakılabilir.</w:t>
      </w:r>
    </w:p>
    <w:p>
      <w:pPr>
        <w:pStyle w:val="Heading3"/>
        <w:spacing w:after="100" w:before="200"/>
      </w:pPr>
      <w:r>
        <w:rPr>
          <w:b/>
          <w:bCs/>
          <w:color w:val="8A6D3B"/>
        </w:rPr>
        <w:t xml:space="preserve">Eğer sınıf tartışması kontrolden çıkarsa:</w:t>
      </w:r>
    </w:p>
    <w:p>
      <w:pPr>
        <w:spacing w:after="120"/>
      </w:pPr>
      <w:r>
        <w:t xml:space="preserve">Eşli okuma çiftlerinden en fazla 1-2 çift sınıfla paylaşım yapar, diğerleri kendi aralarında tamamlar.</w:t>
      </w:r>
    </w:p>
    <w:p>
      <w:pPr>
        <w:pStyle w:val="Heading3"/>
        <w:spacing w:after="100" w:before="200"/>
      </w:pPr>
      <w:r>
        <w:rPr>
          <w:b/>
          <w:bCs/>
          <w:color w:val="8A6D3B"/>
        </w:rPr>
        <w:t xml:space="preserve">Eğer öğrenciler arasında seviye farkı yüksekse:</w:t>
      </w:r>
    </w:p>
    <w:p>
      <w:pPr>
        <w:spacing w:after="120"/>
      </w:pPr>
      <w:r>
        <w:t xml:space="preserve">Akıcı okuyan-desteğe ihtiyacı olan öğrenci eşleştirmesi yapılır; desteğe ihtiyacı olan öğrenciye daha kısa bir metin bölümü verilir.</w:t>
      </w:r>
    </w:p>
    <w:p>
      <w:pPr>
        <w:pStyle w:val="Heading1"/>
        <w:spacing w:after="160" w:before="320"/>
      </w:pPr>
      <w:r>
        <w:t xml:space="preserve">14. Ders Sonu Yansıtma</w:t>
      </w:r>
    </w:p>
    <w:p>
      <w:pPr>
        <w:pStyle w:val="ListParagraph"/>
        <w:numPr>
          <w:ilvl w:val="0"/>
          <w:numId w:val="1"/>
        </w:numPr>
        <w:spacing w:after="60"/>
      </w:pPr>
      <w:r>
        <w:t xml:space="preserve">Öğrencilerin çoğu hangi ölçütte (hız, doğruluk, vurgu-tonlama, duraklama) güçlüydü?</w:t>
      </w:r>
    </w:p>
    <w:p>
      <w:pPr>
        <w:pStyle w:val="ListParagraph"/>
        <w:numPr>
          <w:ilvl w:val="0"/>
          <w:numId w:val="1"/>
        </w:numPr>
        <w:spacing w:after="60"/>
      </w:pPr>
      <w:r>
        <w:t xml:space="preserve">Hangi ölçütte genel bir zorluk gözlendi?</w:t>
      </w:r>
    </w:p>
    <w:p>
      <w:pPr>
        <w:pStyle w:val="ListParagraph"/>
        <w:numPr>
          <w:ilvl w:val="0"/>
          <w:numId w:val="1"/>
        </w:numPr>
        <w:spacing w:after="60"/>
      </w:pPr>
      <w:r>
        <w:t xml:space="preserve">Akran değerlendirmesi öğrenciler tarafından somut/gözleme dayalı biçimde mi, yoksa genel yargılarla mı yapıldı?</w:t>
      </w:r>
    </w:p>
    <w:p>
      <w:pPr>
        <w:pStyle w:val="ListParagraph"/>
        <w:numPr>
          <w:ilvl w:val="0"/>
          <w:numId w:val="1"/>
        </w:numPr>
        <w:spacing w:after="60"/>
      </w:pPr>
      <w:r>
        <w:t xml:space="preserve">Hangi öğrenciler ek desteğe (daha kısa metin, ön inceleme süresi) ihtiyaç duyuyor?</w:t>
      </w:r>
    </w:p>
    <w:p>
      <w:pPr>
        <w:pStyle w:val="ListParagraph"/>
        <w:numPr>
          <w:ilvl w:val="0"/>
          <w:numId w:val="1"/>
        </w:numPr>
        <w:spacing w:after="60"/>
      </w:pPr>
      <w:r>
        <w:t xml:space="preserve">T.O.5.2.’nin hangi göstergesi yeterince gözlenemedi, bir sonraki okuma oturumunda nasıl ele alınmalı?</w:t>
      </w:r>
    </w:p>
    <w:p>
      <w:pPr>
        <w:pStyle w:val="Heading1"/>
        <w:spacing w:after="160" w:before="320"/>
      </w:pPr>
      <w:r>
        <w:t xml:space="preserve">15. Evde Öğrenme / Ders Dışı Bağlantı</w:t>
      </w:r>
    </w:p>
    <w:p>
      <w:pPr>
        <w:spacing w:after="120"/>
      </w:pPr>
      <w:r>
        <w:t xml:space="preserve">Öğrenci, evde bir aile büyüğüne kısa bir metni (örneğin sevdiği bir kitaptan bir paragrafı) sesli olarak okur ve büyüğünden “en akıcı okuduğun cümle hangisiydi?” sorusuna yanıt almasını ister. Bu görev, sınıfta öğrenilen ölçütleri gerçek yaşam okuma deneyimine ve akran/aile geri bildirimine taşır.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T.O.5.2. Akıcı okuyabilme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Aynı cümleyi duraksayarak/akıcı oku → farkı sordur.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Ölçüt Tanıtımı (8 dk)</w:t>
            </w:r>
          </w:p>
        </w:tc>
        <w:tc>
          <w:tcPr>
            <w:tcW w:type="dxa" w:w="7400"/>
            <w:tcMar>
              <w:top w:type="dxa" w:w="80"/>
              <w:left w:type="dxa" w:w="100"/>
              <w:bottom w:type="dxa" w:w="80"/>
              <w:right w:type="dxa" w:w="100"/>
            </w:tcMar>
            <w:vAlign w:val="center"/>
          </w:tcPr>
          <w:p>
            <w:r>
              <w:rPr>
                <w:b w:val="false"/>
                <w:bCs w:val="false"/>
                <w:color w:val="000000"/>
                <w:sz w:val="20"/>
                <w:szCs w:val="20"/>
              </w:rPr>
              <w:t xml:space="preserve">Hız-Doğruluk-Vurgu/Tonlama-Duraklama ölçütlerini tanıt, örnek üzerinde modelle.</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Eşli Okuma (17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Eşleştir, gelişim çizelgesini dağıt → sırayla sesli okut, akran değerlendirmesi yaptır.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Geri Bildirim (10 dk)</w:t>
            </w:r>
          </w:p>
        </w:tc>
        <w:tc>
          <w:tcPr>
            <w:tcW w:type="dxa" w:w="7400"/>
            <w:tcMar>
              <w:top w:type="dxa" w:w="80"/>
              <w:left w:type="dxa" w:w="100"/>
              <w:bottom w:type="dxa" w:w="80"/>
              <w:right w:type="dxa" w:w="100"/>
            </w:tcMar>
            <w:vAlign w:val="center"/>
          </w:tcPr>
          <w:p>
            <w:r>
              <w:rPr>
                <w:b w:val="false"/>
                <w:bCs w:val="false"/>
                <w:color w:val="000000"/>
                <w:sz w:val="20"/>
                <w:szCs w:val="20"/>
              </w:rPr>
              <w:t xml:space="preserve">2-3 öğrenciyi dinle, somut geri bildirim ver → öz değerlendirme yazdır.</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Gelişim çizelgesi + akran değerlendirmesi (referans dosyada önerilen resmî araçlar) + öz değerlendirme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Kısa metin bölümü, ön inceleme süresi, zor kelimeleri önceden vurgulama, model eşleştirme</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Farklı duygu tonuyla yeniden okuma, akran değerlendirmesine geliştirme sorusu ekleme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Dikkat</w:t>
            </w:r>
          </w:p>
        </w:tc>
        <w:tc>
          <w:tcPr>
            <w:tcW w:type="dxa" w:w="7400"/>
            <w:tcMar>
              <w:top w:type="dxa" w:w="80"/>
              <w:left w:type="dxa" w:w="100"/>
              <w:bottom w:type="dxa" w:w="80"/>
              <w:right w:type="dxa" w:w="100"/>
            </w:tcMar>
            <w:vAlign w:val="center"/>
          </w:tcPr>
          <w:p>
            <w:r>
              <w:rPr>
                <w:b w:val="false"/>
                <w:bCs w:val="false"/>
                <w:color w:val="000000"/>
                <w:sz w:val="20"/>
                <w:szCs w:val="20"/>
              </w:rPr>
              <w:t xml:space="preserve">Metin örnektir; okuma atölyesi için seçilen kitapla/metinle uygulanabilir. T.O.5.3. (strateji/yöntem seçimi) bu paketin kapsamı dışındadır.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2026-09-23T04:27:52.271Z</dcterms:created>
  <dcterms:modified xsi:type="dcterms:W3CDTF">2026-09-23T04:27:52.280Z</dcterms:modified>
</cp:coreProperties>
</file>

<file path=docProps/custom.xml><?xml version="1.0" encoding="utf-8"?>
<Properties xmlns="http://schemas.openxmlformats.org/officeDocument/2006/custom-properties" xmlns:vt="http://schemas.openxmlformats.org/officeDocument/2006/docPropsVTypes"/>
</file>