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İÇERİĞE YÖNELİK TAHMİNDE BULUNMA (DİNLEME/İZLEME)</w:t>
      </w:r>
    </w:p>
    <w:p>
      <w:pPr>
        <w:spacing w:after="400"/>
        <w:jc w:val="center"/>
      </w:pPr>
      <w:r>
        <w:rPr>
          <w:i/>
          <w:iCs/>
          <w:color w:val="8A6D3B"/>
          <w:sz w:val="20"/>
          <w:szCs w:val="20"/>
        </w:rPr>
        <w:t xml:space="preserve">Öğrenme Çıktısı Kodu: T.D.5.3</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Dinlenen/izlenen bir metnin içeriğine yönelik tahminde bulunma (dinleme öncesi tahmin etkinliği)</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T.D.5.3. Dinleyeceğinin/izleyeceğinin içeriğine yönelik tahminde bulunabilme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T.D.5.3.</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Bu öğrenme çıktısı, tema genelinde yürütülen Dinleme/İzleme Atölyesi çalışmalarında tekrar ele alınabilir; ancak bağımsız etkinlik olarak tek ders saatinde gerçekçi biçimde işlenebilir.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T.D.5.3. için açık bir “köprü kurma” ya da “temel kabul” ilişkisi belirtilmemiştir. Genel gözlem: öğrencinin 4. sınıftan itibaren sözlü metinleri dinleme/izleme alışkanlığına sahip olması beklenir. Bu, referans dosyadan değil genel pedagojik varsayımdan gelir ve öğretmen ön değerlendirmeyle teyit etmelidir.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Dinleme/izleme için ses/video kaydı veya öğretmen tarafından sesli okunacak örnek metin, tahmin çalışma kağıdı, tahta/akıllı tahta, (varsa) ses sistemi</w:t>
            </w:r>
          </w:p>
        </w:tc>
      </w:tr>
    </w:tbl>
    <w:p>
      <w:pPr>
        <w:pBdr>
          <w:left w:val="single" w:color="8A6D3B" w:sz="12" w:space="4"/>
        </w:pBdr>
        <w:shd w:fill="FFF3D6" w:val="clear"/>
        <w:spacing w:after="160" w:before="60"/>
      </w:pPr>
      <w:r>
        <w:rPr>
          <w:i/>
          <w:iCs/>
          <w:sz w:val="20"/>
          <w:szCs w:val="20"/>
        </w:rPr>
        <w:t xml:space="preserve">NOT: Referans dosyada bu tema için önceden belirlenmiş bir dinleme/izleme metni adı verilmemiştir (“belirlenen dinleme/izleme materyali” ifadesiyle materyal seçimi okula/öğretmene bırakılmıştır). Bu pakette “Oyun Dünyası” temasına uygun, illüstratif bir örnek metin üretilmiş ve Bölüm 10’da açıkça “örnek materyal” olarak işaretlenmiştir. Öğretmen kurumunda kullanılan resmî/önerilen dinleme materyaliyle bu metni değiştirebilir; ders akışı ve kazandırılacak süreç aynı kalır.</w:t>
      </w:r>
    </w:p>
    <w:p>
      <w:pPr>
        <w:pStyle w:val="Heading1"/>
        <w:spacing w:after="160" w:before="320"/>
      </w:pPr>
      <w:r>
        <w:t xml:space="preserve">2. Öğrenme Çıktısı ve Maarif Modeli Bileşenleri</w:t>
      </w:r>
    </w:p>
    <w:p>
      <w:pPr>
        <w:spacing w:after="120"/>
      </w:pPr>
      <w:r>
        <w:rPr>
          <w:b w:val="false"/>
          <w:bCs w:val="false"/>
          <w:i w:val="false"/>
          <w:iCs w:val="false"/>
        </w:rPr>
        <w:t xml:space="preserve">Aşağıdaki eşleştirmeler yalnızca referans dosyada T.D.5.3. ile doğrudan ilişkilendirilebilecek ya da temanın geneline ait olup bu derste somut karşılığı kurulabilen bileşenleri içerir. Temada geçen ancak bu spesifik öğrenme çıktısında doğal biçimde görünmeyen bileşenler (ör. bazı değerler) zorlanarak tabloya eklenmemiştir.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T.D.5.3.</w:t>
            </w:r>
          </w:p>
        </w:tc>
        <w:tc>
          <w:tcPr>
            <w:tcW w:type="dxa" w:w="4300"/>
            <w:tcMar>
              <w:top w:type="dxa" w:w="80"/>
              <w:left w:type="dxa" w:w="100"/>
              <w:bottom w:type="dxa" w:w="80"/>
              <w:right w:type="dxa" w:w="100"/>
            </w:tcMar>
            <w:vAlign w:val="center"/>
          </w:tcPr>
          <w:p>
            <w:r>
              <w:rPr>
                <w:b w:val="false"/>
                <w:bCs w:val="false"/>
                <w:color w:val="000000"/>
                <w:sz w:val="20"/>
                <w:szCs w:val="20"/>
              </w:rPr>
              <w:t xml:space="preserve">Dersin tamamı bu çıktı etrafında kurgulanmıştır: öğrenci, dinlemeden/izlemeden önce başlık, görsel ve anahtar kelimelerden hareketle içerik tahmini yapar.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Öğrenci sesli/görsel materyali dinler/izler; tahminini bu dinleme sürecine göre kurar ve sınar.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KB2.12. Mevcut Bilgiye/Veriye Dayalı Tahmin Etme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elindeki sınırlı veriyle (başlık, görsel, ilk cümleler) mantıklı bir tahmin üretir; bu, kavramsal becerinin doğrudan uygulamasıdır.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E1.1. Merak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Dinleme öncesi “ne olacak?” sorusu öğrencide merak uyandıracak biçimde kurgulanır.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tcMar>
              <w:top w:type="dxa" w:w="80"/>
              <w:left w:type="dxa" w:w="100"/>
              <w:bottom w:type="dxa" w:w="80"/>
              <w:right w:type="dxa" w:w="100"/>
            </w:tcMar>
            <w:vAlign w:val="center"/>
          </w:tcPr>
          <w:p>
            <w:r>
              <w:rPr>
                <w:b w:val="false"/>
                <w:bCs w:val="false"/>
                <w:color w:val="000000"/>
                <w:sz w:val="20"/>
                <w:szCs w:val="20"/>
              </w:rPr>
              <w:t xml:space="preserve">Tahminini doğrulamak için öğrenci dinleme/izleme sırasında dikkatini sürdürmek zorunda kalır.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Okuryazarlık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OB4. Görsel Okuryazarlık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Materyal görsel/video içeriyorsa, öğrenci görselden de tahmine yönelik ipucu çıkarır (yalnızca görsel materyal kullanılırsa geçerlidir).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Disiplinler Arası İlişki</w:t>
            </w:r>
          </w:p>
        </w:tc>
        <w:tc>
          <w:tcPr>
            <w:tcW w:type="dxa" w:w="2600"/>
            <w:tcMar>
              <w:top w:type="dxa" w:w="80"/>
              <w:left w:type="dxa" w:w="100"/>
              <w:bottom w:type="dxa" w:w="80"/>
              <w:right w:type="dxa" w:w="100"/>
            </w:tcMar>
            <w:vAlign w:val="center"/>
          </w:tcPr>
          <w:p>
            <w:r>
              <w:rPr>
                <w:b w:val="false"/>
                <w:bCs w:val="false"/>
                <w:color w:val="000000"/>
                <w:sz w:val="20"/>
                <w:szCs w:val="20"/>
              </w:rPr>
              <w:t xml:space="preserve">Bilişim Teknolojileri ve Yazılım</w:t>
            </w:r>
          </w:p>
        </w:tc>
        <w:tc>
          <w:tcPr>
            <w:tcW w:type="dxa" w:w="4300"/>
            <w:tcMar>
              <w:top w:type="dxa" w:w="80"/>
              <w:left w:type="dxa" w:w="100"/>
              <w:bottom w:type="dxa" w:w="80"/>
              <w:right w:type="dxa" w:w="100"/>
            </w:tcMar>
            <w:vAlign w:val="center"/>
          </w:tcPr>
          <w:p>
            <w:r>
              <w:rPr>
                <w:b w:val="false"/>
                <w:bCs w:val="false"/>
                <w:color w:val="000000"/>
                <w:sz w:val="20"/>
                <w:szCs w:val="20"/>
              </w:rPr>
              <w:t xml:space="preserve">Dinleme/izleme materyali dijital ortamdan (ses/video dosyası) sunulursa bu bağlantı somutlaşır; analog sesli okuma kullanılırsa bu satır derste fiilen kullanılmaz.</w:t>
            </w:r>
          </w:p>
        </w:tc>
      </w:tr>
    </w:tbl>
    <w:p>
      <w:pPr>
        <w:pBdr>
          <w:left w:val="single" w:color="8A6D3B" w:sz="12" w:space="4"/>
        </w:pBdr>
        <w:shd w:fill="FFF3D6" w:val="clear"/>
        <w:spacing w:after="160" w:before="60"/>
      </w:pPr>
      <w:r>
        <w:rPr>
          <w:i/>
          <w:iCs/>
          <w:sz w:val="20"/>
          <w:szCs w:val="20"/>
        </w:rPr>
        <w:t xml:space="preserve">Referans dosyada bu temaya bağlı Değerler (D1, D4, D8, D14) ve SDB becerileri (İletişim, İş Birliği) genel tema düzeyinde listelenmiştir; ancak T.D.5.3. bireysel/sessiz bir tahmin etkinliği olduğundan bu değerler ve SDB becerileri bu spesifik derste zorlanmadan somutlaştırılamamaktadır. Bu nedenle tabloya “ilgili” olarak eklenmemiştir; öğretmen dilerse dinleme sonrası paylaşım aşamasında İletişim (SDB2.1.) becerisini doğal biçimde devreye sokabilir (bkz. Bölüm 6, 3. Aşama).</w:t>
      </w:r>
    </w:p>
    <w:p>
      <w:pPr>
        <w:pStyle w:val="Heading1"/>
        <w:spacing w:after="160" w:before="320"/>
      </w:pPr>
      <w:r>
        <w:t xml:space="preserve">3. Öğrenci Hazırbulunuşluğu ve Muhtemel Güçlükler</w:t>
      </w:r>
    </w:p>
    <w:p>
      <w:pPr>
        <w:spacing w:after="120"/>
      </w:pPr>
      <w:r>
        <w:rPr>
          <w:b w:val="false"/>
          <w:bCs w:val="false"/>
          <w:i w:val="false"/>
          <w:iCs w:val="false"/>
        </w:rPr>
        <w:t xml:space="preserve">Aşağıdaki maddeler varsayımdır; sınıfın gerçek profiline göre öğretmen tarafından teyit edilmelidir.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günlük yaşamda “başlığa/görsele bakarak tahmin etme” davranışına önceki sınıflardan aşinadır (kitap kapağından konu tahmini gibi).</w:t>
      </w:r>
    </w:p>
    <w:p>
      <w:pPr>
        <w:pStyle w:val="ListParagraph"/>
        <w:numPr>
          <w:ilvl w:val="0"/>
          <w:numId w:val="1"/>
        </w:numPr>
        <w:spacing w:after="60"/>
      </w:pPr>
      <w:r>
        <w:t xml:space="preserve">“Oyun” teması öğrencinin somut yaşam deneyimine yakın olduğundan ön bilgi aktivasyonu görece kolaydır.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“tahmin” ile “kesin bilgi” kavramlarını karıştırabilir; tahminin yanlış çıkabileceğini ve bunun normal olduğunu kabullenmekte zorlanabilir.</w:t>
      </w:r>
    </w:p>
    <w:p>
      <w:pPr>
        <w:pStyle w:val="ListParagraph"/>
        <w:numPr>
          <w:ilvl w:val="0"/>
          <w:numId w:val="1"/>
        </w:numPr>
        <w:spacing w:after="60"/>
      </w:pPr>
      <w:r>
        <w:t xml:space="preserve">Bazı öğrenciler tahmin yapmak yerine doğrudan “bilmiyorum” diyerek süreci atlamaya çalışabilir.</w:t>
      </w:r>
    </w:p>
    <w:p>
      <w:pPr>
        <w:pStyle w:val="ListParagraph"/>
        <w:numPr>
          <w:ilvl w:val="0"/>
          <w:numId w:val="1"/>
        </w:numPr>
        <w:spacing w:after="60"/>
      </w:pPr>
      <w:r>
        <w:t xml:space="preserve">Tahminlerini gerekçelendirmeden (“çünkü...” demeden) sadece sonucu söyleme eğilimi görülebilir.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Dinleme güçlüğü yaşayan öğrenciler için materyalin daha yavaş/tekrarlı sunulması.</w:t>
      </w:r>
    </w:p>
    <w:p>
      <w:pPr>
        <w:pStyle w:val="ListParagraph"/>
        <w:numPr>
          <w:ilvl w:val="0"/>
          <w:numId w:val="1"/>
        </w:numPr>
        <w:spacing w:after="60"/>
      </w:pPr>
      <w:r>
        <w:t xml:space="preserve">Tahmin cümlesi kurmakta zorlananlar için başlangıç kalıpları (“Sanırım...”, “Bence...”, “Belki de...”) sunulması.</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Tema ile ilgili kısa bir soru/görsel sunar</w:t>
            </w:r>
          </w:p>
        </w:tc>
        <w:tc>
          <w:tcPr>
            <w:tcW w:type="dxa" w:w="1900"/>
            <w:tcMar>
              <w:top w:type="dxa" w:w="80"/>
              <w:left w:type="dxa" w:w="100"/>
              <w:bottom w:type="dxa" w:w="80"/>
              <w:right w:type="dxa" w:w="100"/>
            </w:tcMar>
            <w:vAlign w:val="center"/>
          </w:tcPr>
          <w:p>
            <w:r>
              <w:rPr>
                <w:b w:val="false"/>
                <w:bCs w:val="false"/>
                <w:color w:val="000000"/>
                <w:sz w:val="20"/>
                <w:szCs w:val="20"/>
              </w:rPr>
              <w:t xml:space="preserve">Soruya yanıt verir, derse odaklanır</w:t>
            </w:r>
          </w:p>
        </w:tc>
        <w:tc>
          <w:tcPr>
            <w:tcW w:type="dxa" w:w="1500"/>
            <w:tcMar>
              <w:top w:type="dxa" w:w="80"/>
              <w:left w:type="dxa" w:w="100"/>
              <w:bottom w:type="dxa" w:w="80"/>
              <w:right w:type="dxa" w:w="100"/>
            </w:tcMar>
            <w:vAlign w:val="center"/>
          </w:tcPr>
          <w:p>
            <w:r>
              <w:rPr>
                <w:b w:val="false"/>
                <w:bCs w:val="false"/>
                <w:color w:val="000000"/>
                <w:sz w:val="20"/>
                <w:szCs w:val="20"/>
              </w:rPr>
              <w:t xml:space="preserve">İlgi çekme, ön bilgiyi harekete geçirme</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Dinleme Öncesi Tahmin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Başlık/görsel/anahtar kelimeleri sunar, tahmin sorusu yöneltir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Bireysel/eşli tahmin cümlesi oluşturur, yazar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Mevcut veriye dayalı tahmin üretme (T.D.5.3.)</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Yazılı tahmin cümlesi</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Dinleme/İzleme ve Doğrulama</w:t>
            </w:r>
          </w:p>
        </w:tc>
        <w:tc>
          <w:tcPr>
            <w:tcW w:type="dxa" w:w="700"/>
            <w:tcMar>
              <w:top w:type="dxa" w:w="80"/>
              <w:left w:type="dxa" w:w="100"/>
              <w:bottom w:type="dxa" w:w="80"/>
              <w:right w:type="dxa" w:w="100"/>
            </w:tcMar>
            <w:vAlign w:val="center"/>
          </w:tcPr>
          <w:p>
            <w:r>
              <w:rPr>
                <w:b w:val="false"/>
                <w:bCs w:val="false"/>
                <w:color w:val="000000"/>
                <w:sz w:val="20"/>
                <w:szCs w:val="20"/>
              </w:rPr>
              <w:t xml:space="preserve">15 dk</w:t>
            </w:r>
          </w:p>
        </w:tc>
        <w:tc>
          <w:tcPr>
            <w:tcW w:type="dxa" w:w="1900"/>
            <w:tcMar>
              <w:top w:type="dxa" w:w="80"/>
              <w:left w:type="dxa" w:w="100"/>
              <w:bottom w:type="dxa" w:w="80"/>
              <w:right w:type="dxa" w:w="100"/>
            </w:tcMar>
            <w:vAlign w:val="center"/>
          </w:tcPr>
          <w:p>
            <w:r>
              <w:rPr>
                <w:b w:val="false"/>
                <w:bCs w:val="false"/>
                <w:color w:val="000000"/>
                <w:sz w:val="20"/>
                <w:szCs w:val="20"/>
              </w:rPr>
              <w:t xml:space="preserve">Materyali dinletir/izletir, dinleme sonrası tahminleri sınatır</w:t>
            </w:r>
          </w:p>
        </w:tc>
        <w:tc>
          <w:tcPr>
            <w:tcW w:type="dxa" w:w="1900"/>
            <w:tcMar>
              <w:top w:type="dxa" w:w="80"/>
              <w:left w:type="dxa" w:w="100"/>
              <w:bottom w:type="dxa" w:w="80"/>
              <w:right w:type="dxa" w:w="100"/>
            </w:tcMar>
            <w:vAlign w:val="center"/>
          </w:tcPr>
          <w:p>
            <w:r>
              <w:rPr>
                <w:b w:val="false"/>
                <w:bCs w:val="false"/>
                <w:color w:val="000000"/>
                <w:sz w:val="20"/>
                <w:szCs w:val="20"/>
              </w:rPr>
              <w:t xml:space="preserve">Dinler, tahminini metinle karşılaştırır</w:t>
            </w:r>
          </w:p>
        </w:tc>
        <w:tc>
          <w:tcPr>
            <w:tcW w:type="dxa" w:w="1500"/>
            <w:tcMar>
              <w:top w:type="dxa" w:w="80"/>
              <w:left w:type="dxa" w:w="100"/>
              <w:bottom w:type="dxa" w:w="80"/>
              <w:right w:type="dxa" w:w="100"/>
            </w:tcMar>
            <w:vAlign w:val="center"/>
          </w:tcPr>
          <w:p>
            <w:r>
              <w:rPr>
                <w:b w:val="false"/>
                <w:bCs w:val="false"/>
                <w:color w:val="000000"/>
                <w:sz w:val="20"/>
                <w:szCs w:val="20"/>
              </w:rPr>
              <w:t xml:space="preserve">Tahminin doğrulanması/gözden geçirilmesi</w:t>
            </w:r>
          </w:p>
        </w:tc>
        <w:tc>
          <w:tcPr>
            <w:tcW w:type="dxa" w:w="1500"/>
            <w:tcMar>
              <w:top w:type="dxa" w:w="80"/>
              <w:left w:type="dxa" w:w="100"/>
              <w:bottom w:type="dxa" w:w="80"/>
              <w:right w:type="dxa" w:w="100"/>
            </w:tcMar>
            <w:vAlign w:val="center"/>
          </w:tcPr>
          <w:p>
            <w:r>
              <w:rPr>
                <w:b w:val="false"/>
                <w:bCs w:val="false"/>
                <w:color w:val="000000"/>
                <w:sz w:val="20"/>
                <w:szCs w:val="20"/>
              </w:rPr>
              <w:t xml:space="preserve">Tahmin-sonuç karşılaştırma tablosu</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Pekiştirme / Değerlendirme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Çıkış bileti dağıtır, süreci özetler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Kısa değerlendirme sorusunu yanıtlar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+ 10 + 15 + 10 = 40 dk. (Yönerge verme ve geçiş süreleri aşama sürelerine dahil edilmiştir.)</w:t>
      </w:r>
    </w:p>
    <w:p>
      <w:pPr>
        <w:pStyle w:val="Heading1"/>
        <w:spacing w:after="160" w:before="320"/>
      </w:pPr>
      <w:r>
        <w:t xml:space="preserve">5. Ders Öncesi Öğretmen Hazırlığı</w:t>
      </w:r>
    </w:p>
    <w:p>
      <w:pPr>
        <w:pStyle w:val="ListParagraph"/>
        <w:numPr>
          <w:ilvl w:val="0"/>
          <w:numId w:val="1"/>
        </w:numPr>
        <w:spacing w:after="60"/>
      </w:pPr>
      <w:r>
        <w:t xml:space="preserve">Dinleme/izleme materyalini (kurumun belirlediği ya da Bölüm 10’daki örnek metni) önceden bir kez dinleyip/okuyup süresini ölçün.</w:t>
      </w:r>
    </w:p>
    <w:p>
      <w:pPr>
        <w:pStyle w:val="ListParagraph"/>
        <w:numPr>
          <w:ilvl w:val="0"/>
          <w:numId w:val="1"/>
        </w:numPr>
        <w:spacing w:after="60"/>
      </w:pPr>
      <w:r>
        <w:t xml:space="preserve">Tahmin çalışma kağıdını (Bölüm 10) sınıf mevcuduna göre çoğaltın.</w:t>
      </w:r>
    </w:p>
    <w:p>
      <w:pPr>
        <w:pStyle w:val="ListParagraph"/>
        <w:numPr>
          <w:ilvl w:val="0"/>
          <w:numId w:val="1"/>
        </w:numPr>
        <w:spacing w:after="60"/>
      </w:pPr>
      <w:r>
        <w:t xml:space="preserve">Ses sistemi/akıllı tahta kullanılacaksa dersten önce test edin; teknik arıza ihtimaline karşı metnin basılı/sesli okunabilir bir yedeğini hazır bulundurun.</w:t>
      </w:r>
    </w:p>
    <w:p>
      <w:pPr>
        <w:pStyle w:val="ListParagraph"/>
        <w:numPr>
          <w:ilvl w:val="0"/>
          <w:numId w:val="1"/>
        </w:numPr>
        <w:spacing w:after="60"/>
      </w:pPr>
      <w:r>
        <w:t xml:space="preserve">Tahtaya Bölüm 15’teki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rPr>
          <w:b w:val="false"/>
          <w:bCs w:val="false"/>
          <w:i w:val="false"/>
          <w:iCs w:val="false"/>
        </w:rPr>
        <w:t xml:space="preserve">Öğretmen sınıfa “En sevdiğiniz oyun hangisi ve neden?” sorusunu yöneltir; 2-3 öğrenciden kısa yanıt alır. Ardından “Bugün bir dinleme/izleme çalışması yapacağız ama önce onun ne anlatacağını birlikte tahmin edeceğiz” diyerek dersin amacını açıklar.</w:t>
      </w:r>
    </w:p>
    <w:p>
      <w:pPr>
        <w:pStyle w:val="Heading3"/>
        <w:spacing w:after="100" w:before="200"/>
      </w:pPr>
      <w:r>
        <w:rPr>
          <w:b/>
          <w:bCs/>
          <w:color w:val="8A6D3B"/>
        </w:rPr>
        <w:t xml:space="preserve">Öğrencinin Yapacağı</w:t>
      </w:r>
    </w:p>
    <w:p>
      <w:pPr>
        <w:spacing w:after="120"/>
      </w:pPr>
      <w:r>
        <w:rPr>
          <w:b w:val="false"/>
          <w:bCs w:val="false"/>
          <w:i w:val="false"/>
          <w:iCs w:val="false"/>
        </w:rPr>
        <w:t xml:space="preserve">Soruya gönüllü olarak kısa cevap verir, dersin amacına yönelik dikkatini toplar.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“En sevdiğiniz oyun hangisi, neden?”</w:t>
      </w:r>
    </w:p>
    <w:p>
      <w:pPr>
        <w:pStyle w:val="ListParagraph"/>
        <w:numPr>
          <w:ilvl w:val="0"/>
          <w:numId w:val="1"/>
        </w:numPr>
        <w:spacing w:after="60"/>
      </w:pPr>
      <w:r>
        <w:t xml:space="preserve">“Bir şeyi dinlemeden/izlemeden önce onun ne anlatacağını tahmin etmeye çalıştığınız oldu mu?”</w:t>
      </w:r>
    </w:p>
    <w:p>
      <w:pPr>
        <w:pStyle w:val="Heading3"/>
        <w:spacing w:after="100" w:before="200"/>
      </w:pPr>
      <w:r>
        <w:rPr>
          <w:b/>
          <w:bCs/>
          <w:color w:val="8A6D3B"/>
        </w:rPr>
        <w:t xml:space="preserve">Beklenen Öğrenci Tepkileri</w:t>
      </w:r>
    </w:p>
    <w:p>
      <w:pPr>
        <w:spacing w:after="120"/>
      </w:pPr>
      <w:r>
        <w:rPr>
          <w:b w:val="false"/>
          <w:bCs w:val="false"/>
          <w:i w:val="false"/>
          <w:iCs w:val="false"/>
        </w:rPr>
        <w:t xml:space="preserve">Öğrenciler kendi oyun deneyimlerinden örnekler verir; bazıları tahmin deneyimini (“filmin fragmanına bakınca ne olacağını tahmin ederim” gibi) paylaşabilir.</w:t>
      </w:r>
    </w:p>
    <w:p>
      <w:pPr>
        <w:pStyle w:val="Heading3"/>
        <w:spacing w:after="100" w:before="200"/>
      </w:pPr>
      <w:r>
        <w:rPr>
          <w:b/>
          <w:bCs/>
          <w:color w:val="8A6D3B"/>
        </w:rPr>
        <w:t xml:space="preserve">Öğrenme Kanıtı</w:t>
      </w:r>
    </w:p>
    <w:p>
      <w:pPr>
        <w:spacing w:after="120"/>
      </w:pPr>
      <w:r>
        <w:rPr>
          <w:b w:val="false"/>
          <w:bCs w:val="false"/>
          <w:i w:val="false"/>
          <w:iCs w:val="false"/>
        </w:rPr>
        <w:t xml:space="preserve">Sözlü katılım ve sınıfın derse odaklanmış olması.</w:t>
      </w:r>
    </w:p>
    <w:p>
      <w:pPr>
        <w:pStyle w:val="Heading2"/>
        <w:spacing w:after="120" w:before="240"/>
      </w:pPr>
      <w:r>
        <w:t xml:space="preserve">2. Aşama — Dinleme Öncesi Tahmin (10 dk)</w:t>
      </w:r>
    </w:p>
    <w:p>
      <w:pPr>
        <w:pStyle w:val="Heading3"/>
        <w:spacing w:after="100" w:before="200"/>
      </w:pPr>
      <w:r>
        <w:rPr>
          <w:b/>
          <w:bCs/>
          <w:color w:val="8A6D3B"/>
        </w:rPr>
        <w:t xml:space="preserve">Öğretmenin Yapacağı</w:t>
      </w:r>
    </w:p>
    <w:p>
      <w:pPr>
        <w:spacing w:after="120"/>
      </w:pPr>
      <w:r>
        <w:rPr>
          <w:b w:val="false"/>
          <w:bCs w:val="false"/>
          <w:i w:val="false"/>
          <w:iCs w:val="false"/>
        </w:rPr>
        <w:t xml:space="preserve">Öğretmen dinlenecek/izlenecek materyalin başlığını (“Sokakta Unutulan Oyun”) ve varsa kapak görselini/ilk cümlesini tahtaya yansıtır veya okur. Öğrencilerden bu ipuçlarından hareketle metnin ne anlatabileceğini tahmin etmelerini ister. Tahmin çalışma kağıdını dağıtır.</w:t>
      </w:r>
    </w:p>
    <w:p>
      <w:pPr>
        <w:pStyle w:val="Heading3"/>
        <w:spacing w:after="100" w:before="200"/>
      </w:pPr>
      <w:r>
        <w:rPr>
          <w:b/>
          <w:bCs/>
          <w:color w:val="8A6D3B"/>
        </w:rPr>
        <w:t xml:space="preserve">Öğrencinin Yapacağı</w:t>
      </w:r>
    </w:p>
    <w:p>
      <w:pPr>
        <w:spacing w:after="120"/>
      </w:pPr>
      <w:r>
        <w:rPr>
          <w:b w:val="false"/>
          <w:bCs w:val="false"/>
          <w:i w:val="false"/>
          <w:iCs w:val="false"/>
        </w:rPr>
        <w:t xml:space="preserve">Başlık ve ipuçlarına bakarak bireysel olarak tahmin çalışma kağıdındaki “Dinlemeden Önce Tahminim” bölümünü doldurur: “Bence bu metin ... anlatacak, çünkü ...” kalıbını tamamlar.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başlığı görünce aklınıza ilk ne geliyor?”</w:t>
      </w:r>
    </w:p>
    <w:p>
      <w:pPr>
        <w:pStyle w:val="ListParagraph"/>
        <w:numPr>
          <w:ilvl w:val="0"/>
          <w:numId w:val="1"/>
        </w:numPr>
        <w:spacing w:after="60"/>
      </w:pPr>
      <w:r>
        <w:t xml:space="preserve">“Bu metin sizce nerede geçiyor olabilir? Neden öyle düşünüyorsunuz?”</w:t>
      </w:r>
    </w:p>
    <w:p>
      <w:pPr>
        <w:pStyle w:val="ListParagraph"/>
        <w:numPr>
          <w:ilvl w:val="0"/>
          <w:numId w:val="1"/>
        </w:numPr>
        <w:spacing w:after="60"/>
      </w:pPr>
      <w:r>
        <w:t xml:space="preserve">“Tahmininizi destekleyen ipucu nedir?”</w:t>
      </w:r>
    </w:p>
    <w:p>
      <w:pPr>
        <w:pStyle w:val="Heading3"/>
        <w:spacing w:after="100" w:before="200"/>
      </w:pPr>
      <w:r>
        <w:rPr>
          <w:b/>
          <w:bCs/>
          <w:color w:val="8A6D3B"/>
        </w:rPr>
        <w:t xml:space="preserve">Beklenen Öğrenci Tepkileri</w:t>
      </w:r>
    </w:p>
    <w:p>
      <w:pPr>
        <w:spacing w:after="120"/>
      </w:pPr>
      <w:r>
        <w:rPr>
          <w:b w:val="false"/>
          <w:bCs w:val="false"/>
          <w:i w:val="false"/>
          <w:iCs w:val="false"/>
        </w:rPr>
        <w:t xml:space="preserve">Doğru/olası: “Bence eski bir oyundan bahsedecek çünkü ‘sokak’ ve ‘unutulan’ kelimeleri geçmişi çağrıştırıyor.” Kısmen doğru: Yalnızca konuyu tahmin edip gerekçe belirtmeyen yanıtlar. Muhtemel yanlış: Başlıkla hiç ilgisi olmayan, tamamen rastgele tahmin (“Uzaylılar hakkında olabilir” gibi gerekçesiz atlama).</w:t>
      </w:r>
    </w:p>
    <w:p>
      <w:pPr>
        <w:pStyle w:val="Heading3"/>
        <w:spacing w:after="100" w:before="200"/>
      </w:pPr>
      <w:r>
        <w:rPr>
          <w:b/>
          <w:bCs/>
          <w:color w:val="8A6D3B"/>
        </w:rPr>
        <w:t xml:space="preserve">Olası Yanılgılar ve Öğretmen Müdahalesi</w:t>
      </w:r>
    </w:p>
    <w:p>
      <w:pPr>
        <w:spacing w:after="120"/>
      </w:pPr>
      <w:r>
        <w:rPr>
          <w:b w:val="false"/>
          <w:bCs w:val="false"/>
          <w:i w:val="false"/>
          <w:iCs w:val="false"/>
        </w:rPr>
        <w:t xml:space="preserve">Öğrenci gerekçesiz/rastgele tahmin verirse öğretmen doğrudan düzeltmez; “Bu tahmine hangi kelimeden/görselden ulaştın?” diye sorarak öğrenciyi ipucuna geri yönlendirir. “Bilmiyorum” diyen öğrenciye “Yanlış olabilir, önemli değil; başlıktaki bir kelimeyi seç ve o kelime sana ne düşündürüyor?” şeklinde küçük bir başlangıç noktası sunulur.</w:t>
      </w:r>
    </w:p>
    <w:p>
      <w:pPr>
        <w:pStyle w:val="Heading3"/>
        <w:spacing w:after="100" w:before="200"/>
      </w:pPr>
      <w:r>
        <w:rPr>
          <w:b/>
          <w:bCs/>
          <w:color w:val="8A6D3B"/>
        </w:rPr>
        <w:t xml:space="preserve">Öğrenme Kanıtı</w:t>
      </w:r>
    </w:p>
    <w:p>
      <w:pPr>
        <w:spacing w:after="120"/>
      </w:pPr>
      <w:r>
        <w:rPr>
          <w:b w:val="false"/>
          <w:bCs w:val="false"/>
          <w:i w:val="false"/>
          <w:iCs w:val="false"/>
        </w:rPr>
        <w:t xml:space="preserve">Çalışma kağıdına yazılan, en az bir ipucuna dayanan tahmin cümlesi.</w:t>
      </w:r>
    </w:p>
    <w:p>
      <w:pPr>
        <w:pStyle w:val="Heading2"/>
        <w:spacing w:after="120" w:before="240"/>
      </w:pPr>
      <w:r>
        <w:t xml:space="preserve">3. Aşama — Dinleme/İzleme ve Doğrulama (15 dk)</w:t>
      </w:r>
    </w:p>
    <w:p>
      <w:pPr>
        <w:pStyle w:val="Heading3"/>
        <w:spacing w:after="100" w:before="200"/>
      </w:pPr>
      <w:r>
        <w:rPr>
          <w:b/>
          <w:bCs/>
          <w:color w:val="8A6D3B"/>
        </w:rPr>
        <w:t xml:space="preserve">Öğretmenin Yapacağı</w:t>
      </w:r>
    </w:p>
    <w:p>
      <w:pPr>
        <w:spacing w:after="120"/>
      </w:pPr>
      <w:r>
        <w:rPr>
          <w:b w:val="false"/>
          <w:bCs w:val="false"/>
          <w:i w:val="false"/>
          <w:iCs w:val="false"/>
        </w:rPr>
        <w:t xml:space="preserve">Öğretmen materyali oynatır/okur (yaklaşık 3-4 dk). Dinleme bitiminde öğrencilerden tahminlerini metinle karşılaştırmalarını ister; “Dinlemeden Sonra” bölümünü doldurmalarını söyler. Ardından 2-3 öğrenciye tahminiyle metnin örtüşüp örtüşmediğini sınıfla paylaştırır (SDB2.1. İletişim burada doğal olarak devreye girer).</w:t>
      </w:r>
    </w:p>
    <w:p>
      <w:pPr>
        <w:pStyle w:val="Heading3"/>
        <w:spacing w:after="100" w:before="200"/>
      </w:pPr>
      <w:r>
        <w:rPr>
          <w:b/>
          <w:bCs/>
          <w:color w:val="8A6D3B"/>
        </w:rPr>
        <w:t xml:space="preserve">Öğrencinin Yapacağı</w:t>
      </w:r>
    </w:p>
    <w:p>
      <w:pPr>
        <w:spacing w:after="120"/>
      </w:pPr>
      <w:r>
        <w:rPr>
          <w:b w:val="false"/>
          <w:bCs w:val="false"/>
          <w:i w:val="false"/>
          <w:iCs w:val="false"/>
        </w:rPr>
        <w:t xml:space="preserve">Materyali dikkatle dinler/izler; dinleme bitince tahminini metinle karşılaştırıp çalışma kağıdındaki ilgili kutuyu işaretler (“tahminim doğru çıktı / kısmen doğru çıktı / yanlış çıktı”) ve kısa gerekçe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“Tahmininiz metinle ne kadar örtüştü?”</w:t>
      </w:r>
    </w:p>
    <w:p>
      <w:pPr>
        <w:pStyle w:val="ListParagraph"/>
        <w:numPr>
          <w:ilvl w:val="0"/>
          <w:numId w:val="1"/>
        </w:numPr>
        <w:spacing w:after="60"/>
      </w:pPr>
      <w:r>
        <w:t xml:space="preserve">“Metinde sizi şaşırtan bir bölüm oldu mu?”</w:t>
      </w:r>
    </w:p>
    <w:p>
      <w:pPr>
        <w:pStyle w:val="ListParagraph"/>
        <w:numPr>
          <w:ilvl w:val="0"/>
          <w:numId w:val="1"/>
        </w:numPr>
        <w:spacing w:after="60"/>
      </w:pPr>
      <w:r>
        <w:t xml:space="preserve">“Tahmininiz tutmadıysa, gerçekte ne anlatılıyordu?”</w:t>
      </w:r>
    </w:p>
    <w:p>
      <w:pPr>
        <w:pStyle w:val="Heading3"/>
        <w:spacing w:after="100" w:before="200"/>
      </w:pPr>
      <w:r>
        <w:rPr>
          <w:b/>
          <w:bCs/>
          <w:color w:val="8A6D3B"/>
        </w:rPr>
        <w:t xml:space="preserve">Beklenen Öğrenci Tepkileri</w:t>
      </w:r>
    </w:p>
    <w:p>
      <w:pPr>
        <w:spacing w:after="120"/>
      </w:pPr>
      <w:r>
        <w:rPr>
          <w:b w:val="false"/>
          <w:bCs w:val="false"/>
          <w:i w:val="false"/>
          <w:iCs w:val="false"/>
        </w:rPr>
        <w:t xml:space="preserve">Doğru/olası: Tahminiyle metnin örtüşen ve örtüşmeyen yönlerini somut biçimde ayırt eden yanıtlar. Kısmen doğru: Yalnızca “tuttu/tutmadı” diyip gerekçe belirtmeyen yanıtlar. Muhtemel yanlış: Dinlenen metni tahminine göre çarpıtarak hatırlama (doğrulama yanlılığı).</w:t>
      </w:r>
    </w:p>
    <w:p>
      <w:pPr>
        <w:pStyle w:val="Heading3"/>
        <w:spacing w:after="100" w:before="200"/>
      </w:pPr>
      <w:r>
        <w:rPr>
          <w:b/>
          <w:bCs/>
          <w:color w:val="8A6D3B"/>
        </w:rPr>
        <w:t xml:space="preserve">Olası Yanılgılar ve Öğretmen Müdahalesi</w:t>
      </w:r>
    </w:p>
    <w:p>
      <w:pPr>
        <w:spacing w:after="120"/>
      </w:pPr>
      <w:r>
        <w:rPr>
          <w:b w:val="false"/>
          <w:bCs w:val="false"/>
          <w:i w:val="false"/>
          <w:iCs w:val="false"/>
        </w:rPr>
        <w:t xml:space="preserve">Öğrenci metni tahminine uydurmaya çalışıyorsa öğretmen metinden somut bir ayrıntıyı hatırlatarak (“Metinde geçen şu cümleyi hatırlıyor musun?”) gerçek içerikle yüzleştirir.</w:t>
      </w:r>
    </w:p>
    <w:p>
      <w:pPr>
        <w:pStyle w:val="Heading3"/>
        <w:spacing w:after="100" w:before="200"/>
      </w:pPr>
      <w:r>
        <w:rPr>
          <w:b/>
          <w:bCs/>
          <w:color w:val="8A6D3B"/>
        </w:rPr>
        <w:t xml:space="preserve">Öğrenme Kanıtı</w:t>
      </w:r>
    </w:p>
    <w:p>
      <w:pPr>
        <w:spacing w:after="120"/>
      </w:pPr>
      <w:r>
        <w:rPr>
          <w:b w:val="false"/>
          <w:bCs w:val="false"/>
          <w:i w:val="false"/>
          <w:iCs w:val="false"/>
        </w:rPr>
        <w:t xml:space="preserve">Tahmin-sonuç karşılaştırma tablosunun gerekçeli biçimde doldurulmuş olması.</w:t>
      </w:r>
    </w:p>
    <w:p>
      <w:pPr>
        <w:pStyle w:val="Heading2"/>
        <w:spacing w:after="120" w:before="240"/>
      </w:pPr>
      <w:r>
        <w:t xml:space="preserve">4. Aşama — Pekiştirme / Değerlendirme (10 dk)</w:t>
      </w:r>
    </w:p>
    <w:p>
      <w:pPr>
        <w:pStyle w:val="Heading3"/>
        <w:spacing w:after="100" w:before="200"/>
      </w:pPr>
      <w:r>
        <w:rPr>
          <w:b/>
          <w:bCs/>
          <w:color w:val="8A6D3B"/>
        </w:rPr>
        <w:t xml:space="preserve">Öğretmenin Yapacağı</w:t>
      </w:r>
    </w:p>
    <w:p>
      <w:pPr>
        <w:spacing w:after="120"/>
      </w:pPr>
      <w:r>
        <w:rPr>
          <w:b w:val="false"/>
          <w:bCs w:val="false"/>
          <w:i w:val="false"/>
          <w:iCs w:val="false"/>
        </w:rPr>
        <w:t xml:space="preserve">Öğretmen sürecin özetini yapar: “Biz bugün bir metni dinlemeden önce ipuçlarından yola çıkarak tahmin yürüttük, sonra bu tahminimizi dinleyerek sınadık.” Çıkış biletini dağıtır.</w:t>
      </w:r>
    </w:p>
    <w:p>
      <w:pPr>
        <w:pStyle w:val="Heading3"/>
        <w:spacing w:after="100" w:before="200"/>
      </w:pPr>
      <w:r>
        <w:rPr>
          <w:b/>
          <w:bCs/>
          <w:color w:val="8A6D3B"/>
        </w:rPr>
        <w:t xml:space="preserve">Öğrencinin Yapacağı</w:t>
      </w:r>
    </w:p>
    <w:p>
      <w:pPr>
        <w:spacing w:after="120"/>
      </w:pPr>
      <w:r>
        <w:rPr>
          <w:b w:val="false"/>
          <w:bCs w:val="false"/>
          <w:i w:val="false"/>
          <w:iCs w:val="false"/>
        </w:rPr>
        <w:t xml:space="preserve">Çıkış biletindeki kısa soruyu (yeni bir başlık üzerinden tek cümlelik tahmin) bireysel olarak yanıtlar ve teslim eder.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“Tahmin yaparken hangi ipuçlarına bakarız?”</w:t>
      </w:r>
    </w:p>
    <w:p>
      <w:pPr>
        <w:pStyle w:val="ListParagraph"/>
        <w:numPr>
          <w:ilvl w:val="0"/>
          <w:numId w:val="1"/>
        </w:numPr>
        <w:spacing w:after="60"/>
      </w:pPr>
      <w:r>
        <w:t xml:space="preserve">“Tahminimiz tutmazsa bu bizim için ne anlama gelir?”</w:t>
      </w:r>
    </w:p>
    <w:p>
      <w:pPr>
        <w:pStyle w:val="Heading3"/>
        <w:spacing w:after="100" w:before="200"/>
      </w:pPr>
      <w:r>
        <w:rPr>
          <w:b/>
          <w:bCs/>
          <w:color w:val="8A6D3B"/>
        </w:rPr>
        <w:t xml:space="preserve">Beklenen Öğrenci Tepkileri</w:t>
      </w:r>
    </w:p>
    <w:p>
      <w:pPr>
        <w:spacing w:after="120"/>
      </w:pPr>
      <w:r>
        <w:rPr>
          <w:b w:val="false"/>
          <w:bCs w:val="false"/>
          <w:i w:val="false"/>
          <w:iCs w:val="false"/>
        </w:rPr>
        <w:t xml:space="preserve">Öğrencilerin “başlık, görsel, ilk cümle/anahtar kelime” gibi somut ipucu türlerini ifade edebilmesi beklenir.</w:t>
      </w:r>
    </w:p>
    <w:p>
      <w:pPr>
        <w:pStyle w:val="Heading3"/>
        <w:spacing w:after="100" w:before="200"/>
      </w:pPr>
      <w:r>
        <w:rPr>
          <w:b/>
          <w:bCs/>
          <w:color w:val="8A6D3B"/>
        </w:rPr>
        <w:t xml:space="preserve">Öğrenme Kanıtı</w:t>
      </w:r>
    </w:p>
    <w:p>
      <w:pPr>
        <w:spacing w:after="120"/>
      </w:pPr>
      <w:r>
        <w:rPr>
          <w:b w:val="false"/>
          <w:bCs w:val="false"/>
          <w:i w:val="false"/>
          <w:iCs w:val="false"/>
        </w:rPr>
        <w:t xml:space="preserve">Çıkış biletinde yeni bir başlığa dayalı, gerekçeli tahmin cümlesi üretilmiş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Tahmin cümlesi için başlangıç kalıpları sunulur: “Sanırım ... çünkü ...”, “Bence ... çünkü ...”</w:t>
      </w:r>
    </w:p>
    <w:p>
      <w:pPr>
        <w:pStyle w:val="ListParagraph"/>
        <w:numPr>
          <w:ilvl w:val="0"/>
          <w:numId w:val="1"/>
        </w:numPr>
        <w:spacing w:after="60"/>
      </w:pPr>
      <w:r>
        <w:t xml:space="preserve">Başlıktaki anahtar kelimeler önceden tek tek vurgulanıp kısaca anlamları hatırlatılır.</w:t>
      </w:r>
    </w:p>
    <w:p>
      <w:pPr>
        <w:pStyle w:val="ListParagraph"/>
        <w:numPr>
          <w:ilvl w:val="0"/>
          <w:numId w:val="1"/>
        </w:numPr>
        <w:spacing w:after="60"/>
      </w:pPr>
      <w:r>
        <w:t xml:space="preserve">Yazmakta zorlanan öğrenciye tahminini sözlü ifade etme ve öğretmenin/akranının yazmasına izin verme seçeneği sunulur.</w:t>
      </w:r>
    </w:p>
    <w:p>
      <w:pPr>
        <w:pStyle w:val="ListParagraph"/>
        <w:numPr>
          <w:ilvl w:val="0"/>
          <w:numId w:val="1"/>
        </w:numPr>
        <w:spacing w:after="60"/>
      </w:pPr>
      <w:r>
        <w:t xml:space="preserve">Dinleme güçlüğü olan öğrenci için materyal gerekiyorsa bir kez daha (kısa bölüm hâlinde) tekrarlanır.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kendi seçtikleri farklı bir başlık için de tahmin cümlesi üretmeleri ve bu tahminin hangi ipucuna dayandığını akranına açıklaması istenir.</w:t>
      </w:r>
    </w:p>
    <w:p>
      <w:pPr>
        <w:pStyle w:val="ListParagraph"/>
        <w:numPr>
          <w:ilvl w:val="0"/>
          <w:numId w:val="1"/>
        </w:numPr>
        <w:spacing w:after="60"/>
      </w:pPr>
      <w:r>
        <w:t xml:space="preserve">Tahmini metinle örtüşen öğrencilerden, metnin nasıl devam edebileceğine dair (dinlenen bölümün ötesinde) mantıklı bir tahmin daha üretmeleri istenebilir — bu, T.D.5.3.’ün ötesine geçen ama aynı beceriyi derinleştiren bir transfer görevidir.</w:t>
      </w:r>
    </w:p>
    <w:p>
      <w:pPr>
        <w:pStyle w:val="Heading1"/>
        <w:spacing w:after="160" w:before="320"/>
      </w:pPr>
      <w:r>
        <w:t xml:space="preserve">8. Ölçme ve Değerlendirme</w:t>
      </w:r>
    </w:p>
    <w:p>
      <w:pPr>
        <w:spacing w:after="120"/>
      </w:pPr>
      <w:r>
        <w:rPr>
          <w:b w:val="false"/>
          <w:bCs w:val="false"/>
          <w:i w:val="false"/>
          <w:iCs w:val="false"/>
        </w:rPr>
        <w:t xml:space="preserve">Referans dosyada bu öğrenme çıktısı için önerilen ölçme yaklaşımı açıkça belirtilmiştir: “boşluk doldurma, açık uçlu soru, cümle tamamlama vb. çalışmalar yapılabilir.” Aşağıdaki araçlar bu yönergeyle uyumlu biçimde tasarlanmıştır.</w:t>
      </w:r>
    </w:p>
    <w:p>
      <w:pPr>
        <w:pStyle w:val="Heading3"/>
        <w:spacing w:after="100" w:before="200"/>
      </w:pPr>
      <w:r>
        <w:rPr>
          <w:b/>
          <w:bCs/>
          <w:color w:val="8A6D3B"/>
        </w:rPr>
        <w:t xml:space="preserve">Ön Değerlendirme</w:t>
      </w:r>
    </w:p>
    <w:p>
      <w:pPr>
        <w:spacing w:after="120"/>
      </w:pPr>
      <w:r>
        <w:rPr>
          <w:b w:val="false"/>
          <w:bCs w:val="false"/>
          <w:i w:val="false"/>
          <w:iCs w:val="false"/>
        </w:rPr>
        <w:t xml:space="preserve">1. Aşamadaki sözlü soru-cevap, öğrencilerin “tahmin” kavramına aşinalık düzeyini gözlemlemek için kullanılır (gözlem, ölçüt aranmaz).</w:t>
      </w:r>
    </w:p>
    <w:p>
      <w:pPr>
        <w:pStyle w:val="Heading3"/>
        <w:spacing w:after="100" w:before="200"/>
      </w:pPr>
      <w:r>
        <w:rPr>
          <w:b/>
          <w:bCs/>
          <w:color w:val="8A6D3B"/>
        </w:rPr>
        <w:t xml:space="preserve">Süreç İçi Değerlendirme</w:t>
      </w:r>
    </w:p>
    <w:p>
      <w:pPr>
        <w:spacing w:after="120"/>
      </w:pPr>
      <w:r>
        <w:rPr>
          <w:b w:val="false"/>
          <w:bCs w:val="false"/>
          <w:i w:val="false"/>
          <w:iCs w:val="false"/>
        </w:rPr>
        <w:t xml:space="preserve">2. ve 3. Aşamalardaki tahmin çalışma kağıdı, öğretmene her öğrencinin ipucuna dayalı tahmin üretip üretemediğine dair anlık bilgi sağlar. Öğretmen bu aşamada gezerek gerekçesiz tahminleri fark edip anlık geri bildirim verir.</w:t>
      </w:r>
    </w:p>
    <w:p>
      <w:pPr>
        <w:pStyle w:val="Heading3"/>
        <w:spacing w:after="100" w:before="200"/>
      </w:pPr>
      <w:r>
        <w:rPr>
          <w:b/>
          <w:bCs/>
          <w:color w:val="8A6D3B"/>
        </w:rPr>
        <w:t xml:space="preserve">Sonuç Değerlendirmesi</w:t>
      </w:r>
    </w:p>
    <w:p>
      <w:pPr>
        <w:spacing w:after="120"/>
      </w:pPr>
      <w:r>
        <w:rPr>
          <w:b w:val="false"/>
          <w:bCs w:val="false"/>
          <w:i w:val="false"/>
          <w:iCs w:val="false"/>
        </w:rPr>
        <w:t xml:space="preserve">4. Aşamadaki çıkış bileti, T.D.5.3.’ün bağımsız biçimde (yeni bir başlıkla) gösterilip gösterilemediğini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Tahmin çalışma kağıdı (dinleme öncesi/sonrası)</w:t>
            </w:r>
          </w:p>
        </w:tc>
        <w:tc>
          <w:tcPr>
            <w:tcW w:type="dxa" w:w="3000"/>
            <w:tcMar>
              <w:top w:type="dxa" w:w="80"/>
              <w:left w:type="dxa" w:w="100"/>
              <w:bottom w:type="dxa" w:w="80"/>
              <w:right w:type="dxa" w:w="100"/>
            </w:tcMar>
            <w:vAlign w:val="center"/>
          </w:tcPr>
          <w:p>
            <w:r>
              <w:rPr>
                <w:b w:val="false"/>
                <w:bCs w:val="false"/>
                <w:color w:val="000000"/>
                <w:sz w:val="20"/>
                <w:szCs w:val="20"/>
              </w:rPr>
              <w:t xml:space="preserve">T.D.5.3. — ipucuna dayalı tahmin üretme ve tahminini metinle karşılaştırma</w:t>
            </w:r>
          </w:p>
        </w:tc>
        <w:tc>
          <w:tcPr>
            <w:tcW w:type="dxa" w:w="2200"/>
            <w:tcMar>
              <w:top w:type="dxa" w:w="80"/>
              <w:left w:type="dxa" w:w="100"/>
              <w:bottom w:type="dxa" w:w="80"/>
              <w:right w:type="dxa" w:w="100"/>
            </w:tcMar>
            <w:vAlign w:val="center"/>
          </w:tcPr>
          <w:p>
            <w:r>
              <w:rPr>
                <w:b w:val="false"/>
                <w:bCs w:val="false"/>
                <w:color w:val="000000"/>
                <w:sz w:val="20"/>
                <w:szCs w:val="20"/>
              </w:rPr>
              <w:t xml:space="preserve">2. ve 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T.D.5.3.’ün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Gözlem (sözlü katılım)</w:t>
            </w:r>
          </w:p>
        </w:tc>
        <w:tc>
          <w:tcPr>
            <w:tcW w:type="dxa" w:w="3000"/>
            <w:tcMar>
              <w:top w:type="dxa" w:w="80"/>
              <w:left w:type="dxa" w:w="100"/>
              <w:bottom w:type="dxa" w:w="80"/>
              <w:right w:type="dxa" w:w="100"/>
            </w:tcMar>
            <w:vAlign w:val="center"/>
          </w:tcPr>
          <w:p>
            <w:r>
              <w:rPr>
                <w:b w:val="false"/>
                <w:bCs w:val="false"/>
                <w:color w:val="000000"/>
                <w:sz w:val="20"/>
                <w:szCs w:val="20"/>
              </w:rPr>
              <w:t xml:space="preserve">Sürece katılım ve ilgi</w:t>
            </w:r>
          </w:p>
        </w:tc>
        <w:tc>
          <w:tcPr>
            <w:tcW w:type="dxa" w:w="2200"/>
            <w:tcMar>
              <w:top w:type="dxa" w:w="80"/>
              <w:left w:type="dxa" w:w="100"/>
              <w:bottom w:type="dxa" w:w="80"/>
              <w:right w:type="dxa" w:w="100"/>
            </w:tcMar>
            <w:vAlign w:val="center"/>
          </w:tcPr>
          <w:p>
            <w:r>
              <w:rPr>
                <w:b w:val="false"/>
                <w:bCs w:val="false"/>
                <w:color w:val="000000"/>
                <w:sz w:val="20"/>
                <w:szCs w:val="20"/>
              </w:rPr>
              <w:t xml:space="preserve">Tüm ders</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dinleme metni ÖRNEK/İLLÜSTRATİF materyaldir; referans dosyada resmî olarak belirlenmemiştir. Öğretmen, okulunda kullanılan resmî/önerilen dinleme-izleme materyaliyle bunu değiştirebilir.</w:t>
      </w:r>
    </w:p>
    <w:p>
      <w:pPr>
        <w:pStyle w:val="Heading3"/>
        <w:spacing w:after="100" w:before="200"/>
      </w:pPr>
      <w:r>
        <w:rPr>
          <w:b/>
          <w:bCs/>
          <w:color w:val="8A6D3B"/>
        </w:rPr>
        <w:t xml:space="preserve">9.1. Örnek Dinleme Metni (Öğretmen Tarafından Sesli Okunacak) — “Sokakta Unutulan Oyun”</w:t>
      </w:r>
    </w:p>
    <w:p>
      <w:pPr>
        <w:spacing w:after="120"/>
      </w:pPr>
      <w:r>
        <w:rPr>
          <w:b w:val="false"/>
          <w:bCs w:val="false"/>
          <w:i w:val="false"/>
          <w:iCs w:val="false"/>
        </w:rPr>
        <w:t xml:space="preserve">Dedem küçükken mahallede topaç çevirirlermiş. Kimin topacı daha uzun süre dönerse o kazanırmış. Şimdi ise sokaklarda topaç yerine çoğunlukla telefon ekranları görülüyor. Geçen hafta dedemle pazara giderken eski bir dükkânın vitrininde tahtadan yapılmış birkaç topaç gördük. Dedem hemen durdu, gözleri parladı ve bana çocukluğunu anlatmaya başladı. Birlikte dükkâna girdik, bir topaç aldık ve akşam bahçede denedik. İlk denemede topacımız hemen yan yattı ama üçüncü denemede uzun süre dönmeyi başardı. O akşam anladım ki bazı oyunlar unutulmuyor, sadece bir süreliğine bekliyormuş.</w:t>
      </w:r>
    </w:p>
    <w:p>
      <w:pPr>
        <w:pStyle w:val="Heading3"/>
        <w:spacing w:after="100" w:before="200"/>
      </w:pPr>
      <w:r>
        <w:rPr>
          <w:b/>
          <w:bCs/>
          <w:color w:val="8A6D3B"/>
        </w:rPr>
        <w:t xml:space="preserve">9.2. Öğrenci Çalışma Kağıdı — Dinlemeden Önce / Dinledikten Sonra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3864" w:val="clear"/>
            <w:tcMar>
              <w:top w:type="dxa" w:w="80"/>
              <w:left w:type="dxa" w:w="100"/>
              <w:bottom w:type="dxa" w:w="80"/>
              <w:right w:type="dxa" w:w="100"/>
            </w:tcMar>
            <w:vAlign w:val="center"/>
          </w:tcPr>
          <w:p>
            <w:r>
              <w:rPr>
                <w:b/>
                <w:bCs/>
                <w:color w:val="FFFFFF"/>
                <w:sz w:val="20"/>
                <w:szCs w:val="20"/>
              </w:rPr>
              <w:t xml:space="preserve">DİNLEMEDEN ÖNCE</w:t>
            </w:r>
          </w:p>
        </w:tc>
        <w:tc>
          <w:tcPr>
            <w:tcW w:type="dxa" w:w="4700"/>
            <w:shd w:fill="1F3864" w:val="clear"/>
            <w:tcMar>
              <w:top w:type="dxa" w:w="80"/>
              <w:left w:type="dxa" w:w="100"/>
              <w:bottom w:type="dxa" w:w="80"/>
              <w:right w:type="dxa" w:w="100"/>
            </w:tcMar>
            <w:vAlign w:val="center"/>
          </w:tcPr>
          <w:p>
            <w:r>
              <w:rPr>
                <w:b/>
                <w:bCs/>
                <w:color w:val="FFFFFF"/>
                <w:sz w:val="20"/>
                <w:szCs w:val="20"/>
              </w:rPr>
              <w:t xml:space="preserve">DİNLEDİKTEN SONRA</w:t>
            </w:r>
          </w:p>
        </w:tc>
      </w:tr>
      <w:tr>
        <w:tc>
          <w:tcPr>
            <w:tcW w:type="dxa" w:w="4700"/>
            <w:tcMar>
              <w:top w:type="dxa" w:w="80"/>
              <w:left w:type="dxa" w:w="100"/>
              <w:bottom w:type="dxa" w:w="80"/>
              <w:right w:type="dxa" w:w="100"/>
            </w:tcMar>
            <w:vAlign w:val="center"/>
          </w:tcPr>
          <w:p>
            <w:r>
              <w:rPr>
                <w:b w:val="false"/>
                <w:bCs w:val="false"/>
                <w:color w:val="000000"/>
                <w:sz w:val="20"/>
                <w:szCs w:val="20"/>
              </w:rPr>
              <w:t xml:space="preserve">Başlık: “Sokakta Unutulan Oyun”
Bence bu metin ......................... anlatacak,
çünkü ......................................... .</w:t>
            </w:r>
          </w:p>
        </w:tc>
        <w:tc>
          <w:tcPr>
            <w:tcW w:type="dxa" w:w="4700"/>
            <w:tcMar>
              <w:top w:type="dxa" w:w="80"/>
              <w:left w:type="dxa" w:w="100"/>
              <w:bottom w:type="dxa" w:w="80"/>
              <w:right w:type="dxa" w:w="100"/>
            </w:tcMar>
            <w:vAlign w:val="center"/>
          </w:tcPr>
          <w:p>
            <w:r>
              <w:rPr>
                <w:b w:val="false"/>
                <w:bCs w:val="false"/>
                <w:color w:val="000000"/>
                <w:sz w:val="20"/>
                <w:szCs w:val="20"/>
              </w:rPr>
              <w:t xml:space="preserve">Tahminim: □ Doğru çıktı  □ Kısmen doğru çıktı  □ Yanlış çıktı
Çünkü ......................................... .</w:t>
            </w:r>
          </w:p>
        </w:tc>
      </w:tr>
    </w:tbl>
    <w:p>
      <w:pPr>
        <w:pStyle w:val="Heading3"/>
        <w:spacing w:after="100" w:before="200"/>
      </w:pPr>
      <w:r>
        <w:rPr>
          <w:b/>
          <w:bCs/>
          <w:color w:val="8A6D3B"/>
        </w:rPr>
        <w:t xml:space="preserve">9.3. Çıkış Bileti</w:t>
      </w:r>
    </w:p>
    <w:p>
      <w:pPr>
        <w:spacing w:after="120"/>
      </w:pPr>
      <w:r>
        <w:rPr>
          <w:b w:val="false"/>
          <w:bCs w:val="false"/>
          <w:i w:val="false"/>
          <w:iCs w:val="false"/>
        </w:rPr>
        <w:t xml:space="preserve">Yeni başlık: “Köyde Bir Bayram Sabahı”</w:t>
      </w:r>
    </w:p>
    <w:p>
      <w:pPr>
        <w:spacing w:after="120"/>
      </w:pPr>
      <w:r>
        <w:rPr>
          <w:b w:val="false"/>
          <w:bCs w:val="false"/>
          <w:i w:val="false"/>
          <w:iCs w:val="false"/>
        </w:rPr>
        <w:t xml:space="preserve">Bu başlığa bakarak metnin ne anlatabileceğini tek cümleyle tahmin et ve gerekçeni yaz:</w:t>
      </w:r>
    </w:p>
    <w:p>
      <w:pPr>
        <w:spacing w:after="120"/>
      </w:pPr>
      <w:r>
        <w:rPr>
          <w:b w:val="false"/>
          <w:bCs w:val="false"/>
          <w:i w:val="false"/>
          <w:iCs w:val="false"/>
        </w:rPr>
        <w:t xml:space="preserve">...................................................................................................................</w:t>
      </w:r>
    </w:p>
    <w:p>
      <w:pPr>
        <w:pStyle w:val="Heading1"/>
        <w:spacing w:after="160" w:before="320"/>
      </w:pPr>
      <w:r>
        <w:t xml:space="preserve">10. Öğretmen İçin Cevap Anahtarı / Beklenen Yanıtlar</w:t>
      </w:r>
    </w:p>
    <w:p>
      <w:pPr>
        <w:spacing w:after="120"/>
      </w:pPr>
      <w:r>
        <w:rPr>
          <w:b w:val="false"/>
          <w:bCs w:val="false"/>
          <w:i w:val="false"/>
          <w:iCs w:val="false"/>
        </w:rPr>
        <w:t xml:space="preserve">Bu çalışmada “tek doğru cevap” yoktur; değerlendirilen, tahminin ipucuna dayanıp dayanmadığıdır.</w:t>
      </w:r>
    </w:p>
    <w:p>
      <w:pPr>
        <w:pStyle w:val="ListParagraph"/>
        <w:numPr>
          <w:ilvl w:val="0"/>
          <w:numId w:val="1"/>
        </w:numPr>
        <w:spacing w:after="60"/>
      </w:pPr>
      <w:r>
        <w:t xml:space="preserve">Kabul edilebilir tahmin örneği: “Bence bu metin eski/geleneksel bir oyunu anlatacak, çünkü ‘sokakta unutulan oyun’ ifadesi eskiden oynanıp artık oynanmayan bir oyunu çağrıştırıyor.”</w:t>
      </w:r>
    </w:p>
    <w:p>
      <w:pPr>
        <w:pStyle w:val="ListParagraph"/>
        <w:numPr>
          <w:ilvl w:val="0"/>
          <w:numId w:val="1"/>
        </w:numPr>
        <w:spacing w:after="60"/>
      </w:pPr>
      <w:r>
        <w:t xml:space="preserve">Kabul edilemez / geri bildirim gereken tahmin: Başlıkla hiçbir kelime/ilişki kurulmadan üretilen, tamamen ilgisiz tahmin (“Bir hayvan hakkında olacak” gibi, gerekçesiz).</w:t>
      </w:r>
    </w:p>
    <w:p>
      <w:pPr>
        <w:pStyle w:val="ListParagraph"/>
        <w:numPr>
          <w:ilvl w:val="0"/>
          <w:numId w:val="1"/>
        </w:numPr>
        <w:spacing w:after="60"/>
      </w:pPr>
      <w:r>
        <w:t xml:space="preserve">Dinleme sonrası beklenen: Öğrencinin metindeki “topaç”, “dede”, “mahalle” gibi somut unsurları tahminiyle karşılaştırabilmesi.</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İpucuna dayalı tahmin üretme</w:t>
            </w:r>
          </w:p>
        </w:tc>
        <w:tc>
          <w:tcPr>
            <w:tcW w:type="dxa" w:w="2400"/>
            <w:tcMar>
              <w:top w:type="dxa" w:w="80"/>
              <w:left w:type="dxa" w:w="100"/>
              <w:bottom w:type="dxa" w:w="80"/>
              <w:right w:type="dxa" w:w="100"/>
            </w:tcMar>
            <w:vAlign w:val="center"/>
          </w:tcPr>
          <w:p>
            <w:r>
              <w:rPr>
                <w:b w:val="false"/>
                <w:bCs w:val="false"/>
                <w:color w:val="000000"/>
                <w:sz w:val="20"/>
                <w:szCs w:val="20"/>
              </w:rPr>
              <w:t xml:space="preserve">Tahmin, başlık/görselle ilişkisiz</w:t>
            </w:r>
          </w:p>
        </w:tc>
        <w:tc>
          <w:tcPr>
            <w:tcW w:type="dxa" w:w="2400"/>
            <w:tcMar>
              <w:top w:type="dxa" w:w="80"/>
              <w:left w:type="dxa" w:w="100"/>
              <w:bottom w:type="dxa" w:w="80"/>
              <w:right w:type="dxa" w:w="100"/>
            </w:tcMar>
            <w:vAlign w:val="center"/>
          </w:tcPr>
          <w:p>
            <w:r>
              <w:rPr>
                <w:b w:val="false"/>
                <w:bCs w:val="false"/>
                <w:color w:val="000000"/>
                <w:sz w:val="20"/>
                <w:szCs w:val="20"/>
              </w:rPr>
              <w:t xml:space="preserve">Tahmin başlıkla kısmen ilişkili ancak gerekçesiz</w:t>
            </w:r>
          </w:p>
        </w:tc>
        <w:tc>
          <w:tcPr>
            <w:tcW w:type="dxa" w:w="2400"/>
            <w:tcMar>
              <w:top w:type="dxa" w:w="80"/>
              <w:left w:type="dxa" w:w="100"/>
              <w:bottom w:type="dxa" w:w="80"/>
              <w:right w:type="dxa" w:w="100"/>
            </w:tcMar>
            <w:vAlign w:val="center"/>
          </w:tcPr>
          <w:p>
            <w:r>
              <w:rPr>
                <w:b w:val="false"/>
                <w:bCs w:val="false"/>
                <w:color w:val="000000"/>
                <w:sz w:val="20"/>
                <w:szCs w:val="20"/>
              </w:rPr>
              <w:t xml:space="preserve">Tahmin en az bir somut ipucuna (kelime/görsel) dayandırılmış ve gerekçelendirilmiş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Tahmin-sonuç karşılaştırması</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Karşılaştırma yapılmamış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“tuttu/tutmadı” belirtilmiş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Tahmin ile metin içeriği arasındaki örtüşme/farklılık somut biçimde açıklanmış</w:t>
            </w:r>
          </w:p>
        </w:tc>
      </w:tr>
    </w:tbl>
    <w:p>
      <w:pPr>
        <w:pBdr>
          <w:left w:val="single" w:color="8A6D3B" w:sz="12" w:space="4"/>
        </w:pBdr>
        <w:shd w:fill="FFF3D6" w:val="clear"/>
        <w:spacing w:after="160" w:before="60"/>
      </w:pPr>
      <w:r>
        <w:rPr>
          <w:i/>
          <w:iCs/>
          <w:sz w:val="20"/>
          <w:szCs w:val="20"/>
        </w:rPr>
        <w:t xml:space="preserve">Bu rubrik yalnızca T.D.5.3.’ün doğrudan kapsamındaki iki ölçütü içerir; yazım/el yazısı düzeni gibi öğrenme çıktısı dışı unsurlar puanlanmaz.</w:t>
      </w:r>
    </w:p>
    <w:p>
      <w:pPr>
        <w:pStyle w:val="Heading1"/>
        <w:spacing w:after="160" w:before="320"/>
      </w:pPr>
      <w:r>
        <w:t xml:space="preserve">12. Tahta Planı</w:t>
      </w:r>
    </w:p>
    <w:p>
      <w:pPr>
        <w:pStyle w:val="ListParagraph"/>
        <w:numPr>
          <w:ilvl w:val="0"/>
          <w:numId w:val="1"/>
        </w:numPr>
        <w:spacing w:after="60"/>
      </w:pPr>
      <w:r>
        <w:t xml:space="preserve">Başlık: Dinlemeden Önce Tahmin Ederiz!</w:t>
      </w:r>
    </w:p>
    <w:p>
      <w:pPr>
        <w:pStyle w:val="ListParagraph"/>
        <w:numPr>
          <w:ilvl w:val="0"/>
          <w:numId w:val="1"/>
        </w:numPr>
        <w:spacing w:after="60"/>
      </w:pPr>
      <w:r>
        <w:t xml:space="preserve">Soru: “Bu başlık/görsel sana ne düşündürüyor?”</w:t>
      </w:r>
    </w:p>
    <w:p>
      <w:pPr>
        <w:pStyle w:val="ListParagraph"/>
        <w:numPr>
          <w:ilvl w:val="0"/>
          <w:numId w:val="1"/>
        </w:numPr>
        <w:spacing w:after="60"/>
      </w:pPr>
      <w:r>
        <w:t xml:space="preserve">Tahmin kalıpları: “Sanırım ... çünkü ...” / “Bence ... çünkü ...” / “Belki de ...”</w:t>
      </w:r>
    </w:p>
    <w:p>
      <w:pPr>
        <w:pStyle w:val="ListParagraph"/>
        <w:numPr>
          <w:ilvl w:val="0"/>
          <w:numId w:val="1"/>
        </w:numPr>
        <w:spacing w:after="60"/>
      </w:pPr>
      <w:r>
        <w:t xml:space="preserve">Sonuç genellemesi (ders sonunda öğrencilerle birlikte yazılır): “Tahmin yaparken başlığa, görsele ve anahtar kelimelere bakarız; tahminimiz tutmayabilir, bu normaldir.”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(tahmin) anlamazsa:</w:t>
      </w:r>
    </w:p>
    <w:p>
      <w:pPr>
        <w:spacing w:after="120"/>
      </w:pPr>
      <w:r>
        <w:rPr>
          <w:b w:val="false"/>
          <w:bCs w:val="false"/>
          <w:i w:val="false"/>
          <w:iCs w:val="false"/>
        </w:rPr>
        <w:t xml:space="preserve">Günlük yaşamdan somut bir örnekle (“Kapalı bir kutunun içinde ne olduğunu tahmin etme” oyunu gibi) kavram kısaca canlandırılır, ardından derse dönülür.</w:t>
      </w:r>
    </w:p>
    <w:p>
      <w:pPr>
        <w:pStyle w:val="Heading3"/>
        <w:spacing w:after="100" w:before="200"/>
      </w:pPr>
      <w:r>
        <w:rPr>
          <w:b/>
          <w:bCs/>
          <w:color w:val="8A6D3B"/>
        </w:rPr>
        <w:t xml:space="preserve">Eğer öğrenciler beklenen cevabı vermezse (gerekçesiz tahmin):</w:t>
      </w:r>
    </w:p>
    <w:p>
      <w:pPr>
        <w:spacing w:after="120"/>
      </w:pPr>
      <w:r>
        <w:rPr>
          <w:b w:val="false"/>
          <w:bCs w:val="false"/>
          <w:i w:val="false"/>
          <w:iCs w:val="false"/>
        </w:rPr>
        <w:t xml:space="preserve">Öğretmen doğrudan cevap vermez; “Bu tahmine hangi kelimeden ulaştın?” sorusuyla öğrenciyi metindeki somut bir ipucuna yönlendirir.</w:t>
      </w:r>
    </w:p>
    <w:p>
      <w:pPr>
        <w:pStyle w:val="Heading3"/>
        <w:spacing w:after="100" w:before="200"/>
      </w:pPr>
      <w:r>
        <w:rPr>
          <w:b/>
          <w:bCs/>
          <w:color w:val="8A6D3B"/>
        </w:rPr>
        <w:t xml:space="preserve">Eğer etkinlik beklenenden hızlı biterse:</w:t>
      </w:r>
    </w:p>
    <w:p>
      <w:pPr>
        <w:spacing w:after="120"/>
      </w:pPr>
      <w:r>
        <w:rPr>
          <w:b w:val="false"/>
          <w:bCs w:val="false"/>
          <w:i w:val="false"/>
          <w:iCs w:val="false"/>
        </w:rPr>
        <w:t xml:space="preserve">Zenginleştirme görevine (Bölüm 7) geçilir: farklı bir başlık için ek tahmin üretme.</w:t>
      </w:r>
    </w:p>
    <w:p>
      <w:pPr>
        <w:pStyle w:val="Heading3"/>
        <w:spacing w:after="100" w:before="200"/>
      </w:pPr>
      <w:r>
        <w:rPr>
          <w:b/>
          <w:bCs/>
          <w:color w:val="8A6D3B"/>
        </w:rPr>
        <w:t xml:space="preserve">Eğer etkinlik beklenenden uzun sürerse:</w:t>
      </w:r>
    </w:p>
    <w:p>
      <w:pPr>
        <w:spacing w:after="120"/>
      </w:pPr>
      <w:r>
        <w:rPr>
          <w:b w:val="false"/>
          <w:bCs w:val="false"/>
          <w:i w:val="false"/>
          <w:iCs w:val="false"/>
        </w:rPr>
        <w:t xml:space="preserve">4. Aşamadaki çıkış bileti ev ödevine dönüştürülebilir; 3. Aşamadaki paylaşım kısmı 1-2 öğrenciyle sınırlandırılır.</w:t>
      </w:r>
    </w:p>
    <w:p>
      <w:pPr>
        <w:pStyle w:val="Heading3"/>
        <w:spacing w:after="100" w:before="200"/>
      </w:pPr>
      <w:r>
        <w:rPr>
          <w:b/>
          <w:bCs/>
          <w:color w:val="8A6D3B"/>
        </w:rPr>
        <w:t xml:space="preserve">Eğer sınıf tartışması kontrolden çıkarsa:</w:t>
      </w:r>
    </w:p>
    <w:p>
      <w:pPr>
        <w:spacing w:after="120"/>
      </w:pPr>
      <w:r>
        <w:rPr>
          <w:b w:val="false"/>
          <w:bCs w:val="false"/>
          <w:i w:val="false"/>
          <w:iCs w:val="false"/>
        </w:rPr>
        <w:t xml:space="preserve">Öğretmen “Şimdi tahminlerimizi tek tek değil, çalışma kağıdına yazarak paylaşacağız” diyerek süreci bireysel yazılı forma çeker.</w:t>
      </w:r>
    </w:p>
    <w:p>
      <w:pPr>
        <w:pStyle w:val="Heading3"/>
        <w:spacing w:after="100" w:before="200"/>
      </w:pPr>
      <w:r>
        <w:rPr>
          <w:b/>
          <w:bCs/>
          <w:color w:val="8A6D3B"/>
        </w:rPr>
        <w:t xml:space="preserve">Eğer öğrenciler arasında seviye farkı yüksekse:</w:t>
      </w:r>
    </w:p>
    <w:p>
      <w:pPr>
        <w:spacing w:after="120"/>
      </w:pPr>
      <w:r>
        <w:rPr>
          <w:b w:val="false"/>
          <w:bCs w:val="false"/>
          <w:i w:val="false"/>
          <w:iCs w:val="false"/>
        </w:rPr>
        <w:t xml:space="preserve">Destekleme kalıpları önceden hazırlanmış kartlar hâlinde ihtiyacı olan öğrencilere sessizce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tahminini hangi ipucuna dayandırabildi?</w:t>
      </w:r>
    </w:p>
    <w:p>
      <w:pPr>
        <w:pStyle w:val="ListParagraph"/>
        <w:numPr>
          <w:ilvl w:val="0"/>
          <w:numId w:val="1"/>
        </w:numPr>
        <w:spacing w:after="60"/>
      </w:pPr>
      <w:r>
        <w:t xml:space="preserve">Gerekçe üretmekte zorlanan öğrenci sayısı fazla mıydı?</w:t>
      </w:r>
    </w:p>
    <w:p>
      <w:pPr>
        <w:pStyle w:val="ListParagraph"/>
        <w:numPr>
          <w:ilvl w:val="0"/>
          <w:numId w:val="1"/>
        </w:numPr>
        <w:spacing w:after="60"/>
      </w:pPr>
      <w:r>
        <w:t xml:space="preserve">Hangi öğrenciler ek desteğe (kalıp cümleler, ek örnek) ihtiyaç duyuyor?</w:t>
      </w:r>
    </w:p>
    <w:p>
      <w:pPr>
        <w:pStyle w:val="ListParagraph"/>
        <w:numPr>
          <w:ilvl w:val="0"/>
          <w:numId w:val="1"/>
        </w:numPr>
        <w:spacing w:after="60"/>
      </w:pPr>
      <w:r>
        <w:t xml:space="preserve">Bir sonraki derste (T.D.5.4. — söz varlığı tahmini gibi ilişkili bir çıktıya geçilecekse) bu dersteki tahmin becerisi nasıl köprülenebilir?</w:t>
      </w:r>
    </w:p>
    <w:p>
      <w:pPr>
        <w:pStyle w:val="ListParagraph"/>
        <w:numPr>
          <w:ilvl w:val="0"/>
          <w:numId w:val="1"/>
        </w:numPr>
        <w:spacing w:after="60"/>
      </w:pPr>
      <w:r>
        <w:t xml:space="preserve">T.D.5.3.’ün hangi göstergesi (ipucu kullanma mı, gerekçelendirme mi) yeterince gözlenemedi?</w:t>
      </w:r>
    </w:p>
    <w:p>
      <w:pPr>
        <w:pStyle w:val="Heading1"/>
        <w:spacing w:after="160" w:before="320"/>
      </w:pPr>
      <w:r>
        <w:t xml:space="preserve">15. Evde Öğrenme / Ders Dışı Bağlantı</w:t>
      </w:r>
    </w:p>
    <w:p>
      <w:pPr>
        <w:spacing w:after="120"/>
      </w:pPr>
      <w:r>
        <w:rPr>
          <w:b w:val="false"/>
          <w:bCs w:val="false"/>
          <w:i w:val="false"/>
          <w:iCs w:val="false"/>
        </w:rPr>
        <w:t xml:space="preserve">Öğrenci, ailesiyle birlikte izleyecekleri bir kısa video/dizi bölümünün yalnızca başlığına/kapak görseline bakarak bir tahmin cümlesi yazar, ardından izler ve tahminiyle karşılaştırır. Bu görev, T.D.5.3.’ü gerçek yaşam bağlamına taşır ve sınıfta üretilen kalıpları (“Bence ... çünkü ...”) yeniden kullandırır.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T.D.5.3. Dinleyeceğinin/izleyeceğinin içeriğine yönelik tahminde bulunabilme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“En sevdiğiniz oyun?” sorusu → dersin amacını açıkla.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Dinleme Öncesi Tahmin (10 dk)</w:t>
            </w:r>
          </w:p>
        </w:tc>
        <w:tc>
          <w:tcPr>
            <w:tcW w:type="dxa" w:w="7400"/>
            <w:tcMar>
              <w:top w:type="dxa" w:w="80"/>
              <w:left w:type="dxa" w:w="100"/>
              <w:bottom w:type="dxa" w:w="80"/>
              <w:right w:type="dxa" w:w="100"/>
            </w:tcMar>
            <w:vAlign w:val="center"/>
          </w:tcPr>
          <w:p>
            <w:r>
              <w:rPr>
                <w:b w:val="false"/>
                <w:bCs w:val="false"/>
                <w:color w:val="000000"/>
                <w:sz w:val="20"/>
                <w:szCs w:val="20"/>
              </w:rPr>
              <w:t xml:space="preserve">Başlığı/görseli göster → “Bence ... çünkü ...” kalıbıyla çalışma kağıdına tahmin yazdır.</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Dinleme ve Doğrulama (15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Materyali dinlet/izlet → tahminle metni karşılaştırt → 2-3 öğrenciyle paylaş.</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Pekiştirme (10 dk)</w:t>
            </w:r>
          </w:p>
        </w:tc>
        <w:tc>
          <w:tcPr>
            <w:tcW w:type="dxa" w:w="7400"/>
            <w:tcMar>
              <w:top w:type="dxa" w:w="80"/>
              <w:left w:type="dxa" w:w="100"/>
              <w:bottom w:type="dxa" w:w="80"/>
              <w:right w:type="dxa" w:w="100"/>
            </w:tcMar>
            <w:vAlign w:val="center"/>
          </w:tcPr>
          <w:p>
            <w:r>
              <w:rPr>
                <w:b w:val="false"/>
                <w:bCs w:val="false"/>
                <w:color w:val="000000"/>
                <w:sz w:val="20"/>
                <w:szCs w:val="20"/>
              </w:rPr>
              <w:t xml:space="preserve">Süreci özetle → çıkış bileti (yeni başlıkla bağımsız tahmin)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Tahmin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Kalıp cümleler, anahtar kelime vurgusu, sözlü ifade izni</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Yeni başlıkla ek tahmin üretme ve akranına açıklama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Dinleme materyali örnektir; kurumun belirlediği materyalle değiştirilebilir.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2026-09-22T06:38:11.112Z</dcterms:created>
  <dcterms:modified xsi:type="dcterms:W3CDTF">2026-09-22T06:38:11.122Z</dcterms:modified>
</cp:coreProperties>
</file>

<file path=docProps/custom.xml><?xml version="1.0" encoding="utf-8"?>
<Properties xmlns="http://schemas.openxmlformats.org/officeDocument/2006/custom-properties" xmlns:vt="http://schemas.openxmlformats.org/officeDocument/2006/docPropsVTypes"/>
</file>