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HAZIRLIKSIZ KONUŞMA YAPMA</w:t>
      </w:r>
    </w:p>
    <w:p>
      <w:pPr>
        <w:spacing w:after="300"/>
        <w:jc w:val="center"/>
      </w:pPr>
      <w:r>
        <w:rPr>
          <w:i/>
          <w:iCs/>
          <w:sz w:val="22"/>
          <w:szCs w:val="22"/>
        </w:rPr>
        <w:t xml:space="preserve">Öğrenme Çıktısı Kodu: T.K.5.7</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TAB3. Konuşma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Önceden hazırlanmadan, anlık olarak verilen bir soru/konu üzerine kısa süreli düşünüp konuşma yapma</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T.K.5.7. Hazırlıksız konuşma yapabilme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T.K.5.7.</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Referans dosyada Üretim Atölyesi kapsamında farklı ürünlerin hazırlandığı belirtildiğinden, bu çıktıya yönelik çalışma farklı konu kartlarıyla tekrarlanabilir; bu bir çıkarımdır, referans dosyada T.K.5.7.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T.K.5.7. için ayrı bir “köprü kurma” ifadesi yer almamaktadır (Köprü Kurma bölümünde yalnızca T.K.5.1. için resmî bir ifade bulunmaktadır). Ancak öğrencinin T.K.5.1.’de kazandığı “düşünceleri zihinsel olarak hızlıca sıralama” mantığı, burada yazılı bir hazırlık kartı olmadan da işe yarayabilir; bu, referans dosyada açıkça ifade edilmiş bir köprü kurma cümlesi değil, iki çıktı arasında kurulabilecek bir çıkarımdır.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Hazırlıksız konuşma kartları (Bölüm 9.1), hazırlıksız konuşma stratejisi şeması (Bölüm 9.2), gözlem/öz değerlendirme formu (Bölüm 9.3), tahta, saat/kronometre (varsa)</w:t>
            </w:r>
          </w:p>
        </w:tc>
      </w:tr>
    </w:tbl>
    <w:p>
      <w:pPr>
        <w:spacing w:after="160"/>
      </w:pPr>
      <w:r>
        <w:rPr>
          <w:i/>
          <w:iCs/>
          <w:color w:val="555555"/>
        </w:rPr>
        <w:t xml:space="preserve">NOT: Referans dosyada bu öğrenme çıktısı için önceden belirlenmiş konuşma kartları/konuları verilmemiştir. Bu pakette illüstratif örnek kartlar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T.K.5.7.</w:t>
            </w:r>
          </w:p>
        </w:tc>
        <w:tc>
          <w:tcPr>
            <w:tcW w:type="dxa" w:w="5260"/>
            <w:tcMar>
              <w:top w:type="dxa" w:w="80"/>
              <w:left w:type="dxa" w:w="100"/>
              <w:bottom w:type="dxa" w:w="80"/>
              <w:right w:type="dxa" w:w="100"/>
            </w:tcMar>
          </w:tcPr>
          <w:p>
            <w:r>
              <w:t xml:space="preserve">Öğrenci, önceden hazırlanmadığı bir soru/konu üzerine kısa bir düşünme süresinin ardından sözlü olarak konuşur.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TAB3. Konuşma</w:t>
            </w:r>
          </w:p>
        </w:tc>
        <w:tc>
          <w:tcPr>
            <w:tcW w:type="dxa" w:w="5260"/>
            <w:tcMar>
              <w:top w:type="dxa" w:w="80"/>
              <w:left w:type="dxa" w:w="100"/>
              <w:bottom w:type="dxa" w:w="80"/>
              <w:right w:type="dxa" w:w="100"/>
            </w:tcMar>
          </w:tcPr>
          <w:p>
            <w:r>
              <w:t xml:space="preserve">Hazırlıksız konuşma, konuşma becerisinin anlık/spontane üretim boyutunu oluşturur.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KB1. Temel Beceriler</w:t>
            </w:r>
          </w:p>
        </w:tc>
        <w:tc>
          <w:tcPr>
            <w:tcW w:type="dxa" w:w="5260"/>
            <w:tcMar>
              <w:top w:type="dxa" w:w="80"/>
              <w:left w:type="dxa" w:w="100"/>
              <w:bottom w:type="dxa" w:w="80"/>
              <w:right w:type="dxa" w:w="100"/>
            </w:tcMar>
          </w:tcPr>
          <w:p>
            <w:r>
              <w:t xml:space="preserve">Hazırlıksız konuşma, önceden yapılandırılmış bir plana dayanmadığından, temel bir sözlü dil üretim becerisi olarak ele alınmıştır.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E2.4. Güven</w:t>
            </w:r>
          </w:p>
        </w:tc>
        <w:tc>
          <w:tcPr>
            <w:tcW w:type="dxa" w:w="5260"/>
            <w:tcMar>
              <w:top w:type="dxa" w:w="80"/>
              <w:left w:type="dxa" w:w="100"/>
              <w:bottom w:type="dxa" w:w="80"/>
              <w:right w:type="dxa" w:w="100"/>
            </w:tcMar>
          </w:tcPr>
          <w:p>
            <w:r>
              <w:t xml:space="preserve">Öğrencinin önceden hazırlanmadığı bir konuda konuşabilmesi için kendine güvenmesi gerekir.</w:t>
            </w:r>
          </w:p>
        </w:tc>
      </w:tr>
    </w:tbl>
    <w:p>
      <w:pPr>
        <w:spacing w:after="160"/>
      </w:pPr>
      <w:r>
        <w:rPr>
          <w:i/>
          <w:iCs/>
          <w:color w:val="555555"/>
        </w:rPr>
        <w:t xml:space="preserve">KB2.4. Çözümleme ve KB2.13. Yapılandırma, bu çıktıda (T.K.5.1.’den farklı olarak) belirgin bir çözümleme/yapılandırma süreci içermediğinden tabloya eklenmemiştir; hazırlıksız konuşmanın doğası gereği burada vurgu, önceden planlanmış bir yapı kurmak yerine anlık, kendine güvenen bir sözlü üretimdir. Temada yer alan değerler, SDB, okuryazarlık becerileri ve disiplinler arası ilişkiler bu bireysel konuşma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T.K.5.1.’de konuşma sürecini (hazırlık-konuşma-değerlendirme) yönetme deneyimi yaşamıştır; burada aynı zihinsel sıralama mantığını, yazılı bir kart olmadan, çok daha kısa sürede uygulamaları beklenir.</w:t>
      </w:r>
    </w:p>
    <w:p>
      <w:pPr>
        <w:pStyle w:val="ListParagraph"/>
        <w:numPr>
          <w:ilvl w:val="0"/>
          <w:numId w:val="1"/>
        </w:numPr>
        <w:spacing w:after="60"/>
      </w:pPr>
      <w:r>
        <w:t xml:space="preserve">Öğrenciler günlük hayatta ani sorulara (örn. “Bugün ne yaptın?”) sözlü yanıt verme deneyimine sahip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“hazırlıksız” olmayı “düşünmeden konuşmak” ile karıştırabilir; oysa kısa bir düşünme süresi (5-10 saniye) bu becerinin doğal bir parçasıdır.</w:t>
      </w:r>
    </w:p>
    <w:p>
      <w:pPr>
        <w:pStyle w:val="ListParagraph"/>
        <w:numPr>
          <w:ilvl w:val="0"/>
          <w:numId w:val="1"/>
        </w:numPr>
        <w:spacing w:after="60"/>
      </w:pPr>
      <w:r>
        <w:t xml:space="preserve">Heyecanlanıp tek kelimelik ya da çok kısa yanıtlarla geçiştirme eğiliminde olabilirler.</w:t>
      </w:r>
    </w:p>
    <w:p>
      <w:pPr>
        <w:pStyle w:val="ListParagraph"/>
        <w:numPr>
          <w:ilvl w:val="0"/>
          <w:numId w:val="1"/>
        </w:numPr>
        <w:spacing w:after="60"/>
      </w:pPr>
      <w:r>
        <w:t xml:space="preserve">Konudan konuya atlayıp bir sonuca/bitirişe getirmeden konuşmayı yarıda bırakabilirler.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Basit bir giriş-örnek-bitiriş çerçevesinin (Bölüm 9.2) hatırlatılması.</w:t>
      </w:r>
    </w:p>
    <w:p>
      <w:pPr>
        <w:pStyle w:val="ListParagraph"/>
        <w:numPr>
          <w:ilvl w:val="0"/>
          <w:numId w:val="1"/>
        </w:numPr>
        <w:spacing w:after="60"/>
      </w:pPr>
      <w:r>
        <w:t xml:space="preserve">İlk denemelerde daha tanıdık/kolay kartların seçilmesi.</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Kendisi bir kart çekip kısa süre düşünüp örnek bir hazırlıksız konuşma yapar</w:t>
            </w:r>
          </w:p>
        </w:tc>
        <w:tc>
          <w:tcPr>
            <w:tcW w:type="dxa" w:w="2300"/>
            <w:tcMar>
              <w:top w:type="dxa" w:w="80"/>
              <w:left w:type="dxa" w:w="100"/>
              <w:bottom w:type="dxa" w:w="80"/>
              <w:right w:type="dxa" w:w="100"/>
            </w:tcMar>
          </w:tcPr>
          <w:p>
            <w:r>
              <w:t xml:space="preserve">Öğretmeni izler, “hazırlıksız konuşma” kavramını fark eder</w:t>
            </w:r>
          </w:p>
        </w:tc>
        <w:tc>
          <w:tcPr>
            <w:tcW w:type="dxa" w:w="1400"/>
            <w:tcMar>
              <w:top w:type="dxa" w:w="80"/>
              <w:left w:type="dxa" w:w="100"/>
              <w:bottom w:type="dxa" w:w="80"/>
              <w:right w:type="dxa" w:w="100"/>
            </w:tcMar>
          </w:tcPr>
          <w:p>
            <w:r>
              <w:t xml:space="preserve">Hazırlıksız konuşma kavramına ısınma</w:t>
            </w:r>
          </w:p>
        </w:tc>
        <w:tc>
          <w:tcPr>
            <w:tcW w:type="dxa" w:w="1160"/>
            <w:tcMar>
              <w:top w:type="dxa" w:w="80"/>
              <w:left w:type="dxa" w:w="100"/>
              <w:bottom w:type="dxa" w:w="80"/>
              <w:right w:type="dxa" w:w="100"/>
            </w:tcMar>
          </w:tcPr>
          <w:p>
            <w:r>
              <w:t xml:space="preserve">Sözlü katılım/gözlem</w:t>
            </w:r>
          </w:p>
        </w:tc>
      </w:tr>
      <w:tr>
        <w:tc>
          <w:tcPr>
            <w:tcW w:type="dxa" w:w="1500"/>
            <w:tcMar>
              <w:top w:type="dxa" w:w="80"/>
              <w:left w:type="dxa" w:w="100"/>
              <w:bottom w:type="dxa" w:w="80"/>
              <w:right w:type="dxa" w:w="100"/>
            </w:tcMar>
          </w:tcPr>
          <w:p>
            <w:r>
              <w:t xml:space="preserve">2. Çerçeve Hatırlatma (Dinle/Oku – Kısaca Düşün – Konuş)</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Üç adımlık stratejiyi şema üzerinde tanıtır, bir kart üzerinde modeller</w:t>
            </w:r>
          </w:p>
        </w:tc>
        <w:tc>
          <w:tcPr>
            <w:tcW w:type="dxa" w:w="2300"/>
            <w:tcMar>
              <w:top w:type="dxa" w:w="80"/>
              <w:left w:type="dxa" w:w="100"/>
              <w:bottom w:type="dxa" w:w="80"/>
              <w:right w:type="dxa" w:w="100"/>
            </w:tcMar>
          </w:tcPr>
          <w:p>
            <w:r>
              <w:t xml:space="preserve">Adımları not alır, örnek üzerinde dener</w:t>
            </w:r>
          </w:p>
        </w:tc>
        <w:tc>
          <w:tcPr>
            <w:tcW w:type="dxa" w:w="1400"/>
            <w:tcMar>
              <w:top w:type="dxa" w:w="80"/>
              <w:left w:type="dxa" w:w="100"/>
              <w:bottom w:type="dxa" w:w="80"/>
              <w:right w:type="dxa" w:w="100"/>
            </w:tcMar>
          </w:tcPr>
          <w:p>
            <w:r>
              <w:t xml:space="preserve">Hazırlıksız konuşma stratejisini içselleştirme (T.K.5.7.)</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Hazırlıksız Konuşma Uygulaması</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Öğrencileri sırayla/eşli olarak kart çektirir, süreyi (10 sn düşünme + 30-45 sn konuşma) yönetir</w:t>
            </w:r>
          </w:p>
        </w:tc>
        <w:tc>
          <w:tcPr>
            <w:tcW w:type="dxa" w:w="2300"/>
            <w:tcMar>
              <w:top w:type="dxa" w:w="80"/>
              <w:left w:type="dxa" w:w="100"/>
              <w:bottom w:type="dxa" w:w="80"/>
              <w:right w:type="dxa" w:w="100"/>
            </w:tcMar>
          </w:tcPr>
          <w:p>
            <w:r>
              <w:t xml:space="preserve">Kart çeker, kısaca düşünür, hazırlıksız konuşur</w:t>
            </w:r>
          </w:p>
        </w:tc>
        <w:tc>
          <w:tcPr>
            <w:tcW w:type="dxa" w:w="1400"/>
            <w:tcMar>
              <w:top w:type="dxa" w:w="80"/>
              <w:left w:type="dxa" w:w="100"/>
              <w:bottom w:type="dxa" w:w="80"/>
              <w:right w:type="dxa" w:w="100"/>
            </w:tcMar>
          </w:tcPr>
          <w:p>
            <w:r>
              <w:t xml:space="preserve">Hazırlıksız konuşma yapma</w:t>
            </w:r>
          </w:p>
        </w:tc>
        <w:tc>
          <w:tcPr>
            <w:tcW w:type="dxa" w:w="1160"/>
            <w:tcMar>
              <w:top w:type="dxa" w:w="80"/>
              <w:left w:type="dxa" w:w="100"/>
              <w:bottom w:type="dxa" w:w="80"/>
              <w:right w:type="dxa" w:w="100"/>
            </w:tcMar>
          </w:tcPr>
          <w:p>
            <w:r>
              <w:t xml:space="preserve">Gözlemlenen konuşma</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Birkaç öğrenciden deneyimini paylaşmasını ister, öz değerlendirme formunu dağıtır</w:t>
            </w:r>
          </w:p>
        </w:tc>
        <w:tc>
          <w:tcPr>
            <w:tcW w:type="dxa" w:w="2300"/>
            <w:tcMar>
              <w:top w:type="dxa" w:w="80"/>
              <w:left w:type="dxa" w:w="100"/>
              <w:bottom w:type="dxa" w:w="80"/>
              <w:right w:type="dxa" w:w="100"/>
            </w:tcMar>
          </w:tcPr>
          <w:p>
            <w:r>
              <w:t xml:space="preserve">Deneyimini paylaşır, öz değerlendirme formunu doldurur</w:t>
            </w:r>
          </w:p>
        </w:tc>
        <w:tc>
          <w:tcPr>
            <w:tcW w:type="dxa" w:w="1400"/>
            <w:tcMar>
              <w:top w:type="dxa" w:w="80"/>
              <w:left w:type="dxa" w:w="100"/>
              <w:bottom w:type="dxa" w:w="80"/>
              <w:right w:type="dxa" w:w="100"/>
            </w:tcMar>
          </w:tcPr>
          <w:p>
            <w:r>
              <w:t xml:space="preserve">Öğrenme çıktısına ulaşma düzeyinin belirlenmesi</w:t>
            </w:r>
          </w:p>
        </w:tc>
        <w:tc>
          <w:tcPr>
            <w:tcW w:type="dxa" w:w="1160"/>
            <w:tcMar>
              <w:top w:type="dxa" w:w="80"/>
              <w:left w:type="dxa" w:w="100"/>
              <w:bottom w:type="dxa" w:w="80"/>
              <w:right w:type="dxa" w:w="100"/>
            </w:tcMar>
          </w:tcPr>
          <w:p>
            <w:r>
              <w:t xml:space="preserve">Öz değerlendirme formu</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Hazırlıksız konuşma kartlarını (Bölüm 9.1) çoğaltıp keserek bir kutuya/torbaya koyun.</w:t>
      </w:r>
    </w:p>
    <w:p>
      <w:pPr>
        <w:pStyle w:val="ListParagraph"/>
        <w:numPr>
          <w:ilvl w:val="0"/>
          <w:numId w:val="1"/>
        </w:numPr>
        <w:spacing w:after="60"/>
      </w:pPr>
      <w:r>
        <w:t xml:space="preserve">Hazırlıksız konuşma stratejisi şemasını (Bölüm 9.2) yansıtmaya ya da tahtaya çizmeye hazır bulundurun.</w:t>
      </w:r>
    </w:p>
    <w:p>
      <w:pPr>
        <w:pStyle w:val="ListParagraph"/>
        <w:numPr>
          <w:ilvl w:val="0"/>
          <w:numId w:val="1"/>
        </w:numPr>
        <w:spacing w:after="60"/>
      </w:pPr>
      <w:r>
        <w:t xml:space="preserve">Süre takibi için bir saat/kronometre (varsa) hazırlayın.</w:t>
      </w:r>
    </w:p>
    <w:p>
      <w:pPr>
        <w:pStyle w:val="ListParagraph"/>
        <w:numPr>
          <w:ilvl w:val="0"/>
          <w:numId w:val="1"/>
        </w:numPr>
        <w:spacing w:after="60"/>
      </w:pPr>
      <w:r>
        <w:t xml:space="preserve">Öz değerlendirme formunu (Bölüm 9.3) çoğaltın.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“Şimdi size hiç hazırlanmadığım bir soruyla kendim örnek olacağım” der, kartlardan birini çeker, birkaç saniye düşünür ve kısa bir hazırlıksız konuşma yapar (örn. “En sevdiğim oyunu tarif et” kartıyla).</w:t>
      </w:r>
    </w:p>
    <w:p>
      <w:pPr>
        <w:pStyle w:val="Heading3"/>
        <w:spacing w:after="90" w:before="180"/>
      </w:pPr>
      <w:r>
        <w:rPr>
          <w:b/>
          <w:bCs/>
          <w:color w:val="1F4E79"/>
        </w:rPr>
        <w:t xml:space="preserve">Öğrencinin Yapacağı</w:t>
      </w:r>
    </w:p>
    <w:p>
      <w:pPr>
        <w:spacing w:after="120"/>
      </w:pPr>
      <w:r>
        <w:t xml:space="preserve">Öğretmeni izler; öğretmenin konuşmadan önce kısa bir süre düşündüğünü, ardından konuştuğunu fark eder.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“Ben konuşmadan önce ne yaptım?”</w:t>
      </w:r>
    </w:p>
    <w:p>
      <w:pPr>
        <w:pStyle w:val="ListParagraph"/>
        <w:numPr>
          <w:ilvl w:val="0"/>
          <w:numId w:val="1"/>
        </w:numPr>
        <w:spacing w:after="60"/>
      </w:pPr>
      <w:r>
        <w:t xml:space="preserve">“Sizce hiç mi düşünmedim, yoksa kısa bir süre mi düşündüm?”</w:t>
      </w:r>
    </w:p>
    <w:p>
      <w:pPr>
        <w:pStyle w:val="Heading3"/>
        <w:spacing w:after="90" w:before="180"/>
      </w:pPr>
      <w:r>
        <w:rPr>
          <w:b/>
          <w:bCs/>
          <w:color w:val="1F4E79"/>
        </w:rPr>
        <w:t xml:space="preserve">Beklenen Öğrenci Tepkileri</w:t>
      </w:r>
    </w:p>
    <w:p>
      <w:pPr>
        <w:spacing w:after="120"/>
      </w:pPr>
      <w:r>
        <w:t xml:space="preserve">Çoğu öğrenci öğretmenin kısa bir süre düşünüp sonra konuştuğunu fark eder; bazıları “hazırlıksız”ı “hiç düşünmeden” ile karıştırabilir.</w:t>
      </w:r>
    </w:p>
    <w:p>
      <w:pPr>
        <w:pStyle w:val="Heading3"/>
        <w:spacing w:after="90" w:before="180"/>
      </w:pPr>
      <w:r>
        <w:rPr>
          <w:b/>
          <w:bCs/>
          <w:color w:val="1F4E79"/>
        </w:rPr>
        <w:t xml:space="preserve">Öğrenme Kanıtı</w:t>
      </w:r>
    </w:p>
    <w:p>
      <w:pPr>
        <w:spacing w:after="120"/>
      </w:pPr>
      <w:r>
        <w:t xml:space="preserve">Sözlü katılım/gözlem.</w:t>
      </w:r>
    </w:p>
    <w:p>
      <w:pPr>
        <w:pStyle w:val="Heading2"/>
        <w:spacing w:after="120" w:before="240"/>
      </w:pPr>
      <w:r>
        <w:rPr>
          <w:b/>
          <w:bCs/>
        </w:rPr>
        <w:t xml:space="preserve">2. Aşama — Çerçeve Hatırlatma: Dinle/Oku – Kısaca Düşün – Konuş (7 dk)</w:t>
      </w:r>
    </w:p>
    <w:p>
      <w:pPr>
        <w:pStyle w:val="Heading3"/>
        <w:spacing w:after="90" w:before="180"/>
      </w:pPr>
      <w:r>
        <w:rPr>
          <w:b/>
          <w:bCs/>
          <w:color w:val="1F4E79"/>
        </w:rPr>
        <w:t xml:space="preserve">Öğretmenin Yapacağı</w:t>
      </w:r>
    </w:p>
    <w:p>
      <w:pPr>
        <w:spacing w:after="120"/>
      </w:pPr>
      <w:r>
        <w:t xml:space="preserve">Öğretmen hazırlıksız konuşma stratejisi şemasını (Bölüm 9.2) gösterir: “1. Soruyu/konuyu dinle ya da oku. 2. 5-10 saniye zihninde ne söyleyeceğini sırala (yazmadan!). 3. Bir girişle başla, bir-iki örnek/detay ekle, kısa bir cümleyle bitir.” Farklı bir kart üzerinde bu üç adımı sesli düşünerek modeller.</w:t>
      </w:r>
    </w:p>
    <w:p>
      <w:pPr>
        <w:pStyle w:val="Heading3"/>
        <w:spacing w:after="90" w:before="180"/>
      </w:pPr>
      <w:r>
        <w:rPr>
          <w:b/>
          <w:bCs/>
          <w:color w:val="1F4E79"/>
        </w:rPr>
        <w:t xml:space="preserve">Öğrencinin Yapacağı</w:t>
      </w:r>
    </w:p>
    <w:p>
      <w:pPr>
        <w:spacing w:after="120"/>
      </w:pPr>
      <w:r>
        <w:t xml:space="preserve">Üç adımı not alır; öğretmenin sesli düşünme sürecini (“Şimdi ne söyleyeceğimi düşünüyorum… önce şunu söyleyeceğim, sonra…”) izler.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“Konuşmaya başlamadan önce zihnimizde ne yapabiliriz?”</w:t>
      </w:r>
    </w:p>
    <w:p>
      <w:pPr>
        <w:pStyle w:val="ListParagraph"/>
        <w:numPr>
          <w:ilvl w:val="0"/>
          <w:numId w:val="1"/>
        </w:numPr>
        <w:spacing w:after="60"/>
      </w:pPr>
      <w:r>
        <w:t xml:space="preserve">“Konuşmamızı nasıl bitirebiliriz?”</w:t>
      </w:r>
    </w:p>
    <w:p>
      <w:pPr>
        <w:pStyle w:val="Heading3"/>
        <w:spacing w:after="90" w:before="180"/>
      </w:pPr>
      <w:r>
        <w:rPr>
          <w:b/>
          <w:bCs/>
          <w:color w:val="1F4E79"/>
        </w:rPr>
        <w:t xml:space="preserve">Beklenen Öğrenci Tepkileri</w:t>
      </w:r>
    </w:p>
    <w:p>
      <w:pPr>
        <w:spacing w:after="120"/>
      </w:pPr>
      <w:r>
        <w:t xml:space="preserve">Doğru/olası: Öğrenciler üç adımı (dinle/oku, düşün, konuş) tekrar edebilir. Muhtemel yanlış: “Kısaca düşünme” adımını atlayıp hemen konuşmaya kalkma ya da tam tersi çok uzun süre sessiz kalma.</w:t>
      </w:r>
    </w:p>
    <w:p>
      <w:pPr>
        <w:pStyle w:val="Heading3"/>
        <w:spacing w:after="90" w:before="180"/>
      </w:pPr>
      <w:r>
        <w:rPr>
          <w:b/>
          <w:bCs/>
          <w:color w:val="1F4E79"/>
        </w:rPr>
        <w:t xml:space="preserve">Olası Yanılgılar ve Öğretmen Müdahalesi</w:t>
      </w:r>
    </w:p>
    <w:p>
      <w:pPr>
        <w:spacing w:after="120"/>
      </w:pPr>
      <w:r>
        <w:t xml:space="preserve">Düşünme süresini atlayan öğrenciye öğretmen “Önce birkaç saniye ne söyleyeceğini düşünmeyi dener misin?” diye hatırlatır; çok uzun duraksayan öğrenciye ise “Aklına gelen ilk örnekle başlayabilirsin” diyerek yönlendirir.</w:t>
      </w:r>
    </w:p>
    <w:p>
      <w:pPr>
        <w:pStyle w:val="Heading3"/>
        <w:spacing w:after="90" w:before="180"/>
      </w:pPr>
      <w:r>
        <w:rPr>
          <w:b/>
          <w:bCs/>
          <w:color w:val="1F4E79"/>
        </w:rPr>
        <w:t xml:space="preserve">Öğrenme Kanıtı</w:t>
      </w:r>
    </w:p>
    <w:p>
      <w:pPr>
        <w:spacing w:after="120"/>
      </w:pPr>
      <w:r>
        <w:t xml:space="preserve">Üç adımın örnek kart üzerinde öğretmenle birlikte doğru biçimde tekrar edilmiş olması.</w:t>
      </w:r>
    </w:p>
    <w:p>
      <w:pPr>
        <w:pStyle w:val="Heading2"/>
        <w:spacing w:after="120" w:before="240"/>
      </w:pPr>
      <w:r>
        <w:rPr>
          <w:b/>
          <w:bCs/>
        </w:rPr>
        <w:t xml:space="preserve">3. Aşama — Hazırlıksız Konuşma Uygulaması (18 dk)</w:t>
      </w:r>
    </w:p>
    <w:p>
      <w:pPr>
        <w:pStyle w:val="Heading3"/>
        <w:spacing w:after="90" w:before="180"/>
      </w:pPr>
      <w:r>
        <w:rPr>
          <w:b/>
          <w:bCs/>
          <w:color w:val="1F4E79"/>
        </w:rPr>
        <w:t xml:space="preserve">Öğretmenin Yapacağı</w:t>
      </w:r>
    </w:p>
    <w:p>
      <w:pPr>
        <w:spacing w:after="120"/>
      </w:pPr>
      <w:r>
        <w:t xml:space="preserve">Öğretmen öğrencileri sırayla (ya da zaman kısıtlıysa eşli gruplar hâlinde) bir kart çekmeye davet eder. Her öğrenciye kartı okuduktan sonra yaklaşık 10 saniye düşünme, ardından 30-45 saniye konuşma süresi tanır ve süreyi yönetir.</w:t>
      </w:r>
    </w:p>
    <w:p>
      <w:pPr>
        <w:pStyle w:val="Heading3"/>
        <w:spacing w:after="90" w:before="180"/>
      </w:pPr>
      <w:r>
        <w:rPr>
          <w:b/>
          <w:bCs/>
          <w:color w:val="1F4E79"/>
        </w:rPr>
        <w:t xml:space="preserve">Öğrencinin Yapacağı</w:t>
      </w:r>
    </w:p>
    <w:p>
      <w:pPr>
        <w:spacing w:after="120"/>
      </w:pPr>
      <w:r>
        <w:t xml:space="preserve">Sırası geldiğinde bir kart çeker, kartı okur/dinler, kısa bir süre düşünür (yazmadan), ardından hazırlıksız olarak konuşur.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“Kartında ne yazıyor, anladın mı?”</w:t>
      </w:r>
    </w:p>
    <w:p>
      <w:pPr>
        <w:pStyle w:val="ListParagraph"/>
        <w:numPr>
          <w:ilvl w:val="0"/>
          <w:numId w:val="1"/>
        </w:numPr>
        <w:spacing w:after="60"/>
      </w:pPr>
      <w:r>
        <w:t xml:space="preserve">“Düşünme süren bitti, başlayabilirsin.”</w:t>
      </w:r>
    </w:p>
    <w:p>
      <w:pPr>
        <w:pStyle w:val="ListParagraph"/>
        <w:numPr>
          <w:ilvl w:val="0"/>
          <w:numId w:val="1"/>
        </w:numPr>
        <w:spacing w:after="60"/>
      </w:pPr>
      <w:r>
        <w:t xml:space="preserve">“Bir örnek daha ekleyebilir misin?”</w:t>
      </w:r>
    </w:p>
    <w:p>
      <w:pPr>
        <w:pStyle w:val="Heading3"/>
        <w:spacing w:after="90" w:before="180"/>
      </w:pPr>
      <w:r>
        <w:rPr>
          <w:b/>
          <w:bCs/>
          <w:color w:val="1F4E79"/>
        </w:rPr>
        <w:t xml:space="preserve">Beklenen Öğrenci Tepkileri</w:t>
      </w:r>
    </w:p>
    <w:p>
      <w:pPr>
        <w:spacing w:after="120"/>
      </w:pPr>
      <w:r>
        <w:t xml:space="preserve">Doğru/olası: Öğrenci kısa bir düşünmenin ardından konuya uygun, bir girişi ve bitirişi olan kısa bir konuşma yapar. Muhtemel yanlış: Tek kelimelik yanıt verip susma ya da konudan tamamen uzaklaşma.</w:t>
      </w:r>
    </w:p>
    <w:p>
      <w:pPr>
        <w:pStyle w:val="Heading3"/>
        <w:spacing w:after="90" w:before="180"/>
      </w:pPr>
      <w:r>
        <w:rPr>
          <w:b/>
          <w:bCs/>
          <w:color w:val="1F4E79"/>
        </w:rPr>
        <w:t xml:space="preserve">Olası Yanılgılar ve Öğretmen Müdahalesi</w:t>
      </w:r>
    </w:p>
    <w:p>
      <w:pPr>
        <w:spacing w:after="120"/>
      </w:pPr>
      <w:r>
        <w:t xml:space="preserve">Çok kısa yanıt veren öğrenciye öğretmen “Bir örnek ya da ayrıntı daha ekleyebilir misin?” diye destekleyici bir soru sorar; konudan uzaklaşan öğrenciyi ise nazikçe karta geri yönlendirir.</w:t>
      </w:r>
    </w:p>
    <w:p>
      <w:pPr>
        <w:pStyle w:val="Heading3"/>
        <w:spacing w:after="90" w:before="180"/>
      </w:pPr>
      <w:r>
        <w:rPr>
          <w:b/>
          <w:bCs/>
          <w:color w:val="1F4E79"/>
        </w:rPr>
        <w:t xml:space="preserve">Öğrenme Kanıtı</w:t>
      </w:r>
    </w:p>
    <w:p>
      <w:pPr>
        <w:spacing w:after="120"/>
      </w:pPr>
      <w:r>
        <w:t xml:space="preserve">Öğrencinin, kısa bir düşünme süresinin ardından konuyla ilgili, başı ve sonu belli bir hazırlıksız konuşma yapmış olması (gözlemle belirlenir).</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birkaç öğrenciden hazırlıksız konuşma deneyimini (kolay/zor gelen kısımları) kısaca paylaşmasını ister. Ardından öz değerlendirme formunu (Bölüm 9.3) dağıtır.</w:t>
      </w:r>
    </w:p>
    <w:p>
      <w:pPr>
        <w:pStyle w:val="Heading3"/>
        <w:spacing w:after="90" w:before="180"/>
      </w:pPr>
      <w:r>
        <w:rPr>
          <w:b/>
          <w:bCs/>
          <w:color w:val="1F4E79"/>
        </w:rPr>
        <w:t xml:space="preserve">Öğrencinin Yapacağı</w:t>
      </w:r>
    </w:p>
    <w:p>
      <w:pPr>
        <w:spacing w:after="120"/>
      </w:pPr>
      <w:r>
        <w:t xml:space="preserve">Deneyimini kısaca paylaşır; öz değerlendirme formunu doldurarak kendi hazırlıksız konuşmasını yansıtır.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“Düşünme süren yeterli miydi, yoksa daha uzun/kısa mı olmalıydı?”</w:t>
      </w:r>
    </w:p>
    <w:p>
      <w:pPr>
        <w:pStyle w:val="ListParagraph"/>
        <w:numPr>
          <w:ilvl w:val="0"/>
          <w:numId w:val="1"/>
        </w:numPr>
        <w:spacing w:after="60"/>
      </w:pPr>
      <w:r>
        <w:t xml:space="preserve">“Bir dahaki sefere neyi farklı yapmak istersin?”</w:t>
      </w:r>
    </w:p>
    <w:p>
      <w:pPr>
        <w:pStyle w:val="Heading3"/>
        <w:spacing w:after="90" w:before="180"/>
      </w:pPr>
      <w:r>
        <w:rPr>
          <w:b/>
          <w:bCs/>
          <w:color w:val="1F4E79"/>
        </w:rPr>
        <w:t xml:space="preserve">Beklenen Öğrenci Tepkileri</w:t>
      </w:r>
    </w:p>
    <w:p>
      <w:pPr>
        <w:spacing w:after="120"/>
      </w:pPr>
      <w:r>
        <w:t xml:space="preserve">Öğrencilerin kendi deneyimlerini yargılamadan, gerçekçi biçimde yansıtabilmesi beklenir.</w:t>
      </w:r>
    </w:p>
    <w:p>
      <w:pPr>
        <w:pStyle w:val="Heading3"/>
        <w:spacing w:after="90" w:before="180"/>
      </w:pPr>
      <w:r>
        <w:rPr>
          <w:b/>
          <w:bCs/>
          <w:color w:val="1F4E79"/>
        </w:rPr>
        <w:t xml:space="preserve">Öğrenme Kanıtı</w:t>
      </w:r>
    </w:p>
    <w:p>
      <w:pPr>
        <w:spacing w:after="120"/>
      </w:pPr>
      <w:r>
        <w:t xml:space="preserve">Öz değerlendirme formunun doldurulmuş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Zorlanan öğrencilere daha tanıdık/kolay kartlar (örn. “En sevdiğin oyunu tarif et”) öncelikli olarak verilebilir.</w:t>
      </w:r>
    </w:p>
    <w:p>
      <w:pPr>
        <w:pStyle w:val="ListParagraph"/>
        <w:numPr>
          <w:ilvl w:val="0"/>
          <w:numId w:val="1"/>
        </w:numPr>
        <w:spacing w:after="60"/>
      </w:pPr>
      <w:r>
        <w:t xml:space="preserve">Düşünme süresi bu öğrenciler için 10 saniyeden 15-20 saniyeye çıkarılabilir.</w:t>
      </w:r>
    </w:p>
    <w:p>
      <w:pPr>
        <w:pStyle w:val="ListParagraph"/>
        <w:numPr>
          <w:ilvl w:val="0"/>
          <w:numId w:val="1"/>
        </w:numPr>
        <w:spacing w:after="60"/>
      </w:pPr>
      <w:r>
        <w:t xml:space="preserve">Giriş-örnek-bitiriş çerçevesini hatırlatan basit bir kart öğrencinin önünde tutulabilir.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ve rahat konuşabilen öğrencilere daha açık uçlu/soyut kartlar (örn. “Sence oyunlar neden önemlidir?”) verilebilir.</w:t>
      </w:r>
    </w:p>
    <w:p>
      <w:pPr>
        <w:pStyle w:val="ListParagraph"/>
        <w:numPr>
          <w:ilvl w:val="0"/>
          <w:numId w:val="1"/>
        </w:numPr>
        <w:spacing w:after="60"/>
      </w:pPr>
      <w:r>
        <w:t xml:space="preserve">Bu öğrenciler, bir akranının hazırlıksız konuşmasını dinleyip “giriş-örnek-bitiriş” çerçevesine uyup uymadığına dair kısa bir geri bildirim verebilir.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hazırlıksız konuşmaya özgü ayrı, adı geçen bir ölçme aracı belirtilmemiştir (T.K.5.8. ile birlikte “karşılıklı konuşma, canlandırma vb. çalışmalar yapılabilir” önerisi genel olarak konuşma çıktıları için verilmiştir). Bu nedenle aşağıdaki araçlar bu genel öneriye ve bölümün ilkesine dayanılarak tarafımca önerilmiştir.</w:t>
      </w:r>
    </w:p>
    <w:p>
      <w:pPr>
        <w:pStyle w:val="Heading3"/>
        <w:spacing w:after="90" w:before="180"/>
      </w:pPr>
      <w:r>
        <w:rPr>
          <w:b/>
          <w:bCs/>
          <w:color w:val="1F4E79"/>
        </w:rPr>
        <w:t xml:space="preserve">Ön Değerlendirme</w:t>
      </w:r>
    </w:p>
    <w:p>
      <w:pPr>
        <w:spacing w:after="120"/>
      </w:pPr>
      <w:r>
        <w:t xml:space="preserve">1. Aşamadaki öğretmen modellemesi ve gözlem, öğrencilerin hazırlıksız konuşma kavramına ne kadar aşina olduğunu belirlemek için kullanılır.</w:t>
      </w:r>
    </w:p>
    <w:p>
      <w:pPr>
        <w:pStyle w:val="Heading3"/>
        <w:spacing w:after="90" w:before="180"/>
      </w:pPr>
      <w:r>
        <w:rPr>
          <w:b/>
          <w:bCs/>
          <w:color w:val="1F4E79"/>
        </w:rPr>
        <w:t xml:space="preserve">Süreç İçi Değerlendirme</w:t>
      </w:r>
    </w:p>
    <w:p>
      <w:pPr>
        <w:spacing w:after="120"/>
      </w:pPr>
      <w:r>
        <w:t xml:space="preserve">3. Aşamadaki gözlem, öğretmene her öğrencinin kısa bir düşünme süresinin ardından konuya uygun konuşup konuşamadığına dair anlık bilgi verir.</w:t>
      </w:r>
    </w:p>
    <w:p>
      <w:pPr>
        <w:pStyle w:val="Heading3"/>
        <w:spacing w:after="90" w:before="180"/>
      </w:pPr>
      <w:r>
        <w:rPr>
          <w:b/>
          <w:bCs/>
          <w:color w:val="1F4E79"/>
        </w:rPr>
        <w:t xml:space="preserve">Sonuç Değerlendirmesi</w:t>
      </w:r>
    </w:p>
    <w:p>
      <w:pPr>
        <w:spacing w:after="120"/>
      </w:pPr>
      <w:r>
        <w:t xml:space="preserve">4. Aşamadaki öz değerlendirme formu, öğrencinin kendi hazırlıksız konuşma deneyimini fark edip yansıtabildiğini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Öğretmen gözlem formu (Bölüm 11)</w:t>
            </w:r>
          </w:p>
        </w:tc>
        <w:tc>
          <w:tcPr>
            <w:tcW w:type="dxa" w:w="3400"/>
            <w:tcMar>
              <w:top w:type="dxa" w:w="80"/>
              <w:left w:type="dxa" w:w="100"/>
              <w:bottom w:type="dxa" w:w="80"/>
              <w:right w:type="dxa" w:w="100"/>
            </w:tcMar>
          </w:tcPr>
          <w:p>
            <w:r>
              <w:t xml:space="preserve">T.K.5.7. — hazırlıksız konuşma yapma</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Öz değerlendirme formu</w:t>
            </w:r>
          </w:p>
        </w:tc>
        <w:tc>
          <w:tcPr>
            <w:tcW w:type="dxa" w:w="3400"/>
            <w:tcMar>
              <w:top w:type="dxa" w:w="80"/>
              <w:left w:type="dxa" w:w="100"/>
              <w:bottom w:type="dxa" w:w="80"/>
              <w:right w:type="dxa" w:w="100"/>
            </w:tcMar>
          </w:tcPr>
          <w:p>
            <w:r>
              <w:t xml:space="preserve">Öğrencinin kendi sürecini fark etmesi</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materyaller ÖRNEK/İLLÜSTRATİF materyaldir; referans dosyada resmî olarak belirlenmemiştir.</w:t>
      </w:r>
    </w:p>
    <w:p>
      <w:pPr>
        <w:pStyle w:val="Heading2"/>
        <w:spacing w:after="120" w:before="240"/>
      </w:pPr>
      <w:r>
        <w:rPr>
          <w:b/>
          <w:bCs/>
        </w:rPr>
        <w:t xml:space="preserve">9.1. Hazırlıksız Konuşma Kartları</w:t>
      </w:r>
    </w:p>
    <w:p>
      <w:pPr>
        <w:spacing w:after="120"/>
      </w:pPr>
      <w:r>
        <w:t xml:space="preserve">Aşağıdaki kartlar tek tek kesilip bir kutuya/torbaya konularak öğrencilerin rastgele çekmesi için kullanılabilir:</w:t>
      </w:r>
    </w:p>
    <w:p>
      <w:pPr>
        <w:pStyle w:val="ListParagraph"/>
        <w:numPr>
          <w:ilvl w:val="0"/>
          <w:numId w:val="1"/>
        </w:numPr>
        <w:spacing w:after="60"/>
      </w:pPr>
      <w:r>
        <w:t xml:space="preserve">En sevdiğin oyunu tarif et.</w:t>
      </w:r>
    </w:p>
    <w:p>
      <w:pPr>
        <w:pStyle w:val="ListParagraph"/>
        <w:numPr>
          <w:ilvl w:val="0"/>
          <w:numId w:val="1"/>
        </w:numPr>
        <w:spacing w:after="60"/>
      </w:pPr>
      <w:r>
        <w:t xml:space="preserve">Hiç oynamadığın ama merak ettiğin bir oyunu anlat.</w:t>
      </w:r>
    </w:p>
    <w:p>
      <w:pPr>
        <w:pStyle w:val="ListParagraph"/>
        <w:numPr>
          <w:ilvl w:val="0"/>
          <w:numId w:val="1"/>
        </w:numPr>
        <w:spacing w:after="60"/>
      </w:pPr>
      <w:r>
        <w:t xml:space="preserve">Yağmurlu bir günde içeride oynanabilecek bir oyun öner.</w:t>
      </w:r>
    </w:p>
    <w:p>
      <w:pPr>
        <w:pStyle w:val="ListParagraph"/>
        <w:numPr>
          <w:ilvl w:val="0"/>
          <w:numId w:val="1"/>
        </w:numPr>
        <w:spacing w:after="60"/>
      </w:pPr>
      <w:r>
        <w:t xml:space="preserve">Sence oyunlar neden önemlidir?</w:t>
      </w:r>
    </w:p>
    <w:p>
      <w:pPr>
        <w:pStyle w:val="ListParagraph"/>
        <w:numPr>
          <w:ilvl w:val="0"/>
          <w:numId w:val="1"/>
        </w:numPr>
        <w:spacing w:after="60"/>
      </w:pPr>
      <w:r>
        <w:t xml:space="preserve">Hayalindeki bir oyunu anlat: nasıl oynanır?</w:t>
      </w:r>
    </w:p>
    <w:p>
      <w:pPr>
        <w:pStyle w:val="ListParagraph"/>
        <w:numPr>
          <w:ilvl w:val="0"/>
          <w:numId w:val="1"/>
        </w:numPr>
        <w:spacing w:after="60"/>
      </w:pPr>
      <w:r>
        <w:t xml:space="preserve">En son ne zaman oyun oynadın? Neydi, kiminle oynadın?</w:t>
      </w:r>
    </w:p>
    <w:p>
      <w:pPr>
        <w:pStyle w:val="ListParagraph"/>
        <w:numPr>
          <w:ilvl w:val="0"/>
          <w:numId w:val="1"/>
        </w:numPr>
        <w:spacing w:after="60"/>
      </w:pPr>
      <w:r>
        <w:t xml:space="preserve">Bir arkadaşına yeni bir oyunu nasıl anlatırsın?</w:t>
      </w:r>
    </w:p>
    <w:p>
      <w:pPr>
        <w:pStyle w:val="ListParagraph"/>
        <w:numPr>
          <w:ilvl w:val="0"/>
          <w:numId w:val="1"/>
        </w:numPr>
        <w:spacing w:after="60"/>
      </w:pPr>
      <w:r>
        <w:t xml:space="preserve">Bahçede/parkta oynanabilecek bir oyunu tarif et.</w:t>
      </w:r>
    </w:p>
    <w:p>
      <w:pPr>
        <w:pStyle w:val="Heading2"/>
        <w:spacing w:after="120" w:before="240"/>
      </w:pPr>
      <w:r>
        <w:rPr>
          <w:b/>
          <w:bCs/>
        </w:rPr>
        <w:t xml:space="preserve">9.2. Hazırlıksız Konuşma Stratejisi Şeması</w:t>
      </w:r>
    </w:p>
    <w:p>
      <w:pPr>
        <w:spacing w:after="120"/>
      </w:pPr>
      <w:r>
        <w:t xml:space="preserve">Hazırlıksız konuşurken izlenebilecek üç adım aşağıdaki gibidir:</w:t>
      </w:r>
    </w:p>
    <w:p>
      <w:pPr>
        <w:spacing w:after="120" w:before="120"/>
        <w:jc w:val="center"/>
      </w:pPr>
      <w:r>
        <w:drawing>
          <wp:inline distT="0" distB="0" distL="0" distR="0">
            <wp:extent cx="4381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485900"/>
                    </a:xfrm>
                    <a:prstGeom prst="rect">
                      <a:avLst/>
                    </a:prstGeom>
                  </pic:spPr>
                </pic:pic>
              </a:graphicData>
            </a:graphic>
          </wp:inline>
        </w:drawing>
      </w:r>
    </w:p>
    <w:p>
      <w:pPr>
        <w:pStyle w:val="Heading2"/>
        <w:spacing w:after="120" w:before="240"/>
      </w:pPr>
      <w:r>
        <w:rPr>
          <w:b/>
          <w:bCs/>
        </w:rPr>
        <w:t xml:space="preserve">9.3. Öz Değerlendirme Formu / Çıkış Bileti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0"/>
        <w:gridCol w:w="2660"/>
      </w:tblGrid>
      <w:tr>
        <w:tc>
          <w:tcPr>
            <w:tcW w:type="dxa" w:w="6700"/>
            <w:shd w:fill="1F4E79" w:val="clear"/>
            <w:tcMar>
              <w:top w:type="dxa" w:w="80"/>
              <w:left w:type="dxa" w:w="100"/>
              <w:bottom w:type="dxa" w:w="80"/>
              <w:right w:type="dxa" w:w="100"/>
            </w:tcMar>
          </w:tcPr>
          <w:p>
            <w:r>
              <w:rPr>
                <w:b/>
                <w:bCs/>
                <w:color w:val="FFFFFF"/>
              </w:rPr>
              <w:t xml:space="preserve">Değerlendirme Cümlesi</w:t>
            </w:r>
          </w:p>
        </w:tc>
        <w:tc>
          <w:tcPr>
            <w:tcW w:type="dxa" w:w="2660"/>
            <w:shd w:fill="1F4E79" w:val="clear"/>
            <w:tcMar>
              <w:top w:type="dxa" w:w="80"/>
              <w:left w:type="dxa" w:w="100"/>
              <w:bottom w:type="dxa" w:w="80"/>
              <w:right w:type="dxa" w:w="100"/>
            </w:tcMar>
          </w:tcPr>
          <w:p>
            <w:r>
              <w:rPr>
                <w:b/>
                <w:bCs/>
                <w:color w:val="FFFFFF"/>
              </w:rPr>
              <w:t xml:space="preserve">Evet / Kısmen / Hayır</w:t>
            </w:r>
          </w:p>
        </w:tc>
      </w:tr>
      <w:tr>
        <w:tc>
          <w:tcPr>
            <w:tcW w:type="dxa" w:w="6700"/>
            <w:tcMar>
              <w:top w:type="dxa" w:w="80"/>
              <w:left w:type="dxa" w:w="100"/>
              <w:bottom w:type="dxa" w:w="80"/>
              <w:right w:type="dxa" w:w="100"/>
            </w:tcMar>
          </w:tcPr>
          <w:p>
            <w:r>
              <w:t xml:space="preserve">Konuşmadan önce kısa bir süre (5-10 saniye) düşündüm.</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Konuşmamın bir girişi ve bir bitirişi vardı.</w:t>
            </w:r>
          </w:p>
        </w:tc>
        <w:tc>
          <w:tcPr>
            <w:tcW w:type="dxa" w:w="2660"/>
            <w:tcMar>
              <w:top w:type="dxa" w:w="80"/>
              <w:left w:type="dxa" w:w="100"/>
              <w:bottom w:type="dxa" w:w="80"/>
              <w:right w:type="dxa" w:w="100"/>
            </w:tcMar>
          </w:tcPr>
          <w:p>
            <w:r>
              <w:t xml:space="preserve">……………………</w:t>
            </w:r>
          </w:p>
        </w:tc>
      </w:tr>
      <w:tr>
        <w:tc>
          <w:tcPr>
            <w:tcW w:type="dxa" w:w="6700"/>
            <w:tcMar>
              <w:top w:type="dxa" w:w="80"/>
              <w:left w:type="dxa" w:w="100"/>
              <w:bottom w:type="dxa" w:w="80"/>
              <w:right w:type="dxa" w:w="100"/>
            </w:tcMar>
          </w:tcPr>
          <w:p>
            <w:r>
              <w:t xml:space="preserve">Konuşurken en az bir örnek/ayrıntı ekledim.</w:t>
            </w:r>
          </w:p>
        </w:tc>
        <w:tc>
          <w:tcPr>
            <w:tcW w:type="dxa" w:w="2660"/>
            <w:tcMar>
              <w:top w:type="dxa" w:w="80"/>
              <w:left w:type="dxa" w:w="100"/>
              <w:bottom w:type="dxa" w:w="80"/>
              <w:right w:type="dxa" w:w="100"/>
            </w:tcMar>
          </w:tcPr>
          <w:p>
            <w:r>
              <w:t xml:space="preserve">……………………</w:t>
            </w:r>
          </w:p>
        </w:tc>
      </w:tr>
    </w:tbl>
    <w:p>
      <w:pPr>
        <w:spacing w:after="120"/>
      </w:pPr>
      <w:r>
        <w:t xml:space="preserve">Hazırlıksız konuşurken en çok zorlandığım kısım: …………………………………………………</w:t>
      </w:r>
    </w:p>
    <w:p>
      <w:pPr>
        <w:pStyle w:val="Heading1"/>
        <w:spacing w:after="150" w:before="300"/>
      </w:pPr>
      <w:r>
        <w:rPr>
          <w:b/>
          <w:bCs/>
        </w:rPr>
        <w:t xml:space="preserve">10. Öğretmen İçin Cevap Anahtarı / Beklenen Yanıtlar</w:t>
      </w:r>
    </w:p>
    <w:p>
      <w:pPr>
        <w:spacing w:after="160"/>
      </w:pPr>
      <w:r>
        <w:rPr>
          <w:i/>
          <w:iCs/>
          <w:color w:val="555555"/>
        </w:rPr>
        <w:t xml:space="preserve">T.K.5.7. bir “doğru cevap” çıktısı değil bir sözlü üretim çıktısı olduğundan, bu bölümde tek bir doğru yanıt yerine, öğretmenin gözlem sırasında dikkat edebileceği göstergeler sunulmaktadır.</w:t>
      </w:r>
    </w:p>
    <w:p>
      <w:pPr>
        <w:pStyle w:val="ListParagraph"/>
        <w:numPr>
          <w:ilvl w:val="0"/>
          <w:numId w:val="1"/>
        </w:numPr>
        <w:spacing w:after="60"/>
      </w:pPr>
      <w:r>
        <w:t xml:space="preserve">Öğrenci, kartı okuduktan/dinledikten sonra kısa bir süre (yaklaşık 5-10 saniye) sessiz kalıp düşünmüş, ardından konuşmaya başlamış olmalıdır.</w:t>
      </w:r>
    </w:p>
    <w:p>
      <w:pPr>
        <w:pStyle w:val="ListParagraph"/>
        <w:numPr>
          <w:ilvl w:val="0"/>
          <w:numId w:val="1"/>
        </w:numPr>
        <w:spacing w:after="60"/>
      </w:pPr>
      <w:r>
        <w:t xml:space="preserve">Konuşma, kart konusuyla ilgili olmalı; en az bir örnek ya da ayrıntı içermelidir.</w:t>
      </w:r>
    </w:p>
    <w:p>
      <w:pPr>
        <w:pStyle w:val="ListParagraph"/>
        <w:numPr>
          <w:ilvl w:val="0"/>
          <w:numId w:val="1"/>
        </w:numPr>
        <w:spacing w:after="60"/>
      </w:pPr>
      <w:r>
        <w:t xml:space="preserve">Konuşmanın belirgin bir başlangıcı (giriş cümlesi) ve bitişi (bitiriş cümlesi/ifadesi) olmalıdır; konuşmanın “havada kalarak” sona ermemesi beklenir.</w:t>
      </w:r>
    </w:p>
    <w:p>
      <w:pPr>
        <w:spacing w:after="160"/>
      </w:pPr>
      <w:r>
        <w:rPr>
          <w:i/>
          <w:iCs/>
          <w:color w:val="555555"/>
        </w:rPr>
        <w:t xml:space="preserve">Kabul edilemez yanıt örneği: Kartı okuduktan hemen sonra tek kelimelik bir yanıt verip susmak ya da kart konusuyla tamamen ilgisiz bir konuya geçmek.</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Kısa süreli düşünme sonrası konuşmaya başlama</w:t>
            </w:r>
          </w:p>
        </w:tc>
        <w:tc>
          <w:tcPr>
            <w:tcW w:type="dxa" w:w="2260"/>
            <w:tcMar>
              <w:top w:type="dxa" w:w="80"/>
              <w:left w:type="dxa" w:w="100"/>
              <w:bottom w:type="dxa" w:w="80"/>
              <w:right w:type="dxa" w:w="100"/>
            </w:tcMar>
          </w:tcPr>
          <w:p>
            <w:r>
              <w:t xml:space="preserve">Ya hiç düşünmeden ya da çok uzun süre sessiz kalarak konuşmaya başlıyor</w:t>
            </w:r>
          </w:p>
        </w:tc>
        <w:tc>
          <w:tcPr>
            <w:tcW w:type="dxa" w:w="2260"/>
            <w:tcMar>
              <w:top w:type="dxa" w:w="80"/>
              <w:left w:type="dxa" w:w="100"/>
              <w:bottom w:type="dxa" w:w="80"/>
              <w:right w:type="dxa" w:w="100"/>
            </w:tcMar>
          </w:tcPr>
          <w:p>
            <w:r>
              <w:t xml:space="preserve">Kısa bir düşünmenin ardından, biraz tereddütle konuşmaya başlıyor</w:t>
            </w:r>
          </w:p>
        </w:tc>
        <w:tc>
          <w:tcPr>
            <w:tcW w:type="dxa" w:w="2240"/>
            <w:tcMar>
              <w:top w:type="dxa" w:w="80"/>
              <w:left w:type="dxa" w:w="100"/>
              <w:bottom w:type="dxa" w:w="80"/>
              <w:right w:type="dxa" w:w="100"/>
            </w:tcMar>
          </w:tcPr>
          <w:p>
            <w:r>
              <w:t xml:space="preserve">Kısa bir düşünmenin (5-10 sn) ardından akıcı biçimde konuşmaya başlıyor</w:t>
            </w:r>
          </w:p>
        </w:tc>
      </w:tr>
      <w:tr>
        <w:tc>
          <w:tcPr>
            <w:tcW w:type="dxa" w:w="2600"/>
            <w:tcMar>
              <w:top w:type="dxa" w:w="80"/>
              <w:left w:type="dxa" w:w="100"/>
              <w:bottom w:type="dxa" w:w="80"/>
              <w:right w:type="dxa" w:w="100"/>
            </w:tcMar>
          </w:tcPr>
          <w:p>
            <w:r>
              <w:t xml:space="preserve">Konuya uygun, örnekli konuşma yapma</w:t>
            </w:r>
          </w:p>
        </w:tc>
        <w:tc>
          <w:tcPr>
            <w:tcW w:type="dxa" w:w="2260"/>
            <w:tcMar>
              <w:top w:type="dxa" w:w="80"/>
              <w:left w:type="dxa" w:w="100"/>
              <w:bottom w:type="dxa" w:w="80"/>
              <w:right w:type="dxa" w:w="100"/>
            </w:tcMar>
          </w:tcPr>
          <w:p>
            <w:r>
              <w:t xml:space="preserve">Konuşma konudan kopuk ya da tek kelimelik</w:t>
            </w:r>
          </w:p>
        </w:tc>
        <w:tc>
          <w:tcPr>
            <w:tcW w:type="dxa" w:w="2260"/>
            <w:tcMar>
              <w:top w:type="dxa" w:w="80"/>
              <w:left w:type="dxa" w:w="100"/>
              <w:bottom w:type="dxa" w:w="80"/>
              <w:right w:type="dxa" w:w="100"/>
            </w:tcMar>
          </w:tcPr>
          <w:p>
            <w:r>
              <w:t xml:space="preserve">Konuşma konuya uygun ama örnek/ayrıntı sınırlı</w:t>
            </w:r>
          </w:p>
        </w:tc>
        <w:tc>
          <w:tcPr>
            <w:tcW w:type="dxa" w:w="2240"/>
            <w:tcMar>
              <w:top w:type="dxa" w:w="80"/>
              <w:left w:type="dxa" w:w="100"/>
              <w:bottom w:type="dxa" w:w="80"/>
              <w:right w:type="dxa" w:w="100"/>
            </w:tcMar>
          </w:tcPr>
          <w:p>
            <w:r>
              <w:t xml:space="preserve">Konuşma konuya uygun ve en az bir örnek/ayrıntı içeriyor</w:t>
            </w:r>
          </w:p>
        </w:tc>
      </w:tr>
      <w:tr>
        <w:tc>
          <w:tcPr>
            <w:tcW w:type="dxa" w:w="2600"/>
            <w:tcMar>
              <w:top w:type="dxa" w:w="80"/>
              <w:left w:type="dxa" w:w="100"/>
              <w:bottom w:type="dxa" w:w="80"/>
              <w:right w:type="dxa" w:w="100"/>
            </w:tcMar>
          </w:tcPr>
          <w:p>
            <w:r>
              <w:t xml:space="preserve">Konuşmayı bir bitirişle tamamlama</w:t>
            </w:r>
          </w:p>
        </w:tc>
        <w:tc>
          <w:tcPr>
            <w:tcW w:type="dxa" w:w="2260"/>
            <w:tcMar>
              <w:top w:type="dxa" w:w="80"/>
              <w:left w:type="dxa" w:w="100"/>
              <w:bottom w:type="dxa" w:w="80"/>
              <w:right w:type="dxa" w:w="100"/>
            </w:tcMar>
          </w:tcPr>
          <w:p>
            <w:r>
              <w:t xml:space="preserve">Konuşma aniden, bir bitiriş olmadan kesiliyor</w:t>
            </w:r>
          </w:p>
        </w:tc>
        <w:tc>
          <w:tcPr>
            <w:tcW w:type="dxa" w:w="2260"/>
            <w:tcMar>
              <w:top w:type="dxa" w:w="80"/>
              <w:left w:type="dxa" w:w="100"/>
              <w:bottom w:type="dxa" w:w="80"/>
              <w:right w:type="dxa" w:w="100"/>
            </w:tcMar>
          </w:tcPr>
          <w:p>
            <w:r>
              <w:t xml:space="preserve">Konuşma belirsiz biçimde sona eriyor</w:t>
            </w:r>
          </w:p>
        </w:tc>
        <w:tc>
          <w:tcPr>
            <w:tcW w:type="dxa" w:w="2240"/>
            <w:tcMar>
              <w:top w:type="dxa" w:w="80"/>
              <w:left w:type="dxa" w:w="100"/>
              <w:bottom w:type="dxa" w:w="80"/>
              <w:right w:type="dxa" w:w="100"/>
            </w:tcMar>
          </w:tcPr>
          <w:p>
            <w:r>
              <w:t xml:space="preserve">Konuşma açık bir bitiriş cümlesi/ifadesiyle tamamlanıyor</w:t>
            </w:r>
          </w:p>
        </w:tc>
      </w:tr>
    </w:tbl>
    <w:p>
      <w:pPr>
        <w:spacing w:after="160"/>
      </w:pPr>
      <w:r>
        <w:rPr>
          <w:i/>
          <w:iCs/>
          <w:color w:val="555555"/>
        </w:rPr>
        <w:t xml:space="preserve">Rubrik yalnızca T.K.5.7.’nin kapsamındaki hazırlıksız konuşma ölçütlerini içerir; sesin kullanımı ve beden dili (T.K.5.8., T.K.5.20.) bu rubrikte puanlanmaz.</w:t>
      </w:r>
    </w:p>
    <w:p>
      <w:pPr>
        <w:pStyle w:val="Heading1"/>
        <w:spacing w:after="150" w:before="300"/>
      </w:pPr>
      <w:r>
        <w:rPr>
          <w:b/>
          <w:bCs/>
        </w:rPr>
        <w:t xml:space="preserve">12. Tahta Planı</w:t>
      </w:r>
    </w:p>
    <w:p>
      <w:pPr>
        <w:pStyle w:val="ListParagraph"/>
        <w:numPr>
          <w:ilvl w:val="0"/>
          <w:numId w:val="1"/>
        </w:numPr>
        <w:spacing w:after="60"/>
      </w:pPr>
      <w:r>
        <w:t xml:space="preserve">Başlık: Hazırlıksız Konuşuyorum!</w:t>
      </w:r>
    </w:p>
    <w:p>
      <w:pPr>
        <w:pStyle w:val="ListParagraph"/>
        <w:numPr>
          <w:ilvl w:val="0"/>
          <w:numId w:val="1"/>
        </w:numPr>
        <w:spacing w:after="60"/>
      </w:pPr>
      <w:r>
        <w:t xml:space="preserve">Üç adım: 1. Dinle/Oku → 2. Kısaca Düşün (5-10 sn) → 3. Konuş (giriş - örnek - bitiriş).</w:t>
      </w:r>
    </w:p>
    <w:p>
      <w:pPr>
        <w:pStyle w:val="ListParagraph"/>
        <w:numPr>
          <w:ilvl w:val="0"/>
          <w:numId w:val="1"/>
        </w:numPr>
        <w:spacing w:after="60"/>
      </w:pPr>
      <w:r>
        <w:t xml:space="preserve">Hatırlatma: “Hazırlıksız olmak, hiç düşünmemek demek değildir!”</w:t>
      </w:r>
    </w:p>
    <w:p>
      <w:pPr>
        <w:pStyle w:val="ListParagraph"/>
        <w:numPr>
          <w:ilvl w:val="0"/>
          <w:numId w:val="1"/>
        </w:numPr>
        <w:spacing w:after="60"/>
      </w:pPr>
      <w:r>
        <w:t xml:space="preserve">Sonuç genellemesi: “Kısa bir düşünme süresi, hazırlıksız konuşmayı daha kolay ve düzenli hâle getirir.”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 hiç konuşamaz/donarsa:</w:t>
      </w:r>
    </w:p>
    <w:p>
      <w:pPr>
        <w:spacing w:after="120"/>
      </w:pPr>
      <w:r>
        <w:t xml:space="preserve">Öğretmen daha basit, tanıdık bir kart sunar ya da “En son ne zaman oynadın?” gibi somut bir soruyla destekler; süreyi biraz uzatabilir.</w:t>
      </w:r>
    </w:p>
    <w:p>
      <w:pPr>
        <w:pStyle w:val="Heading3"/>
        <w:spacing w:after="90" w:before="180"/>
      </w:pPr>
      <w:r>
        <w:rPr>
          <w:b/>
          <w:bCs/>
          <w:color w:val="1F4E79"/>
        </w:rPr>
        <w:t xml:space="preserve">Eğer öğrenci tek kelimelik yanıt verirse:</w:t>
      </w:r>
    </w:p>
    <w:p>
      <w:pPr>
        <w:spacing w:after="120"/>
      </w:pPr>
      <w:r>
        <w:t xml:space="preserve">Öğretmen “Bir örnek daha ekleyebilir misin?” ya da “Peki neden?” diye destekleyici bir soru sorarak konuşmayı genişletmesine yardımcı olur.</w:t>
      </w:r>
    </w:p>
    <w:p>
      <w:pPr>
        <w:pStyle w:val="Heading3"/>
        <w:spacing w:after="90" w:before="180"/>
      </w:pPr>
      <w:r>
        <w:rPr>
          <w:b/>
          <w:bCs/>
          <w:color w:val="1F4E79"/>
        </w:rPr>
        <w:t xml:space="preserve">Eğer etkinlik beklenenden hızlı biterse:</w:t>
      </w:r>
    </w:p>
    <w:p>
      <w:pPr>
        <w:spacing w:after="120"/>
      </w:pPr>
      <w:r>
        <w:t xml:space="preserve">Zenginleştirme görevine geçilir: akran geri bildirimi ya da daha açık uçlu bir kartla ikinci bir tur yapılır.</w:t>
      </w:r>
    </w:p>
    <w:p>
      <w:pPr>
        <w:pStyle w:val="Heading3"/>
        <w:spacing w:after="90" w:before="180"/>
      </w:pPr>
      <w:r>
        <w:rPr>
          <w:b/>
          <w:bCs/>
          <w:color w:val="1F4E79"/>
        </w:rPr>
        <w:t xml:space="preserve">Eğer etkinlik beklenenden uzun sürerse:</w:t>
      </w:r>
    </w:p>
    <w:p>
      <w:pPr>
        <w:spacing w:after="120"/>
      </w:pPr>
      <w:r>
        <w:t xml:space="preserve">Sınıfın tamamı yerine yalnızca birkaç öğrenci sınıfın önünde konuşur, diğerleri eşiyle küçük grupta uygular.</w:t>
      </w:r>
    </w:p>
    <w:p>
      <w:pPr>
        <w:pStyle w:val="Heading3"/>
        <w:spacing w:after="90" w:before="180"/>
      </w:pPr>
      <w:r>
        <w:rPr>
          <w:b/>
          <w:bCs/>
          <w:color w:val="1F4E79"/>
        </w:rPr>
        <w:t xml:space="preserve">Eğer öğrenciler birbirine gülme/alay etme eğilimi gösterirse:</w:t>
      </w:r>
    </w:p>
    <w:p>
      <w:pPr>
        <w:spacing w:after="120"/>
      </w:pPr>
      <w:r>
        <w:t xml:space="preserve">Öğretmen baştan “Herkesin konuşması farklı olabilir, burada birbirimize saygılı dinleyici oluyoruz” kuralını hatırlatır.</w:t>
      </w:r>
    </w:p>
    <w:p>
      <w:pPr>
        <w:pStyle w:val="Heading3"/>
        <w:spacing w:after="90" w:before="180"/>
      </w:pPr>
      <w:r>
        <w:rPr>
          <w:b/>
          <w:bCs/>
          <w:color w:val="1F4E79"/>
        </w:rPr>
        <w:t xml:space="preserve">Eğer öğrenciler arasında seviye farkı yüksekse:</w:t>
      </w:r>
    </w:p>
    <w:p>
      <w:pPr>
        <w:spacing w:after="120"/>
      </w:pPr>
      <w:r>
        <w:t xml:space="preserve">Zorlanan öğrencilere daha kolay kartlar ve daha uzun düşünme süresi tanınır; rahat öğrencilere daha açık uçlu kartlar ve akran geri bildirimi görevi verilir.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kısa bir düşünme süresinin ardından konuya uygun konuşabildi mi?</w:t>
      </w:r>
    </w:p>
    <w:p>
      <w:pPr>
        <w:pStyle w:val="ListParagraph"/>
        <w:numPr>
          <w:ilvl w:val="0"/>
          <w:numId w:val="1"/>
        </w:numPr>
        <w:spacing w:after="60"/>
      </w:pPr>
      <w:r>
        <w:t xml:space="preserve">Tek kelimelik yanıt veren ya da donan öğrenci sayısı fazla mıydı?</w:t>
      </w:r>
    </w:p>
    <w:p>
      <w:pPr>
        <w:pStyle w:val="ListParagraph"/>
        <w:numPr>
          <w:ilvl w:val="0"/>
          <w:numId w:val="1"/>
        </w:numPr>
        <w:spacing w:after="60"/>
      </w:pPr>
      <w:r>
        <w:t xml:space="preserve">Öğrenciler öz değerlendirme aşamasında kendi deneyimlerini gerçekçi biçimde yansıtabildi mi?</w:t>
      </w:r>
    </w:p>
    <w:p>
      <w:pPr>
        <w:pStyle w:val="ListParagraph"/>
        <w:numPr>
          <w:ilvl w:val="0"/>
          <w:numId w:val="1"/>
        </w:numPr>
        <w:spacing w:after="60"/>
      </w:pPr>
      <w:r>
        <w:t xml:space="preserve">T.K.5.7.’nin hangi göstergesi yeterince gözlenemedi?</w:t>
      </w:r>
    </w:p>
    <w:p>
      <w:pPr>
        <w:pStyle w:val="ListParagraph"/>
        <w:numPr>
          <w:ilvl w:val="0"/>
          <w:numId w:val="1"/>
        </w:numPr>
        <w:spacing w:after="60"/>
      </w:pPr>
      <w:r>
        <w:t xml:space="preserve">Bir sonraki derste (T.K.5.8. — sesini uygun şekilde kullanma gibi ilişkili bir çıktıya geçilecekse) bu dersteki beceri nasıl köprülenebilir?</w:t>
      </w:r>
    </w:p>
    <w:p>
      <w:pPr>
        <w:pStyle w:val="Heading1"/>
        <w:spacing w:after="150" w:before="300"/>
      </w:pPr>
      <w:r>
        <w:rPr>
          <w:b/>
          <w:bCs/>
        </w:rPr>
        <w:t xml:space="preserve">15. Evde Öğrenme / Ders Dışı Bağlantı</w:t>
      </w:r>
    </w:p>
    <w:p>
      <w:pPr>
        <w:spacing w:after="120"/>
      </w:pPr>
      <w:r>
        <w:t xml:space="preserve">Öğrenci evde bir aile üyesinin kendisine sorduğu ani bir soruya (örn. “Bugün okulda en çok neyi sevdin?”) kısa bir düşünmenin ardından hazırlıksız yanıt verir ve bu deneyimin nasıl geçtiğini bir cümleyle not eder. Bu görev, sınıfta öğrenilen hazırlıksız konuşma becerisini gerçek yaşam iletişim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T.K.5.7. Hazırlıksız konuşma yapabilme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Öğretmen bir kartla örnek hazırlıksız konuşma yapar.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Dinle/Oku – Kısaca Düşün – Konuş adımlarını tanıt, bir kartta modelle.</w:t>
            </w:r>
          </w:p>
        </w:tc>
      </w:tr>
      <w:tr>
        <w:tc>
          <w:tcPr>
            <w:tcW w:type="dxa" w:w="2600"/>
            <w:tcMar>
              <w:top w:type="dxa" w:w="80"/>
              <w:left w:type="dxa" w:w="100"/>
              <w:bottom w:type="dxa" w:w="80"/>
              <w:right w:type="dxa" w:w="100"/>
            </w:tcMar>
          </w:tcPr>
          <w:p>
            <w:r>
              <w:t xml:space="preserve">3. Uygulama (18 dk)</w:t>
            </w:r>
          </w:p>
        </w:tc>
        <w:tc>
          <w:tcPr>
            <w:tcW w:type="dxa" w:w="6760"/>
            <w:tcMar>
              <w:top w:type="dxa" w:w="80"/>
              <w:left w:type="dxa" w:w="100"/>
              <w:bottom w:type="dxa" w:w="80"/>
              <w:right w:type="dxa" w:w="100"/>
            </w:tcMar>
          </w:tcPr>
          <w:p>
            <w:r>
              <w:t xml:space="preserve">Kart çektir → 10 sn düşünme + 30-45 sn hazırlıksız konuşma yaptır.</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Deneyimleri paylaştır → öz değerlendirme formunu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Öğretmen gözlemi (süreç içi) + öz değerlendirme formu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Kolay kartlar, uzatılmış düşünme süresi, hatırlatma kartı</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Açık uçlu kartlar, akran geri bildirimi</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Kartlar örnektir; farklı konularla uygulanabilir. Sesin kullanımı ve beden dili bu dersin odağı değildir.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8443d222c600f1c2f38e1d9209030b2d7ed9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2026-09-26T14:06:15.421Z</dcterms:created>
  <dcterms:modified xsi:type="dcterms:W3CDTF">2026-09-26T14:06:15.432Z</dcterms:modified>
</cp:coreProperties>
</file>

<file path=docProps/custom.xml><?xml version="1.0" encoding="utf-8"?>
<Properties xmlns="http://schemas.openxmlformats.org/officeDocument/2006/custom-properties" xmlns:vt="http://schemas.openxmlformats.org/officeDocument/2006/docPropsVTypes"/>
</file>