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457C5"/>
          <w:sz w:val="20"/>
        </w:rPr>
        <w:t>CONFIGURABLE DISPOSITION INTELLIGENCE PLATFORM</w:t>
      </w:r>
    </w:p>
    <w:p>
      <w:pPr>
        <w:pStyle w:val="Title"/>
      </w:pPr>
      <w:r>
        <w:t>JSON Configuration Guide</w:t>
      </w:r>
    </w:p>
    <w:p>
      <w:r>
        <w:rPr>
          <w:color w:val="64748B"/>
          <w:sz w:val="24"/>
        </w:rPr>
        <w:t>Authoring standard for onboarding new tenants and use cases without runtime code changes.</w:t>
      </w:r>
    </w:p>
    <w:p/>
    <w:tbl>
      <w:tblPr>
        <w:tblStyle w:val="TableGrid"/>
        <w:tblW w:type="auto" w:w="0"/>
        <w:jc w:val="left"/>
        <w:tblLook w:firstColumn="1" w:firstRow="1" w:lastColumn="0" w:lastRow="0" w:noHBand="0" w:noVBand="1" w:val="04A0"/>
      </w:tblPr>
      <w:tblGrid>
        <w:gridCol w:w="4320"/>
        <w:gridCol w:w="4320"/>
      </w:tblGrid>
      <w:tr>
        <w:tc>
          <w:tcPr>
            <w:tcW w:type="dxa" w:w="4320"/>
            <w:shd w:fill="EEF2FF"/>
            <w:vAlign w:val="center"/>
            <w:tcBorders>
              <w:top w:sz="4" w:val="single" w:color="CBD5E1"/>
              <w:left w:sz="4" w:val="single" w:color="CBD5E1"/>
              <w:bottom w:sz="4" w:val="single" w:color="CBD5E1"/>
              <w:right w:sz="4" w:val="single" w:color="CBD5E1"/>
            </w:tcBorders>
          </w:tcPr>
          <w:p>
            <w:r>
              <w:rPr>
                <w:b/>
              </w:rPr>
              <w:t>Document ID</w:t>
            </w:r>
          </w:p>
        </w:tc>
        <w:tc>
          <w:tcPr>
            <w:tcW w:type="dxa" w:w="4320"/>
            <w:vAlign w:val="center"/>
            <w:tcBorders>
              <w:top w:sz="4" w:val="single" w:color="CBD5E1"/>
              <w:left w:sz="4" w:val="single" w:color="CBD5E1"/>
              <w:bottom w:sz="4" w:val="single" w:color="CBD5E1"/>
              <w:right w:sz="4" w:val="single" w:color="CBD5E1"/>
            </w:tcBorders>
          </w:tcPr>
          <w:p>
            <w:r>
              <w:t>CFG-CDIP-001</w:t>
            </w:r>
          </w:p>
        </w:tc>
      </w:tr>
      <w:tr>
        <w:tc>
          <w:tcPr>
            <w:tcW w:type="dxa" w:w="4320"/>
            <w:shd w:fill="EEF2FF"/>
            <w:vAlign w:val="center"/>
            <w:tcBorders>
              <w:top w:sz="4" w:val="single" w:color="CBD5E1"/>
              <w:left w:sz="4" w:val="single" w:color="CBD5E1"/>
              <w:bottom w:sz="4" w:val="single" w:color="CBD5E1"/>
              <w:right w:sz="4" w:val="single" w:color="CBD5E1"/>
            </w:tcBorders>
          </w:tcPr>
          <w:p>
            <w:r>
              <w:rPr>
                <w:b/>
              </w:rPr>
              <w:t>Version</w:t>
            </w:r>
          </w:p>
        </w:tc>
        <w:tc>
          <w:tcPr>
            <w:tcW w:type="dxa" w:w="4320"/>
            <w:vAlign w:val="center"/>
            <w:tcBorders>
              <w:top w:sz="4" w:val="single" w:color="CBD5E1"/>
              <w:left w:sz="4" w:val="single" w:color="CBD5E1"/>
              <w:bottom w:sz="4" w:val="single" w:color="CBD5E1"/>
              <w:right w:sz="4" w:val="single" w:color="CBD5E1"/>
            </w:tcBorders>
          </w:tcPr>
          <w:p>
            <w:r>
              <w:t>1.0</w:t>
            </w:r>
          </w:p>
        </w:tc>
      </w:tr>
      <w:tr>
        <w:tc>
          <w:tcPr>
            <w:tcW w:type="dxa" w:w="4320"/>
            <w:shd w:fill="EEF2FF"/>
            <w:vAlign w:val="center"/>
            <w:tcBorders>
              <w:top w:sz="4" w:val="single" w:color="CBD5E1"/>
              <w:left w:sz="4" w:val="single" w:color="CBD5E1"/>
              <w:bottom w:sz="4" w:val="single" w:color="CBD5E1"/>
              <w:right w:sz="4" w:val="single" w:color="CBD5E1"/>
            </w:tcBorders>
          </w:tcPr>
          <w:p>
            <w:r>
              <w:rPr>
                <w:b/>
              </w:rPr>
              <w:t>Status</w:t>
            </w:r>
          </w:p>
        </w:tc>
        <w:tc>
          <w:tcPr>
            <w:tcW w:type="dxa" w:w="4320"/>
            <w:vAlign w:val="center"/>
            <w:tcBorders>
              <w:top w:sz="4" w:val="single" w:color="CBD5E1"/>
              <w:left w:sz="4" w:val="single" w:color="CBD5E1"/>
              <w:bottom w:sz="4" w:val="single" w:color="CBD5E1"/>
              <w:right w:sz="4" w:val="single" w:color="CBD5E1"/>
            </w:tcBorders>
          </w:tcPr>
          <w:p>
            <w:r>
              <w:t>Proposed baseline</w:t>
            </w:r>
          </w:p>
        </w:tc>
      </w:tr>
      <w:tr>
        <w:tc>
          <w:tcPr>
            <w:tcW w:type="dxa" w:w="4320"/>
            <w:shd w:fill="EEF2FF"/>
            <w:vAlign w:val="center"/>
            <w:tcBorders>
              <w:top w:sz="4" w:val="single" w:color="CBD5E1"/>
              <w:left w:sz="4" w:val="single" w:color="CBD5E1"/>
              <w:bottom w:sz="4" w:val="single" w:color="CBD5E1"/>
              <w:right w:sz="4" w:val="single" w:color="CBD5E1"/>
            </w:tcBorders>
          </w:tcPr>
          <w:p>
            <w:r>
              <w:rPr>
                <w:b/>
              </w:rPr>
              <w:t>Design principle</w:t>
            </w:r>
          </w:p>
        </w:tc>
        <w:tc>
          <w:tcPr>
            <w:tcW w:type="dxa" w:w="4320"/>
            <w:vAlign w:val="center"/>
            <w:tcBorders>
              <w:top w:sz="4" w:val="single" w:color="CBD5E1"/>
              <w:left w:sz="4" w:val="single" w:color="CBD5E1"/>
              <w:bottom w:sz="4" w:val="single" w:color="CBD5E1"/>
              <w:right w:sz="4" w:val="single" w:color="CBD5E1"/>
            </w:tcBorders>
          </w:tcPr>
          <w:p>
            <w:r>
              <w:t>New tenants and use cases are onboarded through versioned JSON configuration; the shared runtime does not require use-case-specific code changes.</w:t>
            </w:r>
          </w:p>
        </w:tc>
      </w:tr>
    </w:tbl>
    <w:p/>
    <w:p>
      <w:pPr>
        <w:pStyle w:val="SmallNote"/>
      </w:pPr>
      <w:r>
        <w:t>Scope note: This specification is intentionally tenant-neutral and use-case-neutral. Business semantics, naming conventions, taxonomies, priorities, thresholds, and mappings are supplied by configuration.</w:t>
      </w:r>
    </w:p>
    <w:p>
      <w:r>
        <w:br w:type="page"/>
      </w:r>
    </w:p>
    <w:p>
      <w:pPr>
        <w:pStyle w:val="Heading1"/>
      </w:pPr>
      <w:r>
        <w:t>Contents</w:t>
      </w:r>
    </w:p>
    <w:p>
      <w:r>
        <w:rPr>
          <w:b/>
          <w:color w:val="1E293B"/>
        </w:rPr>
        <w:t>1. Configuration Philosophy</w:t>
      </w:r>
    </w:p>
    <w:p>
      <w:r>
        <w:rPr>
          <w:b/>
          <w:color w:val="1E293B"/>
        </w:rPr>
        <w:t>2. Files and Source of Truth</w:t>
      </w:r>
    </w:p>
    <w:p>
      <w:r>
        <w:rPr>
          <w:b/>
          <w:color w:val="1E293B"/>
        </w:rPr>
        <w:t>3. Recommended Authoring Workflow</w:t>
      </w:r>
    </w:p>
    <w:p>
      <w:r>
        <w:rPr>
          <w:b/>
          <w:color w:val="1E293B"/>
        </w:rPr>
        <w:t>4. Top-Level Structure</w:t>
      </w:r>
    </w:p>
    <w:p>
      <w:r>
        <w:rPr>
          <w:b/>
          <w:color w:val="1E293B"/>
        </w:rPr>
        <w:t>5. Identity and Input Mapping</w:t>
      </w:r>
    </w:p>
    <w:p>
      <w:r>
        <w:rPr>
          <w:b/>
          <w:color w:val="1E293B"/>
        </w:rPr>
        <w:t>6. Provider and Runtime</w:t>
      </w:r>
    </w:p>
    <w:p>
      <w:r>
        <w:rPr>
          <w:b/>
          <w:color w:val="1E293B"/>
        </w:rPr>
        <w:t>7. Terminology</w:t>
      </w:r>
    </w:p>
    <w:p>
      <w:r>
        <w:rPr>
          <w:b/>
          <w:color w:val="1E293B"/>
        </w:rPr>
        <w:t>8. Deterministic Front Gates</w:t>
      </w:r>
    </w:p>
    <w:p>
      <w:r>
        <w:rPr>
          <w:b/>
          <w:color w:val="1E293B"/>
        </w:rPr>
        <w:t>9. Designing Jev Questions</w:t>
      </w:r>
    </w:p>
    <w:p>
      <w:r>
        <w:rPr>
          <w:b/>
          <w:color w:val="1E293B"/>
        </w:rPr>
        <w:t>10. Designing the Taxonomy</w:t>
      </w:r>
    </w:p>
    <w:p>
      <w:r>
        <w:rPr>
          <w:b/>
          <w:color w:val="1E293B"/>
        </w:rPr>
        <w:t>11. Resolver Rules</w:t>
      </w:r>
    </w:p>
    <w:p>
      <w:r>
        <w:rPr>
          <w:b/>
          <w:color w:val="1E293B"/>
        </w:rPr>
        <w:t>12. Confidence and Aggregation</w:t>
      </w:r>
    </w:p>
    <w:p>
      <w:r>
        <w:rPr>
          <w:b/>
          <w:color w:val="1E293B"/>
        </w:rPr>
        <w:t>13. Output Mapping</w:t>
      </w:r>
    </w:p>
    <w:p>
      <w:r>
        <w:rPr>
          <w:b/>
          <w:color w:val="1E293B"/>
        </w:rPr>
        <w:t>14. Observability and Deployment Policy</w:t>
      </w:r>
    </w:p>
    <w:p>
      <w:r>
        <w:rPr>
          <w:b/>
          <w:color w:val="1E293B"/>
        </w:rPr>
        <w:t>15. Validation and Linting</w:t>
      </w:r>
    </w:p>
    <w:p>
      <w:r>
        <w:rPr>
          <w:b/>
          <w:color w:val="1E293B"/>
        </w:rPr>
        <w:t>16. Fixture Design and Release Testing</w:t>
      </w:r>
    </w:p>
    <w:p>
      <w:r>
        <w:rPr>
          <w:b/>
          <w:color w:val="1E293B"/>
        </w:rPr>
        <w:t>17. Versioning and Rollback</w:t>
      </w:r>
    </w:p>
    <w:p>
      <w:r>
        <w:rPr>
          <w:b/>
          <w:color w:val="1E293B"/>
        </w:rPr>
        <w:t>18. Anti-Patterns</w:t>
      </w:r>
    </w:p>
    <w:p>
      <w:r>
        <w:rPr>
          <w:b/>
          <w:color w:val="1E293B"/>
        </w:rPr>
        <w:t>19. Onboarding Checklist</w:t>
      </w:r>
    </w:p>
    <w:p>
      <w:r>
        <w:rPr>
          <w:b/>
          <w:color w:val="1E293B"/>
        </w:rPr>
        <w:t>20. Reference Files</w:t>
      </w:r>
    </w:p>
    <w:p>
      <w:r>
        <w:rPr>
          <w:b/>
          <w:color w:val="1E293B"/>
        </w:rPr>
        <w:t>21. References</w:t>
      </w:r>
    </w:p>
    <w:p>
      <w:r>
        <w:br w:type="page"/>
      </w:r>
    </w:p>
    <w:p>
      <w:pPr>
        <w:pStyle w:val="Heading1"/>
      </w:pPr>
      <w:r>
        <w:t>1. Configuration Philosophy</w:t>
      </w:r>
    </w:p>
    <w:p>
      <w:r>
        <w:t>The JSON configuration is a policy artifact, not an application script. It declares what the use case means and how typed semantic evidence maps to customer-facing outcomes. The shared platform owns execution mechanics.</w:t>
      </w:r>
    </w:p>
    <w:tbl>
      <w:tblPr>
        <w:tblW w:type="auto" w:w="0"/>
        <w:jc w:val="center"/>
        <w:tblLook w:firstColumn="1" w:firstRow="1" w:lastColumn="0" w:lastRow="0" w:noHBand="0" w:noVBand="1" w:val="04A0"/>
      </w:tblPr>
      <w:tblGrid>
        <w:gridCol w:w="8640"/>
      </w:tblGrid>
      <w:tr>
        <w:tc>
          <w:tcPr>
            <w:tcW w:type="dxa" w:w="8640"/>
            <w:shd w:fill="ECFDF5"/>
            <w:tcBorders>
              <w:top w:sz="0" w:val="nil" w:color="ECFDF5"/>
              <w:left w:sz="18" w:val="single" w:color="15803D"/>
              <w:bottom w:sz="0" w:val="nil" w:color="ECFDF5"/>
              <w:right w:sz="0" w:val="nil" w:color="ECFDF5"/>
            </w:tcBorders>
          </w:tcPr>
          <w:p>
            <w:r>
              <w:rPr>
                <w:b/>
                <w:color w:val="15803D"/>
              </w:rPr>
              <w:t xml:space="preserve">Best practice  </w:t>
            </w:r>
            <w:r>
              <w:t>Keep canonical semantic question IDs stable and neutral. Put customer-specific names and codes in `taxonomy`, terminology in `terminology`, and precedence in `resolver`.</w:t>
            </w:r>
          </w:p>
        </w:tc>
      </w:tr>
    </w:tbl>
    <w:p>
      <w:pPr>
        <w:spacing w:after="20"/>
      </w:pPr>
    </w:p>
    <w:tbl>
      <w:tblPr>
        <w:tblStyle w:val="TableGrid"/>
        <w:tblW w:type="auto" w:w="0"/>
        <w:jc w:val="center"/>
        <w:tblLook w:firstColumn="1" w:firstRow="1" w:lastColumn="0" w:lastRow="0" w:noHBand="0" w:noVBand="1" w:val="04A0"/>
      </w:tblPr>
      <w:tblGrid>
        <w:gridCol w:w="4320"/>
        <w:gridCol w:w="4320"/>
      </w:tblGrid>
      <w:tr>
        <w:trPr>
          <w:tblHeader w:val="true"/>
          <w:cantSplit/>
        </w:trPr>
        <w:tc>
          <w:tcPr>
            <w:tcW w:type="dxa" w:w="4896"/>
            <w:shd w:fill="EEF2FF"/>
          </w:tcPr>
          <w:p>
            <w:r>
              <w:rPr>
                <w:b/>
                <w:color w:val="1E293B"/>
                <w:sz w:val="16"/>
              </w:rPr>
              <w:t>Put in JSON</w:t>
            </w:r>
          </w:p>
        </w:tc>
        <w:tc>
          <w:tcPr>
            <w:tcW w:type="dxa" w:w="4896"/>
            <w:shd w:fill="EEF2FF"/>
          </w:tcPr>
          <w:p>
            <w:r>
              <w:rPr>
                <w:b/>
                <w:color w:val="1E293B"/>
                <w:sz w:val="16"/>
              </w:rPr>
              <w:t>Keep in platform code/infrastructure</w:t>
            </w:r>
          </w:p>
        </w:tc>
      </w:tr>
      <w:tr>
        <w:trPr>
          <w:cantSplit/>
        </w:trPr>
        <w:tc>
          <w:tcPr>
            <w:tcW w:type="dxa" w:w="4896"/>
            <w:vAlign w:val="top"/>
            <w:tcBorders>
              <w:top w:sz="3" w:val="single" w:color="CBD5E1"/>
              <w:left w:sz="3" w:val="single" w:color="CBD5E1"/>
              <w:bottom w:sz="3" w:val="single" w:color="CBD5E1"/>
              <w:right w:sz="3" w:val="single" w:color="CBD5E1"/>
            </w:tcBorders>
          </w:tcPr>
          <w:p>
            <w:pPr>
              <w:spacing w:after="20"/>
            </w:pPr>
            <w:r>
              <w:rPr>
                <w:sz w:val="16"/>
              </w:rPr>
              <w:t>Tenant/use-case identity</w:t>
            </w:r>
          </w:p>
        </w:tc>
        <w:tc>
          <w:tcPr>
            <w:tcW w:type="dxa" w:w="4896"/>
            <w:vAlign w:val="top"/>
            <w:tcBorders>
              <w:top w:sz="3" w:val="single" w:color="CBD5E1"/>
              <w:left w:sz="3" w:val="single" w:color="CBD5E1"/>
              <w:bottom w:sz="3" w:val="single" w:color="CBD5E1"/>
              <w:right w:sz="3" w:val="single" w:color="CBD5E1"/>
            </w:tcBorders>
          </w:tcPr>
          <w:p>
            <w:pPr>
              <w:spacing w:after="20"/>
            </w:pPr>
            <w:r>
              <w:rPr>
                <w:sz w:val="16"/>
              </w:rPr>
              <w:t>HTTP server, authentication, database drivers</w:t>
            </w:r>
          </w:p>
        </w:tc>
      </w:tr>
      <w:tr>
        <w:trPr>
          <w:cantSplit/>
        </w:trPr>
        <w:tc>
          <w:tcPr>
            <w:tcW w:type="dxa" w:w="4896"/>
            <w:vAlign w:val="top"/>
            <w:tcBorders>
              <w:top w:sz="3" w:val="single" w:color="CBD5E1"/>
              <w:left w:sz="3" w:val="single" w:color="CBD5E1"/>
              <w:bottom w:sz="3" w:val="single" w:color="CBD5E1"/>
              <w:right w:sz="3" w:val="single" w:color="CBD5E1"/>
            </w:tcBorders>
          </w:tcPr>
          <w:p>
            <w:pPr>
              <w:spacing w:after="20"/>
            </w:pPr>
            <w:r>
              <w:rPr>
                <w:sz w:val="16"/>
              </w:rPr>
              <w:t>Input paths and speaker labels</w:t>
            </w:r>
          </w:p>
        </w:tc>
        <w:tc>
          <w:tcPr>
            <w:tcW w:type="dxa" w:w="4896"/>
            <w:vAlign w:val="top"/>
            <w:tcBorders>
              <w:top w:sz="3" w:val="single" w:color="CBD5E1"/>
              <w:left w:sz="3" w:val="single" w:color="CBD5E1"/>
              <w:bottom w:sz="3" w:val="single" w:color="CBD5E1"/>
              <w:right w:sz="3" w:val="single" w:color="CBD5E1"/>
            </w:tcBorders>
          </w:tcPr>
          <w:p>
            <w:pPr>
              <w:spacing w:after="20"/>
            </w:pPr>
            <w:r>
              <w:rPr>
                <w:sz w:val="16"/>
              </w:rPr>
              <w:t>Tokenization implementation</w:t>
            </w:r>
          </w:p>
        </w:tc>
      </w:tr>
      <w:tr>
        <w:trPr>
          <w:cantSplit/>
        </w:trPr>
        <w:tc>
          <w:tcPr>
            <w:tcW w:type="dxa" w:w="4896"/>
            <w:vAlign w:val="top"/>
            <w:tcBorders>
              <w:top w:sz="3" w:val="single" w:color="CBD5E1"/>
              <w:left w:sz="3" w:val="single" w:color="CBD5E1"/>
              <w:bottom w:sz="3" w:val="single" w:color="CBD5E1"/>
              <w:right w:sz="3" w:val="single" w:color="CBD5E1"/>
            </w:tcBorders>
          </w:tcPr>
          <w:p>
            <w:pPr>
              <w:spacing w:after="20"/>
            </w:pPr>
            <w:r>
              <w:rPr>
                <w:sz w:val="16"/>
              </w:rPr>
              <w:t>Domain aliases and terminology</w:t>
            </w:r>
          </w:p>
        </w:tc>
        <w:tc>
          <w:tcPr>
            <w:tcW w:type="dxa" w:w="4896"/>
            <w:vAlign w:val="top"/>
            <w:tcBorders>
              <w:top w:sz="3" w:val="single" w:color="CBD5E1"/>
              <w:left w:sz="3" w:val="single" w:color="CBD5E1"/>
              <w:bottom w:sz="3" w:val="single" w:color="CBD5E1"/>
              <w:right w:sz="3" w:val="single" w:color="CBD5E1"/>
            </w:tcBorders>
          </w:tcPr>
          <w:p>
            <w:pPr>
              <w:spacing w:after="20"/>
            </w:pPr>
            <w:r>
              <w:rPr>
                <w:sz w:val="16"/>
              </w:rPr>
              <w:t>Provider authentication and secret handling</w:t>
            </w:r>
          </w:p>
        </w:tc>
      </w:tr>
      <w:tr>
        <w:trPr>
          <w:cantSplit/>
        </w:trPr>
        <w:tc>
          <w:tcPr>
            <w:tcW w:type="dxa" w:w="4896"/>
            <w:vAlign w:val="top"/>
            <w:tcBorders>
              <w:top w:sz="3" w:val="single" w:color="CBD5E1"/>
              <w:left w:sz="3" w:val="single" w:color="CBD5E1"/>
              <w:bottom w:sz="3" w:val="single" w:color="CBD5E1"/>
              <w:right w:sz="3" w:val="single" w:color="CBD5E1"/>
            </w:tcBorders>
          </w:tcPr>
          <w:p>
            <w:pPr>
              <w:spacing w:after="20"/>
            </w:pPr>
            <w:r>
              <w:rPr>
                <w:sz w:val="16"/>
              </w:rPr>
              <w:t>Noul / Choice / Score question definitions</w:t>
            </w:r>
          </w:p>
        </w:tc>
        <w:tc>
          <w:tcPr>
            <w:tcW w:type="dxa" w:w="4896"/>
            <w:vAlign w:val="top"/>
            <w:tcBorders>
              <w:top w:sz="3" w:val="single" w:color="CBD5E1"/>
              <w:left w:sz="3" w:val="single" w:color="CBD5E1"/>
              <w:bottom w:sz="3" w:val="single" w:color="CBD5E1"/>
              <w:right w:sz="3" w:val="single" w:color="CBD5E1"/>
            </w:tcBorders>
          </w:tcPr>
          <w:p>
            <w:pPr>
              <w:spacing w:after="20"/>
            </w:pPr>
            <w:r>
              <w:rPr>
                <w:sz w:val="16"/>
              </w:rPr>
              <w:t>Chunking algorithm implementation</w:t>
            </w:r>
          </w:p>
        </w:tc>
      </w:tr>
      <w:tr>
        <w:trPr>
          <w:cantSplit/>
        </w:trPr>
        <w:tc>
          <w:tcPr>
            <w:tcW w:type="dxa" w:w="4896"/>
            <w:vAlign w:val="top"/>
            <w:tcBorders>
              <w:top w:sz="3" w:val="single" w:color="CBD5E1"/>
              <w:left w:sz="3" w:val="single" w:color="CBD5E1"/>
              <w:bottom w:sz="3" w:val="single" w:color="CBD5E1"/>
              <w:right w:sz="3" w:val="single" w:color="CBD5E1"/>
            </w:tcBorders>
          </w:tcPr>
          <w:p>
            <w:pPr>
              <w:spacing w:after="20"/>
            </w:pPr>
            <w:r>
              <w:rPr>
                <w:sz w:val="16"/>
              </w:rPr>
              <w:t>Taxonomy codes, names, hierarchy and flags</w:t>
            </w:r>
          </w:p>
        </w:tc>
        <w:tc>
          <w:tcPr>
            <w:tcW w:type="dxa" w:w="4896"/>
            <w:vAlign w:val="top"/>
            <w:tcBorders>
              <w:top w:sz="3" w:val="single" w:color="CBD5E1"/>
              <w:left w:sz="3" w:val="single" w:color="CBD5E1"/>
              <w:bottom w:sz="3" w:val="single" w:color="CBD5E1"/>
              <w:right w:sz="3" w:val="single" w:color="CBD5E1"/>
            </w:tcBorders>
          </w:tcPr>
          <w:p>
            <w:pPr>
              <w:spacing w:after="20"/>
            </w:pPr>
            <w:r>
              <w:rPr>
                <w:sz w:val="16"/>
              </w:rPr>
              <w:t>Rule engine implementation</w:t>
            </w:r>
          </w:p>
        </w:tc>
      </w:tr>
      <w:tr>
        <w:trPr>
          <w:cantSplit/>
        </w:trPr>
        <w:tc>
          <w:tcPr>
            <w:tcW w:type="dxa" w:w="4896"/>
            <w:vAlign w:val="top"/>
            <w:tcBorders>
              <w:top w:sz="3" w:val="single" w:color="CBD5E1"/>
              <w:left w:sz="3" w:val="single" w:color="CBD5E1"/>
              <w:bottom w:sz="3" w:val="single" w:color="CBD5E1"/>
              <w:right w:sz="3" w:val="single" w:color="CBD5E1"/>
            </w:tcBorders>
          </w:tcPr>
          <w:p>
            <w:pPr>
              <w:spacing w:after="20"/>
            </w:pPr>
            <w:r>
              <w:rPr>
                <w:sz w:val="16"/>
              </w:rPr>
              <w:t>Front gates over available metadata</w:t>
            </w:r>
          </w:p>
        </w:tc>
        <w:tc>
          <w:tcPr>
            <w:tcW w:type="dxa" w:w="4896"/>
            <w:vAlign w:val="top"/>
            <w:tcBorders>
              <w:top w:sz="3" w:val="single" w:color="CBD5E1"/>
              <w:left w:sz="3" w:val="single" w:color="CBD5E1"/>
              <w:bottom w:sz="3" w:val="single" w:color="CBD5E1"/>
              <w:right w:sz="3" w:val="single" w:color="CBD5E1"/>
            </w:tcBorders>
          </w:tcPr>
          <w:p>
            <w:pPr>
              <w:spacing w:after="20"/>
            </w:pPr>
            <w:r>
              <w:rPr>
                <w:sz w:val="16"/>
              </w:rPr>
              <w:t>Metrics/tracing libraries</w:t>
            </w:r>
          </w:p>
        </w:tc>
      </w:tr>
      <w:tr>
        <w:trPr>
          <w:cantSplit/>
        </w:trPr>
        <w:tc>
          <w:tcPr>
            <w:tcW w:type="dxa" w:w="4896"/>
            <w:vAlign w:val="top"/>
            <w:tcBorders>
              <w:top w:sz="3" w:val="single" w:color="CBD5E1"/>
              <w:left w:sz="3" w:val="single" w:color="CBD5E1"/>
              <w:bottom w:sz="3" w:val="single" w:color="CBD5E1"/>
              <w:right w:sz="3" w:val="single" w:color="CBD5E1"/>
            </w:tcBorders>
          </w:tcPr>
          <w:p>
            <w:pPr>
              <w:spacing w:after="20"/>
            </w:pPr>
            <w:r>
              <w:rPr>
                <w:sz w:val="16"/>
              </w:rPr>
              <w:t>Rule precedence and thresholds</w:t>
            </w:r>
          </w:p>
        </w:tc>
        <w:tc>
          <w:tcPr>
            <w:tcW w:type="dxa" w:w="4896"/>
            <w:vAlign w:val="top"/>
            <w:tcBorders>
              <w:top w:sz="3" w:val="single" w:color="CBD5E1"/>
              <w:left w:sz="3" w:val="single" w:color="CBD5E1"/>
              <w:bottom w:sz="3" w:val="single" w:color="CBD5E1"/>
              <w:right w:sz="3" w:val="single" w:color="CBD5E1"/>
            </w:tcBorders>
          </w:tcPr>
          <w:p>
            <w:pPr>
              <w:spacing w:after="20"/>
            </w:pPr>
            <w:r>
              <w:rPr>
                <w:sz w:val="16"/>
              </w:rPr>
              <w:t>Retry/circuit-breaker mechanics</w:t>
            </w:r>
          </w:p>
        </w:tc>
      </w:tr>
      <w:tr>
        <w:trPr>
          <w:cantSplit/>
        </w:trPr>
        <w:tc>
          <w:tcPr>
            <w:tcW w:type="dxa" w:w="4896"/>
            <w:vAlign w:val="top"/>
            <w:tcBorders>
              <w:top w:sz="3" w:val="single" w:color="CBD5E1"/>
              <w:left w:sz="3" w:val="single" w:color="CBD5E1"/>
              <w:bottom w:sz="3" w:val="single" w:color="CBD5E1"/>
              <w:right w:sz="3" w:val="single" w:color="CBD5E1"/>
            </w:tcBorders>
          </w:tcPr>
          <w:p>
            <w:pPr>
              <w:spacing w:after="20"/>
            </w:pPr>
            <w:r>
              <w:rPr>
                <w:sz w:val="16"/>
              </w:rPr>
              <w:t>Output field aliases</w:t>
            </w:r>
          </w:p>
        </w:tc>
        <w:tc>
          <w:tcPr>
            <w:tcW w:type="dxa" w:w="4896"/>
            <w:vAlign w:val="top"/>
            <w:tcBorders>
              <w:top w:sz="3" w:val="single" w:color="CBD5E1"/>
              <w:left w:sz="3" w:val="single" w:color="CBD5E1"/>
              <w:bottom w:sz="3" w:val="single" w:color="CBD5E1"/>
              <w:right w:sz="3" w:val="single" w:color="CBD5E1"/>
            </w:tcBorders>
          </w:tcPr>
          <w:p>
            <w:pPr>
              <w:spacing w:after="20"/>
            </w:pPr>
            <w:r>
              <w:rPr>
                <w:sz w:val="16"/>
              </w:rPr>
              <w:t>Security enforcement and resource hard caps</w:t>
            </w:r>
          </w:p>
        </w:tc>
      </w:tr>
    </w:tbl>
    <w:p>
      <w:pPr>
        <w:spacing w:after="20"/>
      </w:pPr>
    </w:p>
    <w:p>
      <w:pPr>
        <w:pStyle w:val="Heading1"/>
      </w:pPr>
      <w:r>
        <w:t>2. Files and Source of Truth</w:t>
      </w:r>
    </w:p>
    <w:p>
      <w:pPr>
        <w:pStyle w:val="ListBullet"/>
        <w:spacing w:after="40"/>
      </w:pPr>
      <w:r>
        <w:t>`config.template.json` - runnable example and recommended starting point.</w:t>
      </w:r>
    </w:p>
    <w:p>
      <w:pPr>
        <w:pStyle w:val="ListBullet"/>
        <w:spacing w:after="40"/>
      </w:pPr>
      <w:r>
        <w:t>`config.schema.json` - machine validation contract for schema version 1.0.0.</w:t>
      </w:r>
    </w:p>
    <w:p>
      <w:pPr>
        <w:pStyle w:val="ListBullet"/>
        <w:spacing w:after="40"/>
      </w:pPr>
      <w:r>
        <w:t>This guide - semantic conventions, design rules, validation expectations, and release workflow.</w:t>
      </w:r>
    </w:p>
    <w:p>
      <w:pPr>
        <w:pStyle w:val="ListBullet"/>
        <w:spacing w:after="40"/>
      </w:pPr>
      <w:r>
        <w:t>Production config registry - immutable versioned source of truth after a config is staged/activated.</w:t>
      </w:r>
    </w:p>
    <w:p>
      <w:r>
        <w:t>Recommended repository convention:</w:t>
      </w:r>
    </w:p>
    <w:p>
      <w:pPr>
        <w:pStyle w:val="CodeBlock"/>
        <w:shd w:fill="F8FAFC"/>
        <w:pBdr>
          <w:bottom w:val="single" w:sz="4" w:space="1" w:color="CBD5E1"/>
        </w:pBdr>
      </w:pPr>
      <w:r>
        <w:t>configs/</w:t>
        <w:br/>
        <w:t xml:space="preserve">  &lt;tenant_id&gt;/</w:t>
        <w:br/>
        <w:t xml:space="preserve">    &lt;use_case_id&gt;/</w:t>
        <w:br/>
        <w:t xml:space="preserve">      v001.json</w:t>
        <w:br/>
        <w:t xml:space="preserve">      fixtures/</w:t>
        <w:br/>
        <w:t xml:space="preserve">        happy_path.jsonl</w:t>
        <w:br/>
        <w:t xml:space="preserve">        boundaries.jsonl</w:t>
        <w:br/>
        <w:t xml:space="preserve">        regressions.jsonl</w:t>
      </w:r>
    </w:p>
    <w:p>
      <w:pPr>
        <w:pStyle w:val="Heading1"/>
      </w:pPr>
      <w:r>
        <w:t>3. Recommended Authoring Workflow</w:t>
      </w:r>
    </w:p>
    <w:p>
      <w:pPr>
        <w:pStyle w:val="ListNumber"/>
        <w:spacing w:after="40"/>
      </w:pPr>
      <w:r>
        <w:t>Start from `config.template.json` rather than a previous tenant configuration.</w:t>
      </w:r>
    </w:p>
    <w:p>
      <w:pPr>
        <w:pStyle w:val="ListNumber"/>
        <w:spacing w:after="40"/>
      </w:pPr>
      <w:r>
        <w:t>Write the taxonomy and business definitions before writing model questions.</w:t>
      </w:r>
    </w:p>
    <w:p>
      <w:pPr>
        <w:pStyle w:val="ListNumber"/>
        <w:spacing w:after="40"/>
      </w:pPr>
      <w:r>
        <w:t>Identify which outcomes can be resolved from authoritative metadata and encode those as front gates.</w:t>
      </w:r>
    </w:p>
    <w:p>
      <w:pPr>
        <w:pStyle w:val="ListNumber"/>
        <w:spacing w:after="40"/>
      </w:pPr>
      <w:r>
        <w:t>Decompose remaining ambiguous semantic decisions into the smallest useful Noul/Choice/Score questions.</w:t>
      </w:r>
    </w:p>
    <w:p>
      <w:pPr>
        <w:pStyle w:val="ListNumber"/>
        <w:spacing w:after="40"/>
      </w:pPr>
      <w:r>
        <w:t>Write deterministic precedence rules that refer to those signals.</w:t>
      </w:r>
    </w:p>
    <w:p>
      <w:pPr>
        <w:pStyle w:val="ListNumber"/>
        <w:spacing w:after="40"/>
      </w:pPr>
      <w:r>
        <w:t>Set conservative thresholds and an explicit review/default outcome.</w:t>
      </w:r>
    </w:p>
    <w:p>
      <w:pPr>
        <w:pStyle w:val="ListNumber"/>
        <w:spacing w:after="40"/>
      </w:pPr>
      <w:r>
        <w:t>Create labeled fixtures for every code and every confusing boundary pair.</w:t>
      </w:r>
    </w:p>
    <w:p>
      <w:pPr>
        <w:pStyle w:val="ListNumber"/>
        <w:spacing w:after="40"/>
      </w:pPr>
      <w:r>
        <w:t>Validate schema and semantic references locally/CI.</w:t>
      </w:r>
    </w:p>
    <w:p>
      <w:pPr>
        <w:pStyle w:val="ListNumber"/>
        <w:spacing w:after="40"/>
      </w:pPr>
      <w:r>
        <w:t>Replay candidate configuration, then shadow against production traffic before activation.</w:t>
      </w:r>
    </w:p>
    <w:p>
      <w:pPr>
        <w:pStyle w:val="ListNumber"/>
        <w:spacing w:after="40"/>
      </w:pPr>
      <w:r>
        <w:t>Iterate by publishing a new immutable version; never edit an active version in place.</w:t>
      </w:r>
    </w:p>
    <w:p>
      <w:pPr>
        <w:pStyle w:val="Heading1"/>
      </w:pPr>
      <w:r>
        <w:t>4. Top-Level Structure</w:t>
      </w:r>
    </w:p>
    <w:p>
      <w:pPr>
        <w:pStyle w:val="CodeBlock"/>
        <w:shd w:fill="F8FAFC"/>
        <w:pBdr>
          <w:bottom w:val="single" w:sz="4" w:space="1" w:color="CBD5E1"/>
        </w:pBdr>
      </w:pPr>
      <w:r>
        <w:t>{</w:t>
        <w:br/>
        <w:t xml:space="preserve">  "schema_version": "1.0.0",</w:t>
        <w:br/>
        <w:t xml:space="preserve">  "config_id": "tenant.use_case",</w:t>
        <w:br/>
        <w:t xml:space="preserve">  "version": 1,</w:t>
        <w:br/>
        <w:t xml:space="preserve">  "status": "DRAFT",</w:t>
        <w:br/>
        <w:t xml:space="preserve">  "identity": {...},</w:t>
        <w:br/>
        <w:t xml:space="preserve">  "input": {...},</w:t>
        <w:br/>
        <w:t xml:space="preserve">  "provider": {...},</w:t>
        <w:br/>
        <w:t xml:space="preserve">  "runtime": {...},</w:t>
        <w:br/>
        <w:t xml:space="preserve">  "terminology": {...},</w:t>
        <w:br/>
        <w:t xml:space="preserve">  "front_gates": [...],</w:t>
        <w:br/>
        <w:t xml:space="preserve">  "questions": {...},</w:t>
        <w:br/>
        <w:t xml:space="preserve">  "taxonomy": {...},</w:t>
        <w:br/>
        <w:t xml:space="preserve">  "resolver": {...},</w:t>
        <w:br/>
        <w:t xml:space="preserve">  "confidence": {...},</w:t>
        <w:br/>
        <w:t xml:space="preserve">  "aggregation": {...},</w:t>
        <w:br/>
        <w:t xml:space="preserve">  "output": {...},</w:t>
        <w:br/>
        <w:t xml:space="preserve">  "observability": {...},</w:t>
        <w:br/>
        <w:t xml:space="preserve">  "deployment": {...}</w:t>
        <w:br/>
        <w:t>}</w:t>
      </w:r>
    </w:p>
    <w:p>
      <w:pPr>
        <w:pStyle w:val="Heading1"/>
      </w:pPr>
      <w:r>
        <w:t>5. Identity and Input Mapping</w:t>
      </w:r>
    </w:p>
    <w:p>
      <w:pPr>
        <w:pStyle w:val="Heading2"/>
      </w:pPr>
      <w:r>
        <w:t>5.1 Identity</w:t>
      </w:r>
    </w:p>
    <w:p>
      <w:pPr>
        <w:pStyle w:val="ListBullet"/>
        <w:spacing w:after="40"/>
      </w:pPr>
      <w:r>
        <w:t>`tenant_id`: stable lowercase technical identifier, not a display name.</w:t>
      </w:r>
    </w:p>
    <w:p>
      <w:pPr>
        <w:pStyle w:val="ListBullet"/>
        <w:spacing w:after="40"/>
      </w:pPr>
      <w:r>
        <w:t>`use_case_id`: stable technical identifier scoped to the tenant.</w:t>
      </w:r>
    </w:p>
    <w:p>
      <w:pPr>
        <w:pStyle w:val="ListBullet"/>
        <w:spacing w:after="40"/>
      </w:pPr>
      <w:r>
        <w:t>`display_name`: human-readable label; changing it should not break integrations.</w:t>
      </w:r>
    </w:p>
    <w:p>
      <w:pPr>
        <w:pStyle w:val="ListBullet"/>
        <w:spacing w:after="40"/>
      </w:pPr>
      <w:r>
        <w:t>`default_locale` and `timezone`: defaults for interpretation/telemetry when required.</w:t>
      </w:r>
    </w:p>
    <w:p>
      <w:pPr>
        <w:pStyle w:val="Heading2"/>
      </w:pPr>
      <w:r>
        <w:t>5.2 Input paths</w:t>
      </w:r>
    </w:p>
    <w:p>
      <w:r>
        <w:t>Map the canonical engine inputs to fields in the request event. Keep JSONPath usage simple and deterministic. The service should not fetch arbitrary external URLs based on config.</w:t>
      </w:r>
    </w:p>
    <w:p>
      <w:pPr>
        <w:pStyle w:val="CodeBlock"/>
        <w:shd w:fill="F8FAFC"/>
        <w:pBdr>
          <w:bottom w:val="single" w:sz="4" w:space="1" w:color="CBD5E1"/>
        </w:pBdr>
      </w:pPr>
      <w:r>
        <w:t>"input": {</w:t>
        <w:br/>
        <w:t xml:space="preserve">  "transcript_path": "$.transcript",</w:t>
        <w:br/>
        <w:t xml:space="preserve">  "call_id_path": "$.call_id",</w:t>
        <w:br/>
        <w:t xml:space="preserve">  "metadata_path": "$.metadata",</w:t>
        <w:br/>
        <w:t xml:space="preserve">  "system_facts_path": "$.system_facts",</w:t>
        <w:br/>
        <w:t xml:space="preserve">  "speaker_mapping": {</w:t>
        <w:br/>
        <w:t xml:space="preserve">    "agent": ["AGENT", "BOT"],</w:t>
        <w:br/>
        <w:t xml:space="preserve">    "customer": ["CUSTOMER", "USER"]</w:t>
        <w:br/>
        <w:t xml:space="preserve">  }</w:t>
        <w:br/>
        <w:t>}</w:t>
      </w:r>
    </w:p>
    <w:p>
      <w:pPr>
        <w:pStyle w:val="Heading1"/>
      </w:pPr>
      <w:r>
        <w:t>6. Provider and Runtime</w:t>
      </w:r>
    </w:p>
    <w:tbl>
      <w:tblPr>
        <w:tblStyle w:val="TableGrid"/>
        <w:tblW w:type="auto" w:w="0"/>
        <w:jc w:val="center"/>
        <w:tblLook w:firstColumn="1" w:firstRow="1" w:lastColumn="0" w:lastRow="0" w:noHBand="0" w:noVBand="1" w:val="04A0"/>
      </w:tblPr>
      <w:tblGrid>
        <w:gridCol w:w="4320"/>
        <w:gridCol w:w="4320"/>
      </w:tblGrid>
      <w:tr>
        <w:trPr>
          <w:tblHeader w:val="true"/>
          <w:cantSplit/>
        </w:trPr>
        <w:tc>
          <w:tcPr>
            <w:tcW w:type="dxa" w:w="3168"/>
            <w:shd w:fill="EEF2FF"/>
          </w:tcPr>
          <w:p>
            <w:r>
              <w:rPr>
                <w:b/>
                <w:color w:val="1E293B"/>
                <w:sz w:val="16"/>
              </w:rPr>
              <w:t>Field</w:t>
            </w:r>
          </w:p>
        </w:tc>
        <w:tc>
          <w:tcPr>
            <w:tcW w:type="dxa" w:w="6624"/>
            <w:shd w:fill="EEF2FF"/>
          </w:tcPr>
          <w:p>
            <w:r>
              <w:rPr>
                <w:b/>
                <w:color w:val="1E293B"/>
                <w:sz w:val="16"/>
              </w:rPr>
              <w:t>Guidance</w:t>
            </w:r>
          </w:p>
        </w:tc>
      </w:tr>
      <w:tr>
        <w:trPr>
          <w:cantSplit/>
        </w:trPr>
        <w:tc>
          <w:tcPr>
            <w:tcW w:type="dxa" w:w="3168"/>
            <w:vAlign w:val="top"/>
            <w:tcBorders>
              <w:top w:sz="3" w:val="single" w:color="CBD5E1"/>
              <w:left w:sz="3" w:val="single" w:color="CBD5E1"/>
              <w:bottom w:sz="3" w:val="single" w:color="CBD5E1"/>
              <w:right w:sz="3" w:val="single" w:color="CBD5E1"/>
            </w:tcBorders>
          </w:tcPr>
          <w:p>
            <w:pPr>
              <w:spacing w:after="20"/>
            </w:pPr>
            <w:r>
              <w:rPr>
                <w:sz w:val="16"/>
              </w:rPr>
              <w:t>provider.adapter</w:t>
            </w:r>
          </w:p>
        </w:tc>
        <w:tc>
          <w:tcPr>
            <w:tcW w:type="dxa" w:w="6624"/>
            <w:vAlign w:val="top"/>
            <w:tcBorders>
              <w:top w:sz="3" w:val="single" w:color="CBD5E1"/>
              <w:left w:sz="3" w:val="single" w:color="CBD5E1"/>
              <w:bottom w:sz="3" w:val="single" w:color="CBD5E1"/>
              <w:right w:sz="3" w:val="single" w:color="CBD5E1"/>
            </w:tcBorders>
          </w:tcPr>
          <w:p>
            <w:pPr>
              <w:spacing w:after="20"/>
            </w:pPr>
            <w:r>
              <w:rPr>
                <w:sz w:val="16"/>
              </w:rPr>
              <w:t>Select a platform-supported adapter. For Jev use the configured System One adapter.</w:t>
            </w:r>
          </w:p>
        </w:tc>
      </w:tr>
      <w:tr>
        <w:trPr>
          <w:cantSplit/>
        </w:trPr>
        <w:tc>
          <w:tcPr>
            <w:tcW w:type="dxa" w:w="3168"/>
            <w:vAlign w:val="top"/>
            <w:tcBorders>
              <w:top w:sz="3" w:val="single" w:color="CBD5E1"/>
              <w:left w:sz="3" w:val="single" w:color="CBD5E1"/>
              <w:bottom w:sz="3" w:val="single" w:color="CBD5E1"/>
              <w:right w:sz="3" w:val="single" w:color="CBD5E1"/>
            </w:tcBorders>
          </w:tcPr>
          <w:p>
            <w:pPr>
              <w:spacing w:after="20"/>
            </w:pPr>
            <w:r>
              <w:rPr>
                <w:sz w:val="16"/>
              </w:rPr>
              <w:t>provider.model</w:t>
            </w:r>
          </w:p>
        </w:tc>
        <w:tc>
          <w:tcPr>
            <w:tcW w:type="dxa" w:w="6624"/>
            <w:vAlign w:val="top"/>
            <w:tcBorders>
              <w:top w:sz="3" w:val="single" w:color="CBD5E1"/>
              <w:left w:sz="3" w:val="single" w:color="CBD5E1"/>
              <w:bottom w:sz="3" w:val="single" w:color="CBD5E1"/>
              <w:right w:sz="3" w:val="single" w:color="CBD5E1"/>
            </w:tcBorders>
          </w:tcPr>
          <w:p>
            <w:pPr>
              <w:spacing w:after="20"/>
            </w:pPr>
            <w:r>
              <w:rPr>
                <w:sz w:val="16"/>
              </w:rPr>
              <w:t>Prefer a deployment-resolved/pinned value; do not couple business semantics to a transient model string.</w:t>
            </w:r>
          </w:p>
        </w:tc>
      </w:tr>
      <w:tr>
        <w:trPr>
          <w:cantSplit/>
        </w:trPr>
        <w:tc>
          <w:tcPr>
            <w:tcW w:type="dxa" w:w="3168"/>
            <w:vAlign w:val="top"/>
            <w:tcBorders>
              <w:top w:sz="3" w:val="single" w:color="CBD5E1"/>
              <w:left w:sz="3" w:val="single" w:color="CBD5E1"/>
              <w:bottom w:sz="3" w:val="single" w:color="CBD5E1"/>
              <w:right w:sz="3" w:val="single" w:color="CBD5E1"/>
            </w:tcBorders>
          </w:tcPr>
          <w:p>
            <w:pPr>
              <w:spacing w:after="20"/>
            </w:pPr>
            <w:r>
              <w:rPr>
                <w:sz w:val="16"/>
              </w:rPr>
              <w:t>context_window_tokens</w:t>
            </w:r>
          </w:p>
        </w:tc>
        <w:tc>
          <w:tcPr>
            <w:tcW w:type="dxa" w:w="6624"/>
            <w:vAlign w:val="top"/>
            <w:tcBorders>
              <w:top w:sz="3" w:val="single" w:color="CBD5E1"/>
              <w:left w:sz="3" w:val="single" w:color="CBD5E1"/>
              <w:bottom w:sz="3" w:val="single" w:color="CBD5E1"/>
              <w:right w:sz="3" w:val="single" w:color="CBD5E1"/>
            </w:tcBorders>
          </w:tcPr>
          <w:p>
            <w:pPr>
              <w:spacing w:after="20"/>
            </w:pPr>
            <w:r>
              <w:rPr>
                <w:sz w:val="16"/>
              </w:rPr>
              <w:t>Provider capability used by router; verify when model changes.</w:t>
            </w:r>
          </w:p>
        </w:tc>
      </w:tr>
      <w:tr>
        <w:trPr>
          <w:cantSplit/>
        </w:trPr>
        <w:tc>
          <w:tcPr>
            <w:tcW w:type="dxa" w:w="3168"/>
            <w:vAlign w:val="top"/>
            <w:tcBorders>
              <w:top w:sz="3" w:val="single" w:color="CBD5E1"/>
              <w:left w:sz="3" w:val="single" w:color="CBD5E1"/>
              <w:bottom w:sz="3" w:val="single" w:color="CBD5E1"/>
              <w:right w:sz="3" w:val="single" w:color="CBD5E1"/>
            </w:tcBorders>
          </w:tcPr>
          <w:p>
            <w:pPr>
              <w:spacing w:after="20"/>
            </w:pPr>
            <w:r>
              <w:rPr>
                <w:sz w:val="16"/>
              </w:rPr>
              <w:t>single_pass_soft_limit_tokens</w:t>
            </w:r>
          </w:p>
        </w:tc>
        <w:tc>
          <w:tcPr>
            <w:tcW w:type="dxa" w:w="6624"/>
            <w:vAlign w:val="top"/>
            <w:tcBorders>
              <w:top w:sz="3" w:val="single" w:color="CBD5E1"/>
              <w:left w:sz="3" w:val="single" w:color="CBD5E1"/>
              <w:bottom w:sz="3" w:val="single" w:color="CBD5E1"/>
              <w:right w:sz="3" w:val="single" w:color="CBD5E1"/>
            </w:tcBorders>
          </w:tcPr>
          <w:p>
            <w:pPr>
              <w:spacing w:after="20"/>
            </w:pPr>
            <w:r>
              <w:rPr>
                <w:sz w:val="16"/>
              </w:rPr>
              <w:t>Normal operating ceiling; leave generous headroom.</w:t>
            </w:r>
          </w:p>
        </w:tc>
      </w:tr>
      <w:tr>
        <w:trPr>
          <w:cantSplit/>
        </w:trPr>
        <w:tc>
          <w:tcPr>
            <w:tcW w:type="dxa" w:w="3168"/>
            <w:vAlign w:val="top"/>
            <w:tcBorders>
              <w:top w:sz="3" w:val="single" w:color="CBD5E1"/>
              <w:left w:sz="3" w:val="single" w:color="CBD5E1"/>
              <w:bottom w:sz="3" w:val="single" w:color="CBD5E1"/>
              <w:right w:sz="3" w:val="single" w:color="CBD5E1"/>
            </w:tcBorders>
          </w:tcPr>
          <w:p>
            <w:pPr>
              <w:spacing w:after="20"/>
            </w:pPr>
            <w:r>
              <w:rPr>
                <w:sz w:val="16"/>
              </w:rPr>
              <w:t>single_pass_hard_limit_tokens</w:t>
            </w:r>
          </w:p>
        </w:tc>
        <w:tc>
          <w:tcPr>
            <w:tcW w:type="dxa" w:w="6624"/>
            <w:vAlign w:val="top"/>
            <w:tcBorders>
              <w:top w:sz="3" w:val="single" w:color="CBD5E1"/>
              <w:left w:sz="3" w:val="single" w:color="CBD5E1"/>
              <w:bottom w:sz="3" w:val="single" w:color="CBD5E1"/>
              <w:right w:sz="3" w:val="single" w:color="CBD5E1"/>
            </w:tcBorders>
          </w:tcPr>
          <w:p>
            <w:pPr>
              <w:spacing w:after="20"/>
            </w:pPr>
            <w:r>
              <w:rPr>
                <w:sz w:val="16"/>
              </w:rPr>
              <w:t>Absolute config-level single-pass ceiling, still below effective provider budget.</w:t>
            </w:r>
          </w:p>
        </w:tc>
      </w:tr>
      <w:tr>
        <w:trPr>
          <w:cantSplit/>
        </w:trPr>
        <w:tc>
          <w:tcPr>
            <w:tcW w:type="dxa" w:w="3168"/>
            <w:vAlign w:val="top"/>
            <w:tcBorders>
              <w:top w:sz="3" w:val="single" w:color="CBD5E1"/>
              <w:left w:sz="3" w:val="single" w:color="CBD5E1"/>
              <w:bottom w:sz="3" w:val="single" w:color="CBD5E1"/>
              <w:right w:sz="3" w:val="single" w:color="CBD5E1"/>
            </w:tcBorders>
          </w:tcPr>
          <w:p>
            <w:pPr>
              <w:spacing w:after="20"/>
            </w:pPr>
            <w:r>
              <w:rPr>
                <w:sz w:val="16"/>
              </w:rPr>
              <w:t>reserved_question_tokens</w:t>
            </w:r>
          </w:p>
        </w:tc>
        <w:tc>
          <w:tcPr>
            <w:tcW w:type="dxa" w:w="6624"/>
            <w:vAlign w:val="top"/>
            <w:tcBorders>
              <w:top w:sz="3" w:val="single" w:color="CBD5E1"/>
              <w:left w:sz="3" w:val="single" w:color="CBD5E1"/>
              <w:bottom w:sz="3" w:val="single" w:color="CBD5E1"/>
              <w:right w:sz="3" w:val="single" w:color="CBD5E1"/>
            </w:tcBorders>
          </w:tcPr>
          <w:p>
            <w:pPr>
              <w:spacing w:after="20"/>
            </w:pPr>
            <w:r>
              <w:rPr>
                <w:sz w:val="16"/>
              </w:rPr>
              <w:t>Budget for configured question instructions/criteria and serialized state overhead.</w:t>
            </w:r>
          </w:p>
        </w:tc>
      </w:tr>
      <w:tr>
        <w:trPr>
          <w:cantSplit/>
        </w:trPr>
        <w:tc>
          <w:tcPr>
            <w:tcW w:type="dxa" w:w="3168"/>
            <w:vAlign w:val="top"/>
            <w:tcBorders>
              <w:top w:sz="3" w:val="single" w:color="CBD5E1"/>
              <w:left w:sz="3" w:val="single" w:color="CBD5E1"/>
              <w:bottom w:sz="3" w:val="single" w:color="CBD5E1"/>
              <w:right w:sz="3" w:val="single" w:color="CBD5E1"/>
            </w:tcBorders>
          </w:tcPr>
          <w:p>
            <w:pPr>
              <w:spacing w:after="20"/>
            </w:pPr>
            <w:r>
              <w:rPr>
                <w:sz w:val="16"/>
              </w:rPr>
              <w:t>chunking.target_chunk_tokens</w:t>
            </w:r>
          </w:p>
        </w:tc>
        <w:tc>
          <w:tcPr>
            <w:tcW w:type="dxa" w:w="6624"/>
            <w:vAlign w:val="top"/>
            <w:tcBorders>
              <w:top w:sz="3" w:val="single" w:color="CBD5E1"/>
              <w:left w:sz="3" w:val="single" w:color="CBD5E1"/>
              <w:bottom w:sz="3" w:val="single" w:color="CBD5E1"/>
              <w:right w:sz="3" w:val="single" w:color="CBD5E1"/>
            </w:tcBorders>
          </w:tcPr>
          <w:p>
            <w:pPr>
              <w:spacing w:after="20"/>
            </w:pPr>
            <w:r>
              <w:rPr>
                <w:sz w:val="16"/>
              </w:rPr>
              <w:t>Target window size for long transcript fallback.</w:t>
            </w:r>
          </w:p>
        </w:tc>
      </w:tr>
      <w:tr>
        <w:trPr>
          <w:cantSplit/>
        </w:trPr>
        <w:tc>
          <w:tcPr>
            <w:tcW w:type="dxa" w:w="3168"/>
            <w:vAlign w:val="top"/>
            <w:tcBorders>
              <w:top w:sz="3" w:val="single" w:color="CBD5E1"/>
              <w:left w:sz="3" w:val="single" w:color="CBD5E1"/>
              <w:bottom w:sz="3" w:val="single" w:color="CBD5E1"/>
              <w:right w:sz="3" w:val="single" w:color="CBD5E1"/>
            </w:tcBorders>
          </w:tcPr>
          <w:p>
            <w:pPr>
              <w:spacing w:after="20"/>
            </w:pPr>
            <w:r>
              <w:rPr>
                <w:sz w:val="16"/>
              </w:rPr>
              <w:t>chunking.overlap_turns</w:t>
            </w:r>
          </w:p>
        </w:tc>
        <w:tc>
          <w:tcPr>
            <w:tcW w:type="dxa" w:w="6624"/>
            <w:vAlign w:val="top"/>
            <w:tcBorders>
              <w:top w:sz="3" w:val="single" w:color="CBD5E1"/>
              <w:left w:sz="3" w:val="single" w:color="CBD5E1"/>
              <w:bottom w:sz="3" w:val="single" w:color="CBD5E1"/>
              <w:right w:sz="3" w:val="single" w:color="CBD5E1"/>
            </w:tcBorders>
          </w:tcPr>
          <w:p>
            <w:pPr>
              <w:spacing w:after="20"/>
            </w:pPr>
            <w:r>
              <w:rPr>
                <w:sz w:val="16"/>
              </w:rPr>
              <w:t>Small turn overlap to preserve evidence crossing chunk boundaries.</w:t>
            </w:r>
          </w:p>
        </w:tc>
      </w:tr>
      <w:tr>
        <w:trPr>
          <w:cantSplit/>
        </w:trPr>
        <w:tc>
          <w:tcPr>
            <w:tcW w:type="dxa" w:w="3168"/>
            <w:vAlign w:val="top"/>
            <w:tcBorders>
              <w:top w:sz="3" w:val="single" w:color="CBD5E1"/>
              <w:left w:sz="3" w:val="single" w:color="CBD5E1"/>
              <w:bottom w:sz="3" w:val="single" w:color="CBD5E1"/>
              <w:right w:sz="3" w:val="single" w:color="CBD5E1"/>
            </w:tcBorders>
          </w:tcPr>
          <w:p>
            <w:pPr>
              <w:spacing w:after="20"/>
            </w:pPr>
            <w:r>
              <w:rPr>
                <w:sz w:val="16"/>
              </w:rPr>
              <w:t>chunking.max_parallel_chunks</w:t>
            </w:r>
          </w:p>
        </w:tc>
        <w:tc>
          <w:tcPr>
            <w:tcW w:type="dxa" w:w="6624"/>
            <w:vAlign w:val="top"/>
            <w:tcBorders>
              <w:top w:sz="3" w:val="single" w:color="CBD5E1"/>
              <w:left w:sz="3" w:val="single" w:color="CBD5E1"/>
              <w:bottom w:sz="3" w:val="single" w:color="CBD5E1"/>
              <w:right w:sz="3" w:val="single" w:color="CBD5E1"/>
            </w:tcBorders>
          </w:tcPr>
          <w:p>
            <w:pPr>
              <w:spacing w:after="20"/>
            </w:pPr>
            <w:r>
              <w:rPr>
                <w:sz w:val="16"/>
              </w:rPr>
              <w:t>Bound fan-out; tune against provider quota and latency goals.</w:t>
            </w:r>
          </w:p>
        </w:tc>
      </w:tr>
    </w:tbl>
    <w:p>
      <w:pPr>
        <w:spacing w:after="20"/>
      </w:pPr>
    </w:p>
    <w:tbl>
      <w:tblPr>
        <w:tblW w:type="auto" w:w="0"/>
        <w:jc w:val="center"/>
        <w:tblLook w:firstColumn="1" w:firstRow="1" w:lastColumn="0" w:lastRow="0" w:noHBand="0" w:noVBand="1" w:val="04A0"/>
      </w:tblPr>
      <w:tblGrid>
        <w:gridCol w:w="8640"/>
      </w:tblGrid>
      <w:tr>
        <w:tc>
          <w:tcPr>
            <w:tcW w:type="dxa" w:w="8640"/>
            <w:shd w:fill="EEF2FF"/>
            <w:tcBorders>
              <w:top w:sz="0" w:val="nil" w:color="EEF2FF"/>
              <w:left w:sz="18" w:val="single" w:color="2457C5"/>
              <w:bottom w:sz="0" w:val="nil" w:color="EEF2FF"/>
              <w:right w:sz="0" w:val="nil" w:color="EEF2FF"/>
            </w:tcBorders>
          </w:tcPr>
          <w:p>
            <w:r>
              <w:rPr>
                <w:b/>
                <w:color w:val="2457C5"/>
              </w:rPr>
              <w:t xml:space="preserve">Do not optimize for the rare long call  </w:t>
            </w:r>
            <w:r>
              <w:t>A transcript around 10k tokens should normally stay on the single-pass path when the compiled question set and provider headroom allow it. Chunk only when the total serialized request approaches the configured operational limit.</w:t>
            </w:r>
          </w:p>
        </w:tc>
      </w:tr>
    </w:tbl>
    <w:p>
      <w:pPr>
        <w:spacing w:after="20"/>
      </w:pPr>
    </w:p>
    <w:p>
      <w:pPr>
        <w:pStyle w:val="Heading1"/>
      </w:pPr>
      <w:r>
        <w:t>7. Terminology</w:t>
      </w:r>
    </w:p>
    <w:p>
      <w:r>
        <w:t>Terminology supplies domain aliases that question instructions may refer to or that a state builder may include. It is the correct place for organization/product/customer naming conventions. Keep semantic question IDs neutral.</w:t>
      </w:r>
    </w:p>
    <w:p>
      <w:pPr>
        <w:pStyle w:val="CodeBlock"/>
        <w:shd w:fill="F8FAFC"/>
        <w:pBdr>
          <w:bottom w:val="single" w:sz="4" w:space="1" w:color="CBD5E1"/>
        </w:pBdr>
      </w:pPr>
      <w:r>
        <w:t>"terminology": {</w:t>
        <w:br/>
        <w:t xml:space="preserve">  "organization_aliases": ["our company", "brand alias"],</w:t>
        <w:br/>
        <w:t xml:space="preserve">  "target_party_label": "customer",</w:t>
        <w:br/>
        <w:t xml:space="preserve">  "product_aliases": ["target product"],</w:t>
        <w:br/>
        <w:t xml:space="preserve">  "competitor_terms": [],</w:t>
        <w:br/>
        <w:t xml:space="preserve">  "custom_terms": {</w:t>
        <w:br/>
        <w:t xml:space="preserve">    "online_payment": ["payment link", "online payment"],</w:t>
        <w:br/>
        <w:t xml:space="preserve">    "advisor": ["advisor", "agent", "representative"]</w:t>
        <w:br/>
        <w:t xml:space="preserve">  }</w:t>
        <w:br/>
        <w:t>}</w:t>
      </w:r>
    </w:p>
    <w:p>
      <w:pPr>
        <w:pStyle w:val="Heading1"/>
      </w:pPr>
      <w:r>
        <w:t>8. Deterministic Front Gates</w:t>
      </w:r>
    </w:p>
    <w:p>
      <w:r>
        <w:t>Use front gates for facts that should not be inferred from transcript semantics when an authoritative field exists. Examples include telephony outcomes, pre-existing system status, or explicit upstream routing flags.</w:t>
      </w:r>
    </w:p>
    <w:p>
      <w:pPr>
        <w:pStyle w:val="CodeBlock"/>
        <w:shd w:fill="F8FAFC"/>
        <w:pBdr>
          <w:bottom w:val="single" w:sz="4" w:space="1" w:color="CBD5E1"/>
        </w:pBdr>
      </w:pPr>
      <w:r>
        <w:t>{</w:t>
        <w:br/>
        <w:t xml:space="preserve">  "id": "NO_CONNECTION",</w:t>
        <w:br/>
        <w:t xml:space="preserve">  "enabled": true,</w:t>
        <w:br/>
        <w:t xml:space="preserve">  "priority": 10,</w:t>
        <w:br/>
        <w:t xml:space="preserve">  "source": "$.metadata.telephony_status",</w:t>
        <w:br/>
        <w:t xml:space="preserve">  "condition": {</w:t>
        <w:br/>
        <w:t xml:space="preserve">    "operator": "IN",</w:t>
        <w:br/>
        <w:t xml:space="preserve">    "value": ["NO_ANSWER", "FAILED", "NOT_CONNECTED"]</w:t>
        <w:br/>
        <w:t xml:space="preserve">  },</w:t>
        <w:br/>
        <w:t xml:space="preserve">  "emit": "NO_CONTACT"</w:t>
        <w:br/>
        <w:t>}</w:t>
      </w:r>
    </w:p>
    <w:p>
      <w:pPr>
        <w:pStyle w:val="ListBullet"/>
        <w:spacing w:after="40"/>
      </w:pPr>
      <w:r>
        <w:t>Front gates run before model evaluation.</w:t>
      </w:r>
    </w:p>
    <w:p>
      <w:pPr>
        <w:pStyle w:val="ListBullet"/>
        <w:spacing w:after="40"/>
      </w:pPr>
      <w:r>
        <w:t>Use only platform-supported operators.</w:t>
      </w:r>
    </w:p>
    <w:p>
      <w:pPr>
        <w:pStyle w:val="ListBullet"/>
        <w:spacing w:after="40"/>
      </w:pPr>
      <w:r>
        <w:t>Gate `emit` must reference a valid taxonomy code.</w:t>
      </w:r>
    </w:p>
    <w:p>
      <w:pPr>
        <w:pStyle w:val="ListBullet"/>
        <w:spacing w:after="40"/>
      </w:pPr>
      <w:r>
        <w:t>Prefer source-of-truth metadata over trying to infer the same fact from transcript text.</w:t>
      </w:r>
    </w:p>
    <w:p>
      <w:pPr>
        <w:pStyle w:val="Heading1"/>
      </w:pPr>
      <w:r>
        <w:t>9. Designing Jev Questions</w:t>
      </w:r>
    </w:p>
    <w:p>
      <w:r>
        <w:t>Jev evaluates a state against typed questions. Public documentation describes three primitives: Noul for probabilistic yes/no, Choice for a defined option set with probabilities/confidence, and Score for an ordered scale with score/probabilities/confidence. Good configuration decomposes policy into these narrow questions and leaves branching to code.</w:t>
      </w:r>
    </w:p>
    <w:p>
      <w:pPr>
        <w:pStyle w:val="Heading2"/>
      </w:pPr>
      <w:r>
        <w:t>9.1 Noul</w:t>
      </w:r>
    </w:p>
    <w:p>
      <w:pPr>
        <w:pStyle w:val="CodeBlock"/>
        <w:shd w:fill="F8FAFC"/>
        <w:pBdr>
          <w:bottom w:val="single" w:sz="4" w:space="1" w:color="CBD5E1"/>
        </w:pBdr>
      </w:pPr>
      <w:r>
        <w:t>"callback_requested": {</w:t>
        <w:br/>
        <w:t xml:space="preserve">  "type": "noul",</w:t>
        <w:br/>
        <w:t xml:space="preserve">  "instructions": "Did the live receiver ask for a later contact attempt?",</w:t>
        <w:br/>
        <w:t xml:space="preserve">  "criteria": {</w:t>
        <w:br/>
        <w:t xml:space="preserve">    "true": "A later contact attempt was requested or accepted.",</w:t>
        <w:br/>
        <w:t xml:space="preserve">    "false": "No later-contact request is established."</w:t>
        <w:br/>
        <w:t xml:space="preserve">  }</w:t>
        <w:br/>
        <w:t>}</w:t>
      </w:r>
    </w:p>
    <w:p>
      <w:pPr>
        <w:pStyle w:val="Heading2"/>
      </w:pPr>
      <w:r>
        <w:t>9.2 Choice</w:t>
      </w:r>
    </w:p>
    <w:p>
      <w:pPr>
        <w:pStyle w:val="CodeBlock"/>
        <w:shd w:fill="F8FAFC"/>
        <w:pBdr>
          <w:bottom w:val="single" w:sz="4" w:space="1" w:color="CBD5E1"/>
        </w:pBdr>
      </w:pPr>
      <w:r>
        <w:t>"receiver_identity": {</w:t>
        <w:br/>
        <w:t xml:space="preserve">  "type": "choice",</w:t>
        <w:br/>
        <w:t xml:space="preserve">  "instructions": "Who is the receiver relative to the intended target party?",</w:t>
        <w:br/>
        <w:t xml:space="preserve">  "criteria": {</w:t>
        <w:br/>
        <w:t xml:space="preserve">    "TARGET_PARTY": "The intended target party is speaking.",</w:t>
        <w:br/>
        <w:t xml:space="preserve">    "RELATED_PARTY": "A related or authorized person is speaking.",</w:t>
        <w:br/>
        <w:t xml:space="preserve">    "INTERMEDIARY": "An advisor or intermediary is speaking.",</w:t>
        <w:br/>
        <w:t xml:space="preserve">    "UNRELATED": "The receiver has no relevant relationship.",</w:t>
        <w:br/>
        <w:t xml:space="preserve">    "UNKNOWN": "The relationship cannot be established."</w:t>
        <w:br/>
        <w:t xml:space="preserve">  }</w:t>
        <w:br/>
        <w:t>}</w:t>
      </w:r>
    </w:p>
    <w:p>
      <w:pPr>
        <w:pStyle w:val="Heading2"/>
      </w:pPr>
      <w:r>
        <w:t>9.3 Score</w:t>
      </w:r>
    </w:p>
    <w:p>
      <w:pPr>
        <w:pStyle w:val="CodeBlock"/>
        <w:shd w:fill="F8FAFC"/>
        <w:pBdr>
          <w:bottom w:val="single" w:sz="4" w:space="1" w:color="CBD5E1"/>
        </w:pBdr>
      </w:pPr>
      <w:r>
        <w:t>"engagement_depth": {</w:t>
        <w:br/>
        <w:t xml:space="preserve">  "type": "score",</w:t>
        <w:br/>
        <w:t xml:space="preserve">  "instructions": "How substantive was the live conversation?",</w:t>
        <w:br/>
        <w:t xml:space="preserve">  "criteria": [</w:t>
        <w:br/>
        <w:t xml:space="preserve">    "No usable live conversation",</w:t>
        <w:br/>
        <w:t xml:space="preserve">    "Greeting or opening only",</w:t>
        <w:br/>
        <w:t xml:space="preserve">    "Some substantive engagement",</w:t>
        <w:br/>
        <w:t xml:space="preserve">    "Clear business outcome established"</w:t>
        <w:br/>
        <w:t xml:space="preserve">  ]</w:t>
        <w:br/>
        <w:t>}</w:t>
      </w:r>
    </w:p>
    <w:p>
      <w:pPr>
        <w:pStyle w:val="Heading2"/>
      </w:pPr>
      <w:r>
        <w:t>9.4 Question-writing rules</w:t>
      </w:r>
    </w:p>
    <w:p>
      <w:pPr>
        <w:pStyle w:val="ListBullet"/>
        <w:spacing w:after="40"/>
      </w:pPr>
      <w:r>
        <w:t>Ask one semantic question at a time. If the answer controls different business branches, split it.</w:t>
      </w:r>
    </w:p>
    <w:p>
      <w:pPr>
        <w:pStyle w:val="ListBullet"/>
        <w:spacing w:after="40"/>
      </w:pPr>
      <w:r>
        <w:t>Describe evidence, not disposition names. A question should remain reusable if the external taxonomy is renamed.</w:t>
      </w:r>
    </w:p>
    <w:p>
      <w:pPr>
        <w:pStyle w:val="ListBullet"/>
        <w:spacing w:after="40"/>
      </w:pPr>
      <w:r>
        <w:t>Define discriminating Choice criteria; options should not overlap materially.</w:t>
      </w:r>
    </w:p>
    <w:p>
      <w:pPr>
        <w:pStyle w:val="ListBullet"/>
        <w:spacing w:after="40"/>
      </w:pPr>
      <w:r>
        <w:t>Use the customer/receiver speech boundary explicitly where agent statements must not count as customer intent.</w:t>
      </w:r>
    </w:p>
    <w:p>
      <w:pPr>
        <w:pStyle w:val="ListBullet"/>
        <w:spacing w:after="40"/>
      </w:pPr>
      <w:r>
        <w:t>Avoid encoding precedence in a question. Example: do not ask “is this outcome X after considering all other outcomes?”; encode precedence in resolver rules.</w:t>
      </w:r>
    </w:p>
    <w:p>
      <w:pPr>
        <w:pStyle w:val="ListBullet"/>
        <w:spacing w:after="40"/>
      </w:pPr>
      <w:r>
        <w:t>Keep external source-of-truth facts out of model questions when they are already in metadata/system facts.</w:t>
      </w:r>
    </w:p>
    <w:p>
      <w:pPr>
        <w:pStyle w:val="ListBullet"/>
        <w:spacing w:after="40"/>
      </w:pPr>
      <w:r>
        <w:t>Do not add a large number of weak redundant questions; every question should have a downstream rule, metric, or diagnostic purpose.</w:t>
      </w:r>
    </w:p>
    <w:p>
      <w:pPr>
        <w:pStyle w:val="Heading1"/>
      </w:pPr>
      <w:r>
        <w:t>10. Designing the Taxonomy</w:t>
      </w:r>
    </w:p>
    <w:p>
      <w:pPr>
        <w:pStyle w:val="CodeBlock"/>
        <w:shd w:fill="F8FAFC"/>
        <w:pBdr>
          <w:bottom w:val="single" w:sz="4" w:space="1" w:color="CBD5E1"/>
        </w:pBdr>
      </w:pPr>
      <w:r>
        <w:t>"taxonomy": {</w:t>
        <w:br/>
        <w:t xml:space="preserve">  "codes": [</w:t>
        <w:br/>
        <w:t xml:space="preserve">    {</w:t>
        <w:br/>
        <w:t xml:space="preserve">      "code": "COMMITTED",</w:t>
        <w:br/>
        <w:t xml:space="preserve">      "name": "Committed",</w:t>
        <w:br/>
        <w:t xml:space="preserve">      "definition": "Configured business definition...",</w:t>
        <w:br/>
        <w:t xml:space="preserve">      "level": 0,</w:t>
        <w:br/>
        <w:t xml:space="preserve">      "parent_code": null,</w:t>
        <w:br/>
        <w:t xml:space="preserve">      "terminal": false,</w:t>
        <w:br/>
        <w:t xml:space="preserve">      "callback": false,</w:t>
        <w:br/>
        <w:t xml:space="preserve">      "success": true</w:t>
        <w:br/>
        <w:t xml:space="preserve">    }</w:t>
        <w:br/>
        <w:t xml:space="preserve">  ]</w:t>
        <w:br/>
        <w:t>}</w:t>
      </w:r>
    </w:p>
    <w:p>
      <w:pPr>
        <w:pStyle w:val="ListBullet"/>
        <w:spacing w:after="40"/>
      </w:pPr>
      <w:r>
        <w:t>Use `code` as the stable integration identifier. Display names may change more often.</w:t>
      </w:r>
    </w:p>
    <w:p>
      <w:pPr>
        <w:pStyle w:val="ListBullet"/>
        <w:spacing w:after="40"/>
      </w:pPr>
      <w:r>
        <w:t>Every code must be unique within a config.</w:t>
      </w:r>
    </w:p>
    <w:p>
      <w:pPr>
        <w:pStyle w:val="ListBullet"/>
        <w:spacing w:after="40"/>
      </w:pPr>
      <w:r>
        <w:t>Parent references must exist; hierarchy must be acyclic.</w:t>
      </w:r>
    </w:p>
    <w:p>
      <w:pPr>
        <w:pStyle w:val="ListBullet"/>
        <w:spacing w:after="40"/>
      </w:pPr>
      <w:r>
        <w:t>Definitions should state WHAT the outcome means, a TEST that distinguishes it, positive examples, and important exclusions where needed.</w:t>
      </w:r>
    </w:p>
    <w:p>
      <w:pPr>
        <w:pStyle w:val="ListBullet"/>
        <w:spacing w:after="40"/>
      </w:pPr>
      <w:r>
        <w:t>Do not use an “Other” code as a substitute for unresolved uncertainty; keep a distinct review/default behavior.</w:t>
      </w:r>
    </w:p>
    <w:p>
      <w:pPr>
        <w:pStyle w:val="ListBullet"/>
        <w:spacing w:after="40"/>
      </w:pPr>
      <w:r>
        <w:t>If hierarchy is optional for a use case, keep all outcomes at level 0 rather than inventing artificial parents.</w:t>
      </w:r>
    </w:p>
    <w:p>
      <w:pPr>
        <w:pStyle w:val="Heading1"/>
      </w:pPr>
      <w:r>
        <w:t>11. Resolver Rules</w:t>
      </w:r>
    </w:p>
    <w:p>
      <w:pPr>
        <w:pStyle w:val="Heading2"/>
      </w:pPr>
      <w:r>
        <w:t>11.1 Rule structure</w:t>
      </w:r>
    </w:p>
    <w:p>
      <w:pPr>
        <w:pStyle w:val="CodeBlock"/>
        <w:shd w:fill="F8FAFC"/>
        <w:pBdr>
          <w:bottom w:val="single" w:sz="4" w:space="1" w:color="CBD5E1"/>
        </w:pBdr>
      </w:pPr>
      <w:r>
        <w:t>{</w:t>
        <w:br/>
        <w:t xml:space="preserve">  "id": "EXPLICIT_DECLINE",</w:t>
        <w:br/>
        <w:t xml:space="preserve">  "priority": 200,</w:t>
        <w:br/>
        <w:t xml:space="preserve">  "when": {</w:t>
        <w:br/>
        <w:t xml:space="preserve">    "all": [</w:t>
        <w:br/>
        <w:t xml:space="preserve">      {"signal": "explicit_decline", "operator": "NOUL_GTE", "value": 0.70}</w:t>
        <w:br/>
        <w:t xml:space="preserve">    ]</w:t>
        <w:br/>
        <w:t xml:space="preserve">  },</w:t>
        <w:br/>
        <w:t xml:space="preserve">  "emit": "DECLINED"</w:t>
        <w:br/>
        <w:t>}</w:t>
      </w:r>
    </w:p>
    <w:p>
      <w:pPr>
        <w:pStyle w:val="Heading2"/>
      </w:pPr>
      <w:r>
        <w:t>11.2 Priority design</w:t>
      </w:r>
    </w:p>
    <w:p>
      <w:pPr>
        <w:pStyle w:val="ListBullet"/>
        <w:spacing w:after="40"/>
      </w:pPr>
      <w:r>
        <w:t>Write a precedence table before writing JSON rules.</w:t>
      </w:r>
    </w:p>
    <w:p>
      <w:pPr>
        <w:pStyle w:val="ListBullet"/>
        <w:spacing w:after="40"/>
      </w:pPr>
      <w:r>
        <w:t>Reserve priority ranges (for example 100-199 high-authority terminal facts, 200-299 commitments, 300-399 handoffs, etc.) only if it improves readability; the platform does not require a specific scheme.</w:t>
      </w:r>
    </w:p>
    <w:p>
      <w:pPr>
        <w:pStyle w:val="ListBullet"/>
        <w:spacing w:after="40"/>
      </w:pPr>
      <w:r>
        <w:t>Use lower numbers as higher priority if that is the platform convention and keep it consistent.</w:t>
      </w:r>
    </w:p>
    <w:p>
      <w:pPr>
        <w:pStyle w:val="ListBullet"/>
        <w:spacing w:after="40"/>
      </w:pPr>
      <w:r>
        <w:t>Do not rely on JSON array position alone; `priority` is the explicit source of order.</w:t>
      </w:r>
    </w:p>
    <w:p>
      <w:pPr>
        <w:pStyle w:val="ListBullet"/>
        <w:spacing w:after="40"/>
      </w:pPr>
      <w:r>
        <w:t>A higher model probability does not automatically outrank a higher-priority business rule.</w:t>
      </w:r>
    </w:p>
    <w:p>
      <w:pPr>
        <w:pStyle w:val="Heading2"/>
      </w:pPr>
      <w:r>
        <w:t>11.3 Supported condition tree</w:t>
      </w:r>
    </w:p>
    <w:p>
      <w:pPr>
        <w:pStyle w:val="CodeBlock"/>
        <w:shd w:fill="F8FAFC"/>
        <w:pBdr>
          <w:bottom w:val="single" w:sz="4" w:space="1" w:color="CBD5E1"/>
        </w:pBdr>
      </w:pPr>
      <w:r>
        <w:t>"when": {</w:t>
        <w:br/>
        <w:t xml:space="preserve">  "any": [</w:t>
        <w:br/>
        <w:t xml:space="preserve">    {"signal": "signal_a", "operator": "NOUL_GTE", "value": 0.75},</w:t>
        <w:br/>
        <w:t xml:space="preserve">    {</w:t>
        <w:br/>
        <w:t xml:space="preserve">      "all": [</w:t>
        <w:br/>
        <w:t xml:space="preserve">        {"signal": "choice_b", "operator": "CHOICE_EQ", "value": "X"},</w:t>
        <w:br/>
        <w:t xml:space="preserve">        {"signal": "choice_b", "operator": "CHOICE_CONFIDENCE_GTE", "value": 0.60}</w:t>
        <w:br/>
        <w:t xml:space="preserve">      ]</w:t>
        <w:br/>
        <w:t xml:space="preserve">    }</w:t>
        <w:br/>
        <w:t xml:space="preserve">  ]</w:t>
        <w:br/>
        <w:t>}</w:t>
      </w:r>
    </w:p>
    <w:p>
      <w:pPr>
        <w:pStyle w:val="Heading1"/>
      </w:pPr>
      <w:r>
        <w:t>12. Confidence and Aggregation</w:t>
      </w:r>
    </w:p>
    <w:p>
      <w:pPr>
        <w:pStyle w:val="Heading2"/>
      </w:pPr>
      <w:r>
        <w:t>12.1 Confidence policy</w:t>
      </w:r>
    </w:p>
    <w:p>
      <w:pPr>
        <w:pStyle w:val="ListBullet"/>
        <w:spacing w:after="40"/>
      </w:pPr>
      <w:r>
        <w:t>Set a default auto-commit threshold and optional per-code overrides.</w:t>
      </w:r>
    </w:p>
    <w:p>
      <w:pPr>
        <w:pStyle w:val="ListBullet"/>
        <w:spacing w:after="40"/>
      </w:pPr>
      <w:r>
        <w:t>Use stricter thresholds for high-impact terminal outcomes if the business requires it.</w:t>
      </w:r>
    </w:p>
    <w:p>
      <w:pPr>
        <w:pStyle w:val="ListBullet"/>
        <w:spacing w:after="40"/>
      </w:pPr>
      <w:r>
        <w:t>Define one explicit low-confidence behavior: review code, parent code, or request failure.</w:t>
      </w:r>
    </w:p>
    <w:p>
      <w:pPr>
        <w:pStyle w:val="ListBullet"/>
        <w:spacing w:after="40"/>
      </w:pPr>
      <w:r>
        <w:t>Threshold changes require replay against labeled fixtures; never tune only on a handful of anecdotes.</w:t>
      </w:r>
    </w:p>
    <w:p>
      <w:pPr>
        <w:pStyle w:val="Heading2"/>
      </w:pPr>
      <w:r>
        <w:t>12.2 Long-transcript aggregation</w:t>
      </w:r>
    </w:p>
    <w:p>
      <w:pPr>
        <w:pStyle w:val="ListBullet"/>
        <w:spacing w:after="40"/>
      </w:pPr>
      <w:r>
        <w:t>Choose only from supported aggregation strategies.</w:t>
      </w:r>
    </w:p>
    <w:p>
      <w:pPr>
        <w:pStyle w:val="ListBullet"/>
        <w:spacing w:after="40"/>
      </w:pPr>
      <w:r>
        <w:t>Noul default: strongest support plus contradiction check.</w:t>
      </w:r>
    </w:p>
    <w:p>
      <w:pPr>
        <w:pStyle w:val="ListBullet"/>
        <w:spacing w:after="40"/>
      </w:pPr>
      <w:r>
        <w:t>Choice default: pool probability distributions with confidence weighting.</w:t>
      </w:r>
    </w:p>
    <w:p>
      <w:pPr>
        <w:pStyle w:val="ListBullet"/>
        <w:spacing w:after="40"/>
      </w:pPr>
      <w:r>
        <w:t>Score default: confidence-weighted mean unless the semantic definition requires a supported alternative.</w:t>
      </w:r>
    </w:p>
    <w:p>
      <w:pPr>
        <w:pStyle w:val="ListBullet"/>
        <w:spacing w:after="40"/>
      </w:pPr>
      <w:r>
        <w:t>Enable confirmation over conflicting windows when contradictory outcomes materially affect the final disposition.</w:t>
      </w:r>
    </w:p>
    <w:p>
      <w:pPr>
        <w:pStyle w:val="Heading1"/>
      </w:pPr>
      <w:r>
        <w:t>13. Output Mapping</w:t>
      </w:r>
    </w:p>
    <w:p>
      <w:pPr>
        <w:pStyle w:val="CodeBlock"/>
        <w:shd w:fill="F8FAFC"/>
        <w:pBdr>
          <w:bottom w:val="single" w:sz="4" w:space="1" w:color="CBD5E1"/>
        </w:pBdr>
      </w:pPr>
      <w:r>
        <w:t>"output": {</w:t>
        <w:br/>
        <w:t xml:space="preserve">  "include": [</w:t>
        <w:br/>
        <w:t xml:space="preserve">    "call_id",</w:t>
        <w:br/>
        <w:t xml:space="preserve">    "disposition_code",</w:t>
        <w:br/>
        <w:t xml:space="preserve">    "disposition_name",</w:t>
        <w:br/>
        <w:t xml:space="preserve">    "confidence",</w:t>
        <w:br/>
        <w:t xml:space="preserve">    "requires_review",</w:t>
        <w:br/>
        <w:t xml:space="preserve">    "matched_rule_id",</w:t>
        <w:br/>
        <w:t xml:space="preserve">    "config_version",</w:t>
        <w:br/>
        <w:t xml:space="preserve">    "processing_path"</w:t>
        <w:br/>
        <w:t xml:space="preserve">  ],</w:t>
        <w:br/>
        <w:t xml:space="preserve">  "aliases": {</w:t>
        <w:br/>
        <w:t xml:space="preserve">    "disposition_code": "disposition",</w:t>
        <w:br/>
        <w:t xml:space="preserve">    "requires_review": "manual_review"</w:t>
        <w:br/>
        <w:t xml:space="preserve">  }</w:t>
        <w:br/>
        <w:t>}</w:t>
      </w:r>
    </w:p>
    <w:p>
      <w:pPr>
        <w:pStyle w:val="ListBullet"/>
        <w:spacing w:after="40"/>
      </w:pPr>
      <w:r>
        <w:t>Use aliases for external naming conventions instead of changing the platform response internals.</w:t>
      </w:r>
    </w:p>
    <w:p>
      <w:pPr>
        <w:pStyle w:val="ListBullet"/>
        <w:spacing w:after="40"/>
      </w:pPr>
      <w:r>
        <w:t>Reserved platform fields cannot be overwritten.</w:t>
      </w:r>
    </w:p>
    <w:p>
      <w:pPr>
        <w:pStyle w:val="ListBullet"/>
        <w:spacing w:after="40"/>
      </w:pPr>
      <w:r>
        <w:t>Do not expose raw signal scores unless the downstream consumer requires them; keep detailed traces in telemetry/audit stores.</w:t>
      </w:r>
    </w:p>
    <w:p>
      <w:pPr>
        <w:pStyle w:val="Heading1"/>
      </w:pPr>
      <w:r>
        <w:t>14. Observability and Deployment Policy</w:t>
      </w:r>
    </w:p>
    <w:p>
      <w:pPr>
        <w:pStyle w:val="ListBullet"/>
        <w:spacing w:after="40"/>
      </w:pPr>
      <w:r>
        <w:t>Keep rule trace and signal-score telemetry enabled during early rollout.</w:t>
      </w:r>
    </w:p>
    <w:p>
      <w:pPr>
        <w:pStyle w:val="ListBullet"/>
        <w:spacing w:after="40"/>
      </w:pPr>
      <w:r>
        <w:t>Avoid storing raw transcripts in platform logs; use request IDs and optional controlled audit storage.</w:t>
      </w:r>
    </w:p>
    <w:p>
      <w:pPr>
        <w:pStyle w:val="ListBullet"/>
        <w:spacing w:after="40"/>
      </w:pPr>
      <w:r>
        <w:t>Set `minimum_fixture_count`, `minimum_required_accuracy`, and `shadow_mode_required` to match risk level.</w:t>
      </w:r>
    </w:p>
    <w:p>
      <w:pPr>
        <w:pStyle w:val="ListBullet"/>
        <w:spacing w:after="40"/>
      </w:pPr>
      <w:r>
        <w:t>Treat deployment policy as organization governance; a use-case author should not be able to bypass a global security requirement.</w:t>
      </w:r>
    </w:p>
    <w:p>
      <w:pPr>
        <w:pStyle w:val="Heading1"/>
      </w:pPr>
      <w:r>
        <w:t>15. Validation and Linting</w:t>
      </w:r>
    </w:p>
    <w:tbl>
      <w:tblPr>
        <w:tblStyle w:val="TableGrid"/>
        <w:tblW w:type="auto" w:w="0"/>
        <w:jc w:val="center"/>
        <w:tblLook w:firstColumn="1" w:firstRow="1" w:lastColumn="0" w:lastRow="0" w:noHBand="0" w:noVBand="1" w:val="04A0"/>
      </w:tblPr>
      <w:tblGrid>
        <w:gridCol w:w="4320"/>
        <w:gridCol w:w="4320"/>
      </w:tblGrid>
      <w:tr>
        <w:trPr>
          <w:tblHeader w:val="true"/>
          <w:cantSplit/>
        </w:trPr>
        <w:tc>
          <w:tcPr>
            <w:tcW w:type="dxa" w:w="2304"/>
            <w:shd w:fill="EEF2FF"/>
          </w:tcPr>
          <w:p>
            <w:r>
              <w:rPr>
                <w:b/>
                <w:color w:val="1E293B"/>
                <w:sz w:val="16"/>
              </w:rPr>
              <w:t>Validation</w:t>
            </w:r>
          </w:p>
        </w:tc>
        <w:tc>
          <w:tcPr>
            <w:tcW w:type="dxa" w:w="7488"/>
            <w:shd w:fill="EEF2FF"/>
          </w:tcPr>
          <w:p>
            <w:r>
              <w:rPr>
                <w:b/>
                <w:color w:val="1E293B"/>
                <w:sz w:val="16"/>
              </w:rPr>
              <w:t>Must detect</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JSON Schema</w:t>
            </w:r>
          </w:p>
        </w:tc>
        <w:tc>
          <w:tcPr>
            <w:tcW w:type="dxa" w:w="7488"/>
            <w:vAlign w:val="top"/>
            <w:tcBorders>
              <w:top w:sz="3" w:val="single" w:color="CBD5E1"/>
              <w:left w:sz="3" w:val="single" w:color="CBD5E1"/>
              <w:bottom w:sz="3" w:val="single" w:color="CBD5E1"/>
              <w:right w:sz="3" w:val="single" w:color="CBD5E1"/>
            </w:tcBorders>
          </w:tcPr>
          <w:p>
            <w:pPr>
              <w:spacing w:after="20"/>
            </w:pPr>
            <w:r>
              <w:rPr>
                <w:sz w:val="16"/>
              </w:rPr>
              <w:t>Wrong field type, unsupported primitive, malformed taxonomy/rule shape, invalid status.</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Reference validation</w:t>
            </w:r>
          </w:p>
        </w:tc>
        <w:tc>
          <w:tcPr>
            <w:tcW w:type="dxa" w:w="7488"/>
            <w:vAlign w:val="top"/>
            <w:tcBorders>
              <w:top w:sz="3" w:val="single" w:color="CBD5E1"/>
              <w:left w:sz="3" w:val="single" w:color="CBD5E1"/>
              <w:bottom w:sz="3" w:val="single" w:color="CBD5E1"/>
              <w:right w:sz="3" w:val="single" w:color="CBD5E1"/>
            </w:tcBorders>
          </w:tcPr>
          <w:p>
            <w:pPr>
              <w:spacing w:after="20"/>
            </w:pPr>
            <w:r>
              <w:rPr>
                <w:sz w:val="16"/>
              </w:rPr>
              <w:t>Unknown signal IDs, unknown emitted codes, unknown parent codes.</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Graph validation</w:t>
            </w:r>
          </w:p>
        </w:tc>
        <w:tc>
          <w:tcPr>
            <w:tcW w:type="dxa" w:w="7488"/>
            <w:vAlign w:val="top"/>
            <w:tcBorders>
              <w:top w:sz="3" w:val="single" w:color="CBD5E1"/>
              <w:left w:sz="3" w:val="single" w:color="CBD5E1"/>
              <w:bottom w:sz="3" w:val="single" w:color="CBD5E1"/>
              <w:right w:sz="3" w:val="single" w:color="CBD5E1"/>
            </w:tcBorders>
          </w:tcPr>
          <w:p>
            <w:pPr>
              <w:spacing w:after="20"/>
            </w:pPr>
            <w:r>
              <w:rPr>
                <w:sz w:val="16"/>
              </w:rPr>
              <w:t>Cycles, duplicate codes, inconsistent level declarations.</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Rule validation</w:t>
            </w:r>
          </w:p>
        </w:tc>
        <w:tc>
          <w:tcPr>
            <w:tcW w:type="dxa" w:w="7488"/>
            <w:vAlign w:val="top"/>
            <w:tcBorders>
              <w:top w:sz="3" w:val="single" w:color="CBD5E1"/>
              <w:left w:sz="3" w:val="single" w:color="CBD5E1"/>
              <w:bottom w:sz="3" w:val="single" w:color="CBD5E1"/>
              <w:right w:sz="3" w:val="single" w:color="CBD5E1"/>
            </w:tcBorders>
          </w:tcPr>
          <w:p>
            <w:pPr>
              <w:spacing w:after="20"/>
            </w:pPr>
            <w:r>
              <w:rPr>
                <w:sz w:val="16"/>
              </w:rPr>
              <w:t>Duplicate IDs/priorities, impossible operator/type combinations, empty condition groups.</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Budget validation</w:t>
            </w:r>
          </w:p>
        </w:tc>
        <w:tc>
          <w:tcPr>
            <w:tcW w:type="dxa" w:w="7488"/>
            <w:vAlign w:val="top"/>
            <w:tcBorders>
              <w:top w:sz="3" w:val="single" w:color="CBD5E1"/>
              <w:left w:sz="3" w:val="single" w:color="CBD5E1"/>
              <w:bottom w:sz="3" w:val="single" w:color="CBD5E1"/>
              <w:right w:sz="3" w:val="single" w:color="CBD5E1"/>
            </w:tcBorders>
          </w:tcPr>
          <w:p>
            <w:pPr>
              <w:spacing w:after="20"/>
            </w:pPr>
            <w:r>
              <w:rPr>
                <w:sz w:val="16"/>
              </w:rPr>
              <w:t>Soft ≥ hard, hard exceeds effective context budget, chunk target &gt; max.</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Output validation</w:t>
            </w:r>
          </w:p>
        </w:tc>
        <w:tc>
          <w:tcPr>
            <w:tcW w:type="dxa" w:w="7488"/>
            <w:vAlign w:val="top"/>
            <w:tcBorders>
              <w:top w:sz="3" w:val="single" w:color="CBD5E1"/>
              <w:left w:sz="3" w:val="single" w:color="CBD5E1"/>
              <w:bottom w:sz="3" w:val="single" w:color="CBD5E1"/>
              <w:right w:sz="3" w:val="single" w:color="CBD5E1"/>
            </w:tcBorders>
          </w:tcPr>
          <w:p>
            <w:pPr>
              <w:spacing w:after="20"/>
            </w:pPr>
            <w:r>
              <w:rPr>
                <w:sz w:val="16"/>
              </w:rPr>
              <w:t>Alias collisions with reserved fields.</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Deployment validation</w:t>
            </w:r>
          </w:p>
        </w:tc>
        <w:tc>
          <w:tcPr>
            <w:tcW w:type="dxa" w:w="7488"/>
            <w:vAlign w:val="top"/>
            <w:tcBorders>
              <w:top w:sz="3" w:val="single" w:color="CBD5E1"/>
              <w:left w:sz="3" w:val="single" w:color="CBD5E1"/>
              <w:bottom w:sz="3" w:val="single" w:color="CBD5E1"/>
              <w:right w:sz="3" w:val="single" w:color="CBD5E1"/>
            </w:tcBorders>
          </w:tcPr>
          <w:p>
            <w:pPr>
              <w:spacing w:after="20"/>
            </w:pPr>
            <w:r>
              <w:rPr>
                <w:sz w:val="16"/>
              </w:rPr>
              <w:t>Insufficient fixtures, missing approval/shadow evidence when required.</w:t>
            </w:r>
          </w:p>
        </w:tc>
      </w:tr>
    </w:tbl>
    <w:p>
      <w:pPr>
        <w:spacing w:after="20"/>
      </w:pPr>
    </w:p>
    <w:p>
      <w:pPr>
        <w:pStyle w:val="Heading1"/>
      </w:pPr>
      <w:r>
        <w:t>16. Fixture Design and Release Testing</w:t>
      </w:r>
    </w:p>
    <w:p>
      <w:pPr>
        <w:pStyle w:val="ListBullet"/>
        <w:spacing w:after="40"/>
      </w:pPr>
      <w:r>
        <w:t>At least one fixture for every disposition; preferably multiple linguistic variants.</w:t>
      </w:r>
    </w:p>
    <w:p>
      <w:pPr>
        <w:pStyle w:val="ListBullet"/>
        <w:spacing w:after="40"/>
      </w:pPr>
      <w:r>
        <w:t>Boundary fixtures for every commonly confused pair of dispositions.</w:t>
      </w:r>
    </w:p>
    <w:p>
      <w:pPr>
        <w:pStyle w:val="ListBullet"/>
        <w:spacing w:after="40"/>
      </w:pPr>
      <w:r>
        <w:t>Contradiction fixtures where evidence changes later in the conversation.</w:t>
      </w:r>
    </w:p>
    <w:p>
      <w:pPr>
        <w:pStyle w:val="ListBullet"/>
        <w:spacing w:after="40"/>
      </w:pPr>
      <w:r>
        <w:t>Negative fixtures that contain agent suggestions but no customer confirmation when customer evidence is required.</w:t>
      </w:r>
    </w:p>
    <w:p>
      <w:pPr>
        <w:pStyle w:val="ListBullet"/>
        <w:spacing w:after="40"/>
      </w:pPr>
      <w:r>
        <w:t>Long-transcript fixtures constructed so decisive evidence appears near the beginning, middle, and end.</w:t>
      </w:r>
    </w:p>
    <w:p>
      <w:pPr>
        <w:pStyle w:val="ListBullet"/>
        <w:spacing w:after="40"/>
      </w:pPr>
      <w:r>
        <w:t>Metadata-vs-transcript fixtures to verify front-gate authority.</w:t>
      </w:r>
    </w:p>
    <w:p>
      <w:pPr>
        <w:pStyle w:val="ListBullet"/>
        <w:spacing w:after="40"/>
      </w:pPr>
      <w:r>
        <w:t>Regression fixtures for every production misclassification that caused a rule/question change.</w:t>
      </w:r>
    </w:p>
    <w:p>
      <w:r>
        <w:t>Recommended release metrics: overall agreement, per-code precision/recall, confusion matrix, review rate, default-rule rate, signal calibration distribution, and shadow disagreement against the active version.</w:t>
      </w:r>
    </w:p>
    <w:p>
      <w:pPr>
        <w:pStyle w:val="Heading1"/>
      </w:pPr>
      <w:r>
        <w:t>17. Versioning and Rollback</w:t>
      </w:r>
    </w:p>
    <w:p>
      <w:pPr>
        <w:pStyle w:val="ListBullet"/>
        <w:spacing w:after="40"/>
      </w:pPr>
      <w:r>
        <w:t>Never mutate an ACTIVE version.</w:t>
      </w:r>
    </w:p>
    <w:p>
      <w:pPr>
        <w:pStyle w:val="ListBullet"/>
        <w:spacing w:after="40"/>
      </w:pPr>
      <w:r>
        <w:t>Increment `version` for any semantic change: question instructions, taxonomy, rule, threshold, terminology that affects inference, or runtime token policy.</w:t>
      </w:r>
    </w:p>
    <w:p>
      <w:pPr>
        <w:pStyle w:val="ListBullet"/>
        <w:spacing w:after="40"/>
      </w:pPr>
      <w:r>
        <w:t>Record a content hash so byte-identical configs are detectable.</w:t>
      </w:r>
    </w:p>
    <w:p>
      <w:pPr>
        <w:pStyle w:val="ListBullet"/>
        <w:spacing w:after="40"/>
      </w:pPr>
      <w:r>
        <w:t>Store the model identifier used during replay and shadow testing.</w:t>
      </w:r>
    </w:p>
    <w:p>
      <w:pPr>
        <w:pStyle w:val="ListBullet"/>
        <w:spacing w:after="40"/>
      </w:pPr>
      <w:r>
        <w:t>Activation points the tenant/use case to an approved immutable version; rollback points it back.</w:t>
      </w:r>
    </w:p>
    <w:p>
      <w:pPr>
        <w:pStyle w:val="Heading1"/>
      </w:pPr>
      <w:r>
        <w:t>18. Anti-Patterns</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2592"/>
            <w:shd w:fill="EEF2FF"/>
          </w:tcPr>
          <w:p>
            <w:r>
              <w:rPr>
                <w:b/>
                <w:color w:val="1E293B"/>
                <w:sz w:val="16"/>
              </w:rPr>
              <w:t>Anti-pattern</w:t>
            </w:r>
          </w:p>
        </w:tc>
        <w:tc>
          <w:tcPr>
            <w:tcW w:type="dxa" w:w="3600"/>
            <w:shd w:fill="EEF2FF"/>
          </w:tcPr>
          <w:p>
            <w:r>
              <w:rPr>
                <w:b/>
                <w:color w:val="1E293B"/>
                <w:sz w:val="16"/>
              </w:rPr>
              <w:t>Why it is harmful</w:t>
            </w:r>
          </w:p>
        </w:tc>
        <w:tc>
          <w:tcPr>
            <w:tcW w:type="dxa" w:w="3600"/>
            <w:shd w:fill="EEF2FF"/>
          </w:tcPr>
          <w:p>
            <w:r>
              <w:rPr>
                <w:b/>
                <w:color w:val="1E293B"/>
                <w:sz w:val="16"/>
              </w:rPr>
              <w:t>Preferred pattern</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One giant “pick disposition” Choice question</w:t>
            </w:r>
          </w:p>
        </w:tc>
        <w:tc>
          <w:tcPr>
            <w:tcW w:type="dxa" w:w="3600"/>
            <w:vAlign w:val="top"/>
            <w:tcBorders>
              <w:top w:sz="3" w:val="single" w:color="CBD5E1"/>
              <w:left w:sz="3" w:val="single" w:color="CBD5E1"/>
              <w:bottom w:sz="3" w:val="single" w:color="CBD5E1"/>
              <w:right w:sz="3" w:val="single" w:color="CBD5E1"/>
            </w:tcBorders>
          </w:tcPr>
          <w:p>
            <w:pPr>
              <w:spacing w:after="20"/>
            </w:pPr>
            <w:r>
              <w:rPr>
                <w:sz w:val="16"/>
              </w:rPr>
              <w:t>Mixes semantics, precedence and naming; difficult to evolve.</w:t>
            </w:r>
          </w:p>
        </w:tc>
        <w:tc>
          <w:tcPr>
            <w:tcW w:type="dxa" w:w="3600"/>
            <w:vAlign w:val="top"/>
            <w:tcBorders>
              <w:top w:sz="3" w:val="single" w:color="CBD5E1"/>
              <w:left w:sz="3" w:val="single" w:color="CBD5E1"/>
              <w:bottom w:sz="3" w:val="single" w:color="CBD5E1"/>
              <w:right w:sz="3" w:val="single" w:color="CBD5E1"/>
            </w:tcBorders>
          </w:tcPr>
          <w:p>
            <w:pPr>
              <w:spacing w:after="20"/>
            </w:pPr>
            <w:r>
              <w:rPr>
                <w:sz w:val="16"/>
              </w:rPr>
              <w:t>Decompose into reusable signals + deterministic rules.</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Putting customer codes in question IDs</w:t>
            </w:r>
          </w:p>
        </w:tc>
        <w:tc>
          <w:tcPr>
            <w:tcW w:type="dxa" w:w="3600"/>
            <w:vAlign w:val="top"/>
            <w:tcBorders>
              <w:top w:sz="3" w:val="single" w:color="CBD5E1"/>
              <w:left w:sz="3" w:val="single" w:color="CBD5E1"/>
              <w:bottom w:sz="3" w:val="single" w:color="CBD5E1"/>
              <w:right w:sz="3" w:val="single" w:color="CBD5E1"/>
            </w:tcBorders>
          </w:tcPr>
          <w:p>
            <w:pPr>
              <w:spacing w:after="20"/>
            </w:pPr>
            <w:r>
              <w:rPr>
                <w:sz w:val="16"/>
              </w:rPr>
              <w:t>Question reuse becomes impossible after taxonomy rename.</w:t>
            </w:r>
          </w:p>
        </w:tc>
        <w:tc>
          <w:tcPr>
            <w:tcW w:type="dxa" w:w="3600"/>
            <w:vAlign w:val="top"/>
            <w:tcBorders>
              <w:top w:sz="3" w:val="single" w:color="CBD5E1"/>
              <w:left w:sz="3" w:val="single" w:color="CBD5E1"/>
              <w:bottom w:sz="3" w:val="single" w:color="CBD5E1"/>
              <w:right w:sz="3" w:val="single" w:color="CBD5E1"/>
            </w:tcBorders>
          </w:tcPr>
          <w:p>
            <w:pPr>
              <w:spacing w:after="20"/>
            </w:pPr>
            <w:r>
              <w:rPr>
                <w:sz w:val="16"/>
              </w:rPr>
              <w:t>Neutral semantic IDs; customer codes only in taxonomy/rules.</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Summarizing every transcript first</w:t>
            </w:r>
          </w:p>
        </w:tc>
        <w:tc>
          <w:tcPr>
            <w:tcW w:type="dxa" w:w="3600"/>
            <w:vAlign w:val="top"/>
            <w:tcBorders>
              <w:top w:sz="3" w:val="single" w:color="CBD5E1"/>
              <w:left w:sz="3" w:val="single" w:color="CBD5E1"/>
              <w:bottom w:sz="3" w:val="single" w:color="CBD5E1"/>
              <w:right w:sz="3" w:val="single" w:color="CBD5E1"/>
            </w:tcBorders>
          </w:tcPr>
          <w:p>
            <w:pPr>
              <w:spacing w:after="20"/>
            </w:pPr>
            <w:r>
              <w:rPr>
                <w:sz w:val="16"/>
              </w:rPr>
              <w:t>Adds latency and can erase decisive phrases.</w:t>
            </w:r>
          </w:p>
        </w:tc>
        <w:tc>
          <w:tcPr>
            <w:tcW w:type="dxa" w:w="3600"/>
            <w:vAlign w:val="top"/>
            <w:tcBorders>
              <w:top w:sz="3" w:val="single" w:color="CBD5E1"/>
              <w:left w:sz="3" w:val="single" w:color="CBD5E1"/>
              <w:bottom w:sz="3" w:val="single" w:color="CBD5E1"/>
              <w:right w:sz="3" w:val="single" w:color="CBD5E1"/>
            </w:tcBorders>
          </w:tcPr>
          <w:p>
            <w:pPr>
              <w:spacing w:after="20"/>
            </w:pPr>
            <w:r>
              <w:rPr>
                <w:sz w:val="16"/>
              </w:rPr>
              <w:t>Full transcript single pass until token budget requires fallback.</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Arbitrary JavaScript/Python in JSON</w:t>
            </w:r>
          </w:p>
        </w:tc>
        <w:tc>
          <w:tcPr>
            <w:tcW w:type="dxa" w:w="3600"/>
            <w:vAlign w:val="top"/>
            <w:tcBorders>
              <w:top w:sz="3" w:val="single" w:color="CBD5E1"/>
              <w:left w:sz="3" w:val="single" w:color="CBD5E1"/>
              <w:bottom w:sz="3" w:val="single" w:color="CBD5E1"/>
              <w:right w:sz="3" w:val="single" w:color="CBD5E1"/>
            </w:tcBorders>
          </w:tcPr>
          <w:p>
            <w:pPr>
              <w:spacing w:after="20"/>
            </w:pPr>
            <w:r>
              <w:rPr>
                <w:sz w:val="16"/>
              </w:rPr>
              <w:t>Security and reproducibility risk.</w:t>
            </w:r>
          </w:p>
        </w:tc>
        <w:tc>
          <w:tcPr>
            <w:tcW w:type="dxa" w:w="3600"/>
            <w:vAlign w:val="top"/>
            <w:tcBorders>
              <w:top w:sz="3" w:val="single" w:color="CBD5E1"/>
              <w:left w:sz="3" w:val="single" w:color="CBD5E1"/>
              <w:bottom w:sz="3" w:val="single" w:color="CBD5E1"/>
              <w:right w:sz="3" w:val="single" w:color="CBD5E1"/>
            </w:tcBorders>
          </w:tcPr>
          <w:p>
            <w:pPr>
              <w:spacing w:after="20"/>
            </w:pPr>
            <w:r>
              <w:rPr>
                <w:sz w:val="16"/>
              </w:rPr>
              <w:t>Fixed declarative operator set.</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Inferring authoritative system facts</w:t>
            </w:r>
          </w:p>
        </w:tc>
        <w:tc>
          <w:tcPr>
            <w:tcW w:type="dxa" w:w="3600"/>
            <w:vAlign w:val="top"/>
            <w:tcBorders>
              <w:top w:sz="3" w:val="single" w:color="CBD5E1"/>
              <w:left w:sz="3" w:val="single" w:color="CBD5E1"/>
              <w:bottom w:sz="3" w:val="single" w:color="CBD5E1"/>
              <w:right w:sz="3" w:val="single" w:color="CBD5E1"/>
            </w:tcBorders>
          </w:tcPr>
          <w:p>
            <w:pPr>
              <w:spacing w:after="20"/>
            </w:pPr>
            <w:r>
              <w:rPr>
                <w:sz w:val="16"/>
              </w:rPr>
              <w:t>Duplicates source of truth and creates inconsistency.</w:t>
            </w:r>
          </w:p>
        </w:tc>
        <w:tc>
          <w:tcPr>
            <w:tcW w:type="dxa" w:w="3600"/>
            <w:vAlign w:val="top"/>
            <w:tcBorders>
              <w:top w:sz="3" w:val="single" w:color="CBD5E1"/>
              <w:left w:sz="3" w:val="single" w:color="CBD5E1"/>
              <w:bottom w:sz="3" w:val="single" w:color="CBD5E1"/>
              <w:right w:sz="3" w:val="single" w:color="CBD5E1"/>
            </w:tcBorders>
          </w:tcPr>
          <w:p>
            <w:pPr>
              <w:spacing w:after="20"/>
            </w:pPr>
            <w:r>
              <w:rPr>
                <w:sz w:val="16"/>
              </w:rPr>
              <w:t>Front gates/system facts.</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Using low confidence as a different disposition</w:t>
            </w:r>
          </w:p>
        </w:tc>
        <w:tc>
          <w:tcPr>
            <w:tcW w:type="dxa" w:w="3600"/>
            <w:vAlign w:val="top"/>
            <w:tcBorders>
              <w:top w:sz="3" w:val="single" w:color="CBD5E1"/>
              <w:left w:sz="3" w:val="single" w:color="CBD5E1"/>
              <w:bottom w:sz="3" w:val="single" w:color="CBD5E1"/>
              <w:right w:sz="3" w:val="single" w:color="CBD5E1"/>
            </w:tcBorders>
          </w:tcPr>
          <w:p>
            <w:pPr>
              <w:spacing w:after="20"/>
            </w:pPr>
            <w:r>
              <w:rPr>
                <w:sz w:val="16"/>
              </w:rPr>
              <w:t>Conflates uncertainty with business outcome.</w:t>
            </w:r>
          </w:p>
        </w:tc>
        <w:tc>
          <w:tcPr>
            <w:tcW w:type="dxa" w:w="3600"/>
            <w:vAlign w:val="top"/>
            <w:tcBorders>
              <w:top w:sz="3" w:val="single" w:color="CBD5E1"/>
              <w:left w:sz="3" w:val="single" w:color="CBD5E1"/>
              <w:bottom w:sz="3" w:val="single" w:color="CBD5E1"/>
              <w:right w:sz="3" w:val="single" w:color="CBD5E1"/>
            </w:tcBorders>
          </w:tcPr>
          <w:p>
            <w:pPr>
              <w:spacing w:after="20"/>
            </w:pPr>
            <w:r>
              <w:rPr>
                <w:sz w:val="16"/>
              </w:rPr>
              <w:t>Separate review/parent behavior.</w:t>
            </w:r>
          </w:p>
        </w:tc>
      </w:tr>
      <w:tr>
        <w:trPr>
          <w:cantSplit/>
        </w:trPr>
        <w:tc>
          <w:tcPr>
            <w:tcW w:type="dxa" w:w="2592"/>
            <w:vAlign w:val="top"/>
            <w:tcBorders>
              <w:top w:sz="3" w:val="single" w:color="CBD5E1"/>
              <w:left w:sz="3" w:val="single" w:color="CBD5E1"/>
              <w:bottom w:sz="3" w:val="single" w:color="CBD5E1"/>
              <w:right w:sz="3" w:val="single" w:color="CBD5E1"/>
            </w:tcBorders>
          </w:tcPr>
          <w:p>
            <w:pPr>
              <w:spacing w:after="20"/>
            </w:pPr>
            <w:r>
              <w:rPr>
                <w:sz w:val="16"/>
              </w:rPr>
              <w:t>Editing active config in place</w:t>
            </w:r>
          </w:p>
        </w:tc>
        <w:tc>
          <w:tcPr>
            <w:tcW w:type="dxa" w:w="3600"/>
            <w:vAlign w:val="top"/>
            <w:tcBorders>
              <w:top w:sz="3" w:val="single" w:color="CBD5E1"/>
              <w:left w:sz="3" w:val="single" w:color="CBD5E1"/>
              <w:bottom w:sz="3" w:val="single" w:color="CBD5E1"/>
              <w:right w:sz="3" w:val="single" w:color="CBD5E1"/>
            </w:tcBorders>
          </w:tcPr>
          <w:p>
            <w:pPr>
              <w:spacing w:after="20"/>
            </w:pPr>
            <w:r>
              <w:rPr>
                <w:sz w:val="16"/>
              </w:rPr>
              <w:t>Destroys reproducibility and rollback.</w:t>
            </w:r>
          </w:p>
        </w:tc>
        <w:tc>
          <w:tcPr>
            <w:tcW w:type="dxa" w:w="3600"/>
            <w:vAlign w:val="top"/>
            <w:tcBorders>
              <w:top w:sz="3" w:val="single" w:color="CBD5E1"/>
              <w:left w:sz="3" w:val="single" w:color="CBD5E1"/>
              <w:bottom w:sz="3" w:val="single" w:color="CBD5E1"/>
              <w:right w:sz="3" w:val="single" w:color="CBD5E1"/>
            </w:tcBorders>
          </w:tcPr>
          <w:p>
            <w:pPr>
              <w:spacing w:after="20"/>
            </w:pPr>
            <w:r>
              <w:rPr>
                <w:sz w:val="16"/>
              </w:rPr>
              <w:t>Immutable versions + activation pointer.</w:t>
            </w:r>
          </w:p>
        </w:tc>
      </w:tr>
    </w:tbl>
    <w:p>
      <w:pPr>
        <w:spacing w:after="20"/>
      </w:pPr>
    </w:p>
    <w:p>
      <w:pPr>
        <w:pStyle w:val="Heading1"/>
      </w:pPr>
      <w:r>
        <w:t>19. Onboarding Checklist</w:t>
      </w:r>
    </w:p>
    <w:p>
      <w:r>
        <w:rPr>
          <w:rFonts w:ascii="DejaVu Sans" w:hAnsi="DejaVu Sans"/>
        </w:rPr>
        <w:t xml:space="preserve">☐ </w:t>
      </w:r>
      <w:r>
        <w:t>Identity IDs are stable and lowercase.</w:t>
      </w:r>
    </w:p>
    <w:p>
      <w:r>
        <w:rPr>
          <w:rFonts w:ascii="DejaVu Sans" w:hAnsi="DejaVu Sans"/>
        </w:rPr>
        <w:t xml:space="preserve">☐ </w:t>
      </w:r>
      <w:r>
        <w:t>Input/speaker mappings match real request payloads.</w:t>
      </w:r>
    </w:p>
    <w:p>
      <w:r>
        <w:rPr>
          <w:rFonts w:ascii="DejaVu Sans" w:hAnsi="DejaVu Sans"/>
        </w:rPr>
        <w:t xml:space="preserve">☐ </w:t>
      </w:r>
      <w:r>
        <w:t>Authoritative metadata outcomes are front gates.</w:t>
      </w:r>
    </w:p>
    <w:p>
      <w:r>
        <w:rPr>
          <w:rFonts w:ascii="DejaVu Sans" w:hAnsi="DejaVu Sans"/>
        </w:rPr>
        <w:t xml:space="preserve">☐ </w:t>
      </w:r>
      <w:r>
        <w:t>Questions are narrow, neutral, and typed correctly.</w:t>
      </w:r>
    </w:p>
    <w:p>
      <w:r>
        <w:rPr>
          <w:rFonts w:ascii="DejaVu Sans" w:hAnsi="DejaVu Sans"/>
        </w:rPr>
        <w:t xml:space="preserve">☐ </w:t>
      </w:r>
      <w:r>
        <w:t>Choice options are mutually discriminating.</w:t>
      </w:r>
    </w:p>
    <w:p>
      <w:r>
        <w:rPr>
          <w:rFonts w:ascii="DejaVu Sans" w:hAnsi="DejaVu Sans"/>
        </w:rPr>
        <w:t xml:space="preserve">☐ </w:t>
      </w:r>
      <w:r>
        <w:t>Taxonomy codes/names/hierarchy exactly match external contract.</w:t>
      </w:r>
    </w:p>
    <w:p>
      <w:r>
        <w:rPr>
          <w:rFonts w:ascii="DejaVu Sans" w:hAnsi="DejaVu Sans"/>
        </w:rPr>
        <w:t xml:space="preserve">☐ </w:t>
      </w:r>
      <w:r>
        <w:t>Resolver priority table has been reviewed by the business owner.</w:t>
      </w:r>
    </w:p>
    <w:p>
      <w:r>
        <w:rPr>
          <w:rFonts w:ascii="DejaVu Sans" w:hAnsi="DejaVu Sans"/>
        </w:rPr>
        <w:t xml:space="preserve">☐ </w:t>
      </w:r>
      <w:r>
        <w:t>Every rule references existing signals/codes.</w:t>
      </w:r>
    </w:p>
    <w:p>
      <w:r>
        <w:rPr>
          <w:rFonts w:ascii="DejaVu Sans" w:hAnsi="DejaVu Sans"/>
        </w:rPr>
        <w:t xml:space="preserve">☐ </w:t>
      </w:r>
      <w:r>
        <w:t>Confidence thresholds and review/default behavior are defined.</w:t>
      </w:r>
    </w:p>
    <w:p>
      <w:r>
        <w:rPr>
          <w:rFonts w:ascii="DejaVu Sans" w:hAnsi="DejaVu Sans"/>
        </w:rPr>
        <w:t xml:space="preserve">☐ </w:t>
      </w:r>
      <w:r>
        <w:t>Long-transcript budget leaves provider headroom.</w:t>
      </w:r>
    </w:p>
    <w:p>
      <w:r>
        <w:rPr>
          <w:rFonts w:ascii="DejaVu Sans" w:hAnsi="DejaVu Sans"/>
        </w:rPr>
        <w:t xml:space="preserve">☐ </w:t>
      </w:r>
      <w:r>
        <w:t>Output aliases match downstream naming convention.</w:t>
      </w:r>
    </w:p>
    <w:p>
      <w:r>
        <w:rPr>
          <w:rFonts w:ascii="DejaVu Sans" w:hAnsi="DejaVu Sans"/>
        </w:rPr>
        <w:t xml:space="preserve">☐ </w:t>
      </w:r>
      <w:r>
        <w:t>Fixtures cover every code and major boundary.</w:t>
      </w:r>
    </w:p>
    <w:p>
      <w:r>
        <w:rPr>
          <w:rFonts w:ascii="DejaVu Sans" w:hAnsi="DejaVu Sans"/>
        </w:rPr>
        <w:t xml:space="preserve">☐ </w:t>
      </w:r>
      <w:r>
        <w:t>Schema + semantic lint passes.</w:t>
      </w:r>
    </w:p>
    <w:p>
      <w:r>
        <w:rPr>
          <w:rFonts w:ascii="DejaVu Sans" w:hAnsi="DejaVu Sans"/>
        </w:rPr>
        <w:t xml:space="preserve">☐ </w:t>
      </w:r>
      <w:r>
        <w:t>Replay metrics meet deployment policy.</w:t>
      </w:r>
    </w:p>
    <w:p>
      <w:r>
        <w:rPr>
          <w:rFonts w:ascii="DejaVu Sans" w:hAnsi="DejaVu Sans"/>
        </w:rPr>
        <w:t xml:space="preserve">☐ </w:t>
      </w:r>
      <w:r>
        <w:t>Shadow evaluation completed if required.</w:t>
      </w:r>
    </w:p>
    <w:p>
      <w:r>
        <w:rPr>
          <w:rFonts w:ascii="DejaVu Sans" w:hAnsi="DejaVu Sans"/>
        </w:rPr>
        <w:t xml:space="preserve">☐ </w:t>
      </w:r>
      <w:r>
        <w:t>Rollback target is known before activation.</w:t>
      </w:r>
    </w:p>
    <w:p>
      <w:pPr>
        <w:pStyle w:val="Heading1"/>
      </w:pPr>
      <w:r>
        <w:t>20. Reference Files</w:t>
      </w:r>
    </w:p>
    <w:p>
      <w:pPr>
        <w:pStyle w:val="ListBullet"/>
        <w:spacing w:after="40"/>
      </w:pPr>
      <w:r>
        <w:t>`config.template.json` - start here for a new use case.</w:t>
      </w:r>
    </w:p>
    <w:p>
      <w:pPr>
        <w:pStyle w:val="ListBullet"/>
        <w:spacing w:after="40"/>
      </w:pPr>
      <w:r>
        <w:t>`config.schema.json` - validate the structural contract in CI and in the control plane.</w:t>
      </w:r>
    </w:p>
    <w:p>
      <w:pPr>
        <w:pStyle w:val="ListBullet"/>
        <w:spacing w:after="40"/>
      </w:pPr>
      <w:r>
        <w:t>`PRD_Configurable_Disposition_Platform.docx` - product scope and acceptance criteria.</w:t>
      </w:r>
    </w:p>
    <w:p>
      <w:pPr>
        <w:pStyle w:val="ListBullet"/>
        <w:spacing w:after="40"/>
      </w:pPr>
      <w:r>
        <w:t>`TRD_Configurable_Disposition_Platform.docx` - implementation requirements.</w:t>
      </w:r>
    </w:p>
    <w:p>
      <w:pPr>
        <w:pStyle w:val="ListBullet"/>
        <w:spacing w:after="40"/>
      </w:pPr>
      <w:r>
        <w:t>`System_Design_Configurable_Disposition_Platform.docx` - component architecture and operational design.</w:t>
      </w:r>
    </w:p>
    <w:p>
      <w:r>
        <w:br w:type="page"/>
      </w:r>
    </w:p>
    <w:p>
      <w:pPr>
        <w:pStyle w:val="Heading1"/>
      </w:pPr>
      <w:r>
        <w:t>References</w:t>
      </w:r>
    </w:p>
    <w:p>
      <w:r>
        <w:rPr>
          <w:i/>
        </w:rPr>
        <w:t>Technical facts about Jev/System One are based on the following public documentation available at the time this baseline was authored. Runtime model names and limits should be discovered or pinned during deployment rather than assumed permanently.</w:t>
      </w:r>
    </w:p>
    <w:p>
      <w:pPr>
        <w:pStyle w:val="ListBullet"/>
      </w:pPr>
      <w:hyperlink r:id="rId9">
        <w:r>
          <w:rPr>
            <w:color w:val="2457C5"/>
            <w:u w:val="single"/>
          </w:rPr>
          <w:t>TypeSafe AI - Introducing System One Models &amp; Jev (2026-09-15)</w:t>
        </w:r>
      </w:hyperlink>
    </w:p>
    <w:p>
      <w:pPr>
        <w:pStyle w:val="ListBullet"/>
      </w:pPr>
      <w:hyperlink r:id="rId10">
        <w:r>
          <w:rPr>
            <w:color w:val="2457C5"/>
            <w:u w:val="single"/>
          </w:rPr>
          <w:t>TypeSafe API - System One API documentation</w:t>
        </w:r>
      </w:hyperlink>
    </w:p>
    <w:p>
      <w:pPr>
        <w:pStyle w:val="ListBullet"/>
      </w:pPr>
      <w:hyperlink r:id="rId11">
        <w:r>
          <w:rPr>
            <w:color w:val="2457C5"/>
            <w:u w:val="single"/>
          </w:rPr>
          <w:t>Cloudflare AI - typesafe/jev model documentation</w:t>
        </w:r>
      </w:hyperlink>
    </w:p>
    <w:p>
      <w:pPr>
        <w:pStyle w:val="ListBullet"/>
      </w:pPr>
      <w:hyperlink r:id="rId12">
        <w:r>
          <w:rPr>
            <w:color w:val="2457C5"/>
            <w:u w:val="single"/>
          </w:rPr>
          <w:t>TypeSafe - Workflow evaluations and primitive descriptions</w:t>
        </w:r>
      </w:hyperlink>
    </w:p>
    <w:sectPr w:rsidR="00FC693F" w:rsidRPr="0006063C" w:rsidSect="00034616">
      <w:headerReference w:type="default" r:id="rId13"/>
      <w:footerReference w:type="default" r:id="rId14"/>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68"/>
      <w:gridCol w:w="4968"/>
    </w:tblGrid>
    <w:tr>
      <w:tc>
        <w:tcPr>
          <w:tcW w:type="dxa" w:w="4968"/>
        </w:tcPr>
        <w:p>
          <w:r>
            <w:rPr>
              <w:color w:val="64748B"/>
              <w:sz w:val="14"/>
            </w:rPr>
            <w:t>Configurable Disposition Intelligence Platform</w:t>
          </w:r>
        </w:p>
      </w:tc>
      <w:tc>
        <w:tcPr>
          <w:tcW w:type="dxa" w:w="4968"/>
        </w:tcPr>
        <w:p>
          <w:pPr>
            <w:jc w:val="right"/>
          </w:pPr>
          <w:r>
            <w:rPr>
              <w:color w:val="64748B"/>
              <w:sz w:val="14"/>
            </w:rPr>
            <w:t>Confidential - Engineering Specification</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5"/>
      </w:rPr>
      <w:t>JSON_CONFIGURATION_GUIDE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E293B"/>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57C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E29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E29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right="216"/>
    </w:pPr>
    <w:rPr>
      <w:rFonts w:ascii="DejaVu Sans Mono" w:hAnsi="DejaVu Sans Mono"/>
      <w:color w:val="1E293B"/>
      <w:sz w:val="15"/>
    </w:rPr>
  </w:style>
  <w:style w:type="paragraph" w:customStyle="1" w:styleId="SmallNote">
    <w:name w:val="Small Note"/>
    <w:pPr>
      <w:spacing w:after="80"/>
    </w:pPr>
    <w:rPr>
      <w:rFonts w:ascii="Aptos" w:hAnsi="Aptos"/>
      <w:color w:val="64748B"/>
      <w:sz w:val="16"/>
    </w:rPr>
  </w:style>
  <w:style w:type="paragraph" w:customStyle="1" w:styleId="Requirement">
    <w:name w:val="Requirement"/>
    <w:pPr>
      <w:spacing w:after="60"/>
      <w:ind w:left="216" w:hanging="216"/>
    </w:pPr>
    <w:rPr>
      <w:rFonts w:ascii="Aptos" w:hAnsi="Aptos"/>
      <w:color w:val="1E293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ypesafe.ai/blog/introducing-system-one-models-and-jev" TargetMode="External"/><Relationship Id="rId10" Type="http://schemas.openxmlformats.org/officeDocument/2006/relationships/hyperlink" Target="https://api.typesafe.ai/docs" TargetMode="External"/><Relationship Id="rId11" Type="http://schemas.openxmlformats.org/officeDocument/2006/relationships/hyperlink" Target="https://developers.cloudflare.com/ai/models/typesafe/jev/" TargetMode="External"/><Relationship Id="rId12" Type="http://schemas.openxmlformats.org/officeDocument/2006/relationships/hyperlink" Target="https://evals.typesafe.ai/"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