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457C5"/>
          <w:sz w:val="20"/>
        </w:rPr>
        <w:t>CONFIGURABLE DISPOSITION INTELLIGENCE PLATFORM</w:t>
      </w:r>
    </w:p>
    <w:p>
      <w:pPr>
        <w:pStyle w:val="Title"/>
      </w:pPr>
      <w:r>
        <w:t>Product Requirements Document (PRD)</w:t>
      </w:r>
    </w:p>
    <w:p>
      <w:r>
        <w:rPr>
          <w:color w:val="64748B"/>
          <w:sz w:val="24"/>
        </w:rPr>
        <w:t>Configuration-first product requirements for a reusable disposition and outcome-classification platform.</w:t>
      </w:r>
    </w:p>
    <w:p/>
    <w:tbl>
      <w:tblPr>
        <w:tblStyle w:val="TableGrid"/>
        <w:tblW w:type="auto" w:w="0"/>
        <w:jc w:val="left"/>
        <w:tblLook w:firstColumn="1" w:firstRow="1" w:lastColumn="0" w:lastRow="0" w:noHBand="0" w:noVBand="1" w:val="04A0"/>
      </w:tblPr>
      <w:tblGrid>
        <w:gridCol w:w="4320"/>
        <w:gridCol w:w="4320"/>
      </w:tblGrid>
      <w:tr>
        <w:tc>
          <w:tcPr>
            <w:tcW w:type="dxa" w:w="4320"/>
            <w:shd w:fill="EEF2FF"/>
            <w:vAlign w:val="center"/>
            <w:tcBorders>
              <w:top w:sz="4" w:val="single" w:color="CBD5E1"/>
              <w:left w:sz="4" w:val="single" w:color="CBD5E1"/>
              <w:bottom w:sz="4" w:val="single" w:color="CBD5E1"/>
              <w:right w:sz="4" w:val="single" w:color="CBD5E1"/>
            </w:tcBorders>
          </w:tcPr>
          <w:p>
            <w:r>
              <w:rPr>
                <w:b/>
              </w:rPr>
              <w:t>Document ID</w:t>
            </w:r>
          </w:p>
        </w:tc>
        <w:tc>
          <w:tcPr>
            <w:tcW w:type="dxa" w:w="4320"/>
            <w:vAlign w:val="center"/>
            <w:tcBorders>
              <w:top w:sz="4" w:val="single" w:color="CBD5E1"/>
              <w:left w:sz="4" w:val="single" w:color="CBD5E1"/>
              <w:bottom w:sz="4" w:val="single" w:color="CBD5E1"/>
              <w:right w:sz="4" w:val="single" w:color="CBD5E1"/>
            </w:tcBorders>
          </w:tcPr>
          <w:p>
            <w:r>
              <w:t>PRD-CDIP-001</w:t>
            </w:r>
          </w:p>
        </w:tc>
      </w:tr>
      <w:tr>
        <w:tc>
          <w:tcPr>
            <w:tcW w:type="dxa" w:w="4320"/>
            <w:shd w:fill="EEF2FF"/>
            <w:vAlign w:val="center"/>
            <w:tcBorders>
              <w:top w:sz="4" w:val="single" w:color="CBD5E1"/>
              <w:left w:sz="4" w:val="single" w:color="CBD5E1"/>
              <w:bottom w:sz="4" w:val="single" w:color="CBD5E1"/>
              <w:right w:sz="4" w:val="single" w:color="CBD5E1"/>
            </w:tcBorders>
          </w:tcPr>
          <w:p>
            <w:r>
              <w:rPr>
                <w:b/>
              </w:rPr>
              <w:t>Version</w:t>
            </w:r>
          </w:p>
        </w:tc>
        <w:tc>
          <w:tcPr>
            <w:tcW w:type="dxa" w:w="4320"/>
            <w:vAlign w:val="center"/>
            <w:tcBorders>
              <w:top w:sz="4" w:val="single" w:color="CBD5E1"/>
              <w:left w:sz="4" w:val="single" w:color="CBD5E1"/>
              <w:bottom w:sz="4" w:val="single" w:color="CBD5E1"/>
              <w:right w:sz="4" w:val="single" w:color="CBD5E1"/>
            </w:tcBorders>
          </w:tcPr>
          <w:p>
            <w:r>
              <w:t>1.0</w:t>
            </w:r>
          </w:p>
        </w:tc>
      </w:tr>
      <w:tr>
        <w:tc>
          <w:tcPr>
            <w:tcW w:type="dxa" w:w="4320"/>
            <w:shd w:fill="EEF2FF"/>
            <w:vAlign w:val="center"/>
            <w:tcBorders>
              <w:top w:sz="4" w:val="single" w:color="CBD5E1"/>
              <w:left w:sz="4" w:val="single" w:color="CBD5E1"/>
              <w:bottom w:sz="4" w:val="single" w:color="CBD5E1"/>
              <w:right w:sz="4" w:val="single" w:color="CBD5E1"/>
            </w:tcBorders>
          </w:tcPr>
          <w:p>
            <w:r>
              <w:rPr>
                <w:b/>
              </w:rPr>
              <w:t>Status</w:t>
            </w:r>
          </w:p>
        </w:tc>
        <w:tc>
          <w:tcPr>
            <w:tcW w:type="dxa" w:w="4320"/>
            <w:vAlign w:val="center"/>
            <w:tcBorders>
              <w:top w:sz="4" w:val="single" w:color="CBD5E1"/>
              <w:left w:sz="4" w:val="single" w:color="CBD5E1"/>
              <w:bottom w:sz="4" w:val="single" w:color="CBD5E1"/>
              <w:right w:sz="4" w:val="single" w:color="CBD5E1"/>
            </w:tcBorders>
          </w:tcPr>
          <w:p>
            <w:r>
              <w:t>Proposed baseline</w:t>
            </w:r>
          </w:p>
        </w:tc>
      </w:tr>
      <w:tr>
        <w:tc>
          <w:tcPr>
            <w:tcW w:type="dxa" w:w="4320"/>
            <w:shd w:fill="EEF2FF"/>
            <w:vAlign w:val="center"/>
            <w:tcBorders>
              <w:top w:sz="4" w:val="single" w:color="CBD5E1"/>
              <w:left w:sz="4" w:val="single" w:color="CBD5E1"/>
              <w:bottom w:sz="4" w:val="single" w:color="CBD5E1"/>
              <w:right w:sz="4" w:val="single" w:color="CBD5E1"/>
            </w:tcBorders>
          </w:tcPr>
          <w:p>
            <w:r>
              <w:rPr>
                <w:b/>
              </w:rPr>
              <w:t>Design principle</w:t>
            </w:r>
          </w:p>
        </w:tc>
        <w:tc>
          <w:tcPr>
            <w:tcW w:type="dxa" w:w="4320"/>
            <w:vAlign w:val="center"/>
            <w:tcBorders>
              <w:top w:sz="4" w:val="single" w:color="CBD5E1"/>
              <w:left w:sz="4" w:val="single" w:color="CBD5E1"/>
              <w:bottom w:sz="4" w:val="single" w:color="CBD5E1"/>
              <w:right w:sz="4" w:val="single" w:color="CBD5E1"/>
            </w:tcBorders>
          </w:tcPr>
          <w:p>
            <w:r>
              <w:t>New tenants and use cases are onboarded through versioned JSON configuration; the shared runtime does not require use-case-specific code changes.</w:t>
            </w:r>
          </w:p>
        </w:tc>
      </w:tr>
    </w:tbl>
    <w:p/>
    <w:p>
      <w:pPr>
        <w:pStyle w:val="SmallNote"/>
      </w:pPr>
      <w:r>
        <w:t>Scope note: This specification is intentionally tenant-neutral and use-case-neutral. Business semantics, naming conventions, taxonomies, priorities, thresholds, and mappings are supplied by configuration.</w:t>
      </w:r>
    </w:p>
    <w:p>
      <w:r>
        <w:br w:type="page"/>
      </w:r>
    </w:p>
    <w:p>
      <w:pPr>
        <w:pStyle w:val="Heading1"/>
      </w:pPr>
      <w:r>
        <w:t>Contents</w:t>
      </w:r>
    </w:p>
    <w:p>
      <w:r>
        <w:rPr>
          <w:b/>
          <w:color w:val="1E293B"/>
        </w:rPr>
        <w:t>1. Executive Summary</w:t>
      </w:r>
    </w:p>
    <w:p>
      <w:r>
        <w:rPr>
          <w:b/>
          <w:color w:val="1E293B"/>
        </w:rPr>
        <w:t>2. Problem and Opportunity</w:t>
      </w:r>
    </w:p>
    <w:p>
      <w:r>
        <w:rPr>
          <w:b/>
          <w:color w:val="1E293B"/>
        </w:rPr>
        <w:t>3. Product Goals and Non-Goals</w:t>
      </w:r>
    </w:p>
    <w:p>
      <w:r>
        <w:rPr>
          <w:b/>
          <w:color w:val="1E293B"/>
        </w:rPr>
        <w:t>4. Product Principles</w:t>
      </w:r>
    </w:p>
    <w:p>
      <w:r>
        <w:rPr>
          <w:b/>
          <w:color w:val="1E293B"/>
        </w:rPr>
        <w:t>5. Users and Stakeholders</w:t>
      </w:r>
    </w:p>
    <w:p>
      <w:r>
        <w:rPr>
          <w:b/>
          <w:color w:val="1E293B"/>
        </w:rPr>
        <w:t>6. Functional Requirements</w:t>
      </w:r>
    </w:p>
    <w:p>
      <w:r>
        <w:rPr>
          <w:b/>
          <w:color w:val="1E293B"/>
        </w:rPr>
        <w:t>7. Configurability Contract</w:t>
      </w:r>
    </w:p>
    <w:p>
      <w:r>
        <w:rPr>
          <w:b/>
          <w:color w:val="1E293B"/>
        </w:rPr>
        <w:t>8. Core User Journeys</w:t>
      </w:r>
    </w:p>
    <w:p>
      <w:r>
        <w:rPr>
          <w:b/>
          <w:color w:val="1E293B"/>
        </w:rPr>
        <w:t>9. Long-Transcript Readiness</w:t>
      </w:r>
    </w:p>
    <w:p>
      <w:r>
        <w:rPr>
          <w:b/>
          <w:color w:val="1E293B"/>
        </w:rPr>
        <w:t>10. Human Review and Confidence</w:t>
      </w:r>
    </w:p>
    <w:p>
      <w:r>
        <w:rPr>
          <w:b/>
          <w:color w:val="1E293B"/>
        </w:rPr>
        <w:t>11. Governance and Versioning</w:t>
      </w:r>
    </w:p>
    <w:p>
      <w:r>
        <w:rPr>
          <w:b/>
          <w:color w:val="1E293B"/>
        </w:rPr>
        <w:t>12. Success Metrics</w:t>
      </w:r>
    </w:p>
    <w:p>
      <w:r>
        <w:rPr>
          <w:b/>
          <w:color w:val="1E293B"/>
        </w:rPr>
        <w:t>13. Acceptance Criteria</w:t>
      </w:r>
    </w:p>
    <w:p>
      <w:r>
        <w:rPr>
          <w:b/>
          <w:color w:val="1E293B"/>
        </w:rPr>
        <w:t>14. Risks and Mitigations</w:t>
      </w:r>
    </w:p>
    <w:p>
      <w:r>
        <w:rPr>
          <w:b/>
          <w:color w:val="1E293B"/>
        </w:rPr>
        <w:t>15. Rollout Plan</w:t>
      </w:r>
    </w:p>
    <w:p>
      <w:r>
        <w:rPr>
          <w:b/>
          <w:color w:val="1E293B"/>
        </w:rPr>
        <w:t>16. References</w:t>
      </w:r>
    </w:p>
    <w:p>
      <w:r>
        <w:br w:type="page"/>
      </w:r>
    </w:p>
    <w:p>
      <w:pPr>
        <w:pStyle w:val="Heading1"/>
      </w:pPr>
      <w:r>
        <w:t>1. Executive Summary</w:t>
      </w:r>
    </w:p>
    <w:p>
      <w:r>
        <w:t>The product is a multi-tenant disposition intelligence platform that converts call transcripts plus optional metadata and system facts into a customer-defined disposition. The product separates reusable intelligence and orchestration from customer-specific semantics. A new tenant or use case is onboarded by publishing a validated JSON configuration; the shared runtime remains unchanged.</w:t>
      </w:r>
    </w:p>
    <w:tbl>
      <w:tblPr>
        <w:tblW w:type="auto" w:w="0"/>
        <w:jc w:val="center"/>
        <w:tblLook w:firstColumn="1" w:firstRow="1" w:lastColumn="0" w:lastRow="0" w:noHBand="0" w:noVBand="1" w:val="04A0"/>
      </w:tblPr>
      <w:tblGrid>
        <w:gridCol w:w="8640"/>
      </w:tblGrid>
      <w:tr>
        <w:tc>
          <w:tcPr>
            <w:tcW w:type="dxa" w:w="8640"/>
            <w:shd w:fill="ECFDF5"/>
            <w:tcBorders>
              <w:top w:sz="0" w:val="nil" w:color="ECFDF5"/>
              <w:left w:sz="18" w:val="single" w:color="15803D"/>
              <w:bottom w:sz="0" w:val="nil" w:color="ECFDF5"/>
              <w:right w:sz="0" w:val="nil" w:color="ECFDF5"/>
            </w:tcBorders>
          </w:tcPr>
          <w:p>
            <w:r>
              <w:rPr>
                <w:b/>
                <w:color w:val="15803D"/>
              </w:rPr>
              <w:t xml:space="preserve">Primary product promise  </w:t>
            </w:r>
            <w:r>
              <w:t>If a new use case can express its inputs, typed semantic questions, taxonomy, deterministic precedence rules, thresholds, and output mapping in the supported JSON schema, it can be deployed without a code change.</w:t>
            </w:r>
          </w:p>
        </w:tc>
      </w:tr>
    </w:tbl>
    <w:p>
      <w:pPr>
        <w:spacing w:after="20"/>
      </w:pPr>
    </w:p>
    <w:p>
      <w:r>
        <w:t>The platform uses typed model decisions (Noul, Choice, and Score) as semantic signals and applies deterministic business rules in code. This keeps names, hierarchy, priority, and policy behavior explicit, reviewable, testable, and versioned.</w:t>
      </w:r>
    </w:p>
    <w:p>
      <w:pPr>
        <w:pStyle w:val="Heading1"/>
      </w:pPr>
      <w:r>
        <w:t>2. Problem and Opportunity</w:t>
      </w:r>
    </w:p>
    <w:p>
      <w:pPr>
        <w:pStyle w:val="ListBullet"/>
        <w:spacing w:after="40"/>
      </w:pPr>
      <w:r>
        <w:rPr>
          <w:b/>
        </w:rPr>
        <w:t xml:space="preserve">Repeated implementation cost. </w:t>
      </w:r>
      <w:r>
        <w:t>Disposition systems are often rebuilt per client because labels, hierarchy, exceptions, and priority rules leak into application code.</w:t>
      </w:r>
    </w:p>
    <w:p>
      <w:pPr>
        <w:pStyle w:val="ListBullet"/>
        <w:spacing w:after="40"/>
      </w:pPr>
      <w:r>
        <w:rPr>
          <w:b/>
        </w:rPr>
        <w:t xml:space="preserve">Inconsistent AI behavior. </w:t>
      </w:r>
      <w:r>
        <w:t>Large monolithic prompts mix semantic interpretation with business policy, making changes difficult to reason about and regression-test.</w:t>
      </w:r>
    </w:p>
    <w:p>
      <w:pPr>
        <w:pStyle w:val="ListBullet"/>
        <w:spacing w:after="40"/>
      </w:pPr>
      <w:r>
        <w:rPr>
          <w:b/>
        </w:rPr>
        <w:t xml:space="preserve">Long-tail transcript size. </w:t>
      </w:r>
      <w:r>
        <w:t>Most calls are modest, but the platform must safely process rare oversized transcripts without forcing every request through an expensive chunking pipeline.</w:t>
      </w:r>
    </w:p>
    <w:p>
      <w:pPr>
        <w:pStyle w:val="ListBullet"/>
        <w:spacing w:after="40"/>
      </w:pPr>
      <w:r>
        <w:rPr>
          <w:b/>
        </w:rPr>
        <w:t xml:space="preserve">Operational governance. </w:t>
      </w:r>
      <w:r>
        <w:t>Taxonomy changes need traceability, approval, replay testing, rollback, and observability.</w:t>
      </w:r>
    </w:p>
    <w:p>
      <w:pPr>
        <w:pStyle w:val="ListBullet"/>
        <w:spacing w:after="40"/>
      </w:pPr>
      <w:r>
        <w:rPr>
          <w:b/>
        </w:rPr>
        <w:t xml:space="preserve">Naming variability. </w:t>
      </w:r>
      <w:r>
        <w:t>Different customers can use different external codes and names for semantically similar outcomes; these names must never be hardcoded in shared logic.</w:t>
      </w:r>
    </w:p>
    <w:p>
      <w:pPr>
        <w:pStyle w:val="Heading1"/>
      </w:pPr>
      <w:r>
        <w:t>3. Product Goals and Non-Goals</w:t>
      </w:r>
    </w:p>
    <w:p>
      <w:pPr>
        <w:pStyle w:val="Heading2"/>
      </w:pPr>
      <w:r>
        <w:t>3.1 Goals</w:t>
      </w:r>
    </w:p>
    <w:p>
      <w:pPr>
        <w:pStyle w:val="ListBullet"/>
        <w:spacing w:after="40"/>
      </w:pPr>
      <w:r>
        <w:t>Onboard a new tenant/use case through JSON configuration only, within the platform configuration envelope.</w:t>
      </w:r>
    </w:p>
    <w:p>
      <w:pPr>
        <w:pStyle w:val="ListBullet"/>
        <w:spacing w:after="40"/>
      </w:pPr>
      <w:r>
        <w:t>Support arbitrary customer disposition codes, names, hierarchy depths, flags, and metadata.</w:t>
      </w:r>
    </w:p>
    <w:p>
      <w:pPr>
        <w:pStyle w:val="ListBullet"/>
        <w:spacing w:after="40"/>
      </w:pPr>
      <w:r>
        <w:t>Support configurable Noul, Choice, and Score questions without application code changes.</w:t>
      </w:r>
    </w:p>
    <w:p>
      <w:pPr>
        <w:pStyle w:val="ListBullet"/>
        <w:spacing w:after="40"/>
      </w:pPr>
      <w:r>
        <w:t>Support deterministic front gates based on external metadata/system facts before model inference.</w:t>
      </w:r>
    </w:p>
    <w:p>
      <w:pPr>
        <w:pStyle w:val="ListBullet"/>
        <w:spacing w:after="40"/>
      </w:pPr>
      <w:r>
        <w:t>Support explicit, deterministic rule precedence after model inference.</w:t>
      </w:r>
    </w:p>
    <w:p>
      <w:pPr>
        <w:pStyle w:val="ListBullet"/>
        <w:spacing w:after="40"/>
      </w:pPr>
      <w:r>
        <w:t>Handle normal transcripts in a single typed-evaluation request and route only oversized transcripts to chunking.</w:t>
      </w:r>
    </w:p>
    <w:p>
      <w:pPr>
        <w:pStyle w:val="ListBullet"/>
        <w:spacing w:after="40"/>
      </w:pPr>
      <w:r>
        <w:t>Expose confidence, processing path, matched rule, model usage, and config version for auditability.</w:t>
      </w:r>
    </w:p>
    <w:p>
      <w:pPr>
        <w:pStyle w:val="ListBullet"/>
        <w:spacing w:after="40"/>
      </w:pPr>
      <w:r>
        <w:t>Provide safe human-review behavior when confidence or evidence is insufficient.</w:t>
      </w:r>
    </w:p>
    <w:p>
      <w:pPr>
        <w:pStyle w:val="ListBullet"/>
        <w:spacing w:after="40"/>
      </w:pPr>
      <w:r>
        <w:t>Allow staged rollout, shadow evaluation, fixture replay, activation, and rollback of configurations.</w:t>
      </w:r>
    </w:p>
    <w:p>
      <w:pPr>
        <w:pStyle w:val="Heading2"/>
      </w:pPr>
      <w:r>
        <w:t>3.2 Non-Goals</w:t>
      </w:r>
    </w:p>
    <w:p>
      <w:pPr>
        <w:pStyle w:val="ListBullet"/>
        <w:spacing w:after="40"/>
      </w:pPr>
      <w:r>
        <w:t>Generating conversational responses to customers.</w:t>
      </w:r>
    </w:p>
    <w:p>
      <w:pPr>
        <w:pStyle w:val="ListBullet"/>
        <w:spacing w:after="40"/>
      </w:pPr>
      <w:r>
        <w:t>Embedding tenant-specific business code, Python, JavaScript, or arbitrary executable expressions in configuration.</w:t>
      </w:r>
    </w:p>
    <w:p>
      <w:pPr>
        <w:pStyle w:val="ListBullet"/>
        <w:spacing w:after="40"/>
      </w:pPr>
      <w:r>
        <w:t>Treating model output as the sole source of truth when authoritative system facts are available.</w:t>
      </w:r>
    </w:p>
    <w:p>
      <w:pPr>
        <w:pStyle w:val="ListBullet"/>
        <w:spacing w:after="40"/>
      </w:pPr>
      <w:r>
        <w:t>Replacing source systems, dialers, CRMs, transcript providers, or human QA workflows.</w:t>
      </w:r>
    </w:p>
    <w:p>
      <w:pPr>
        <w:pStyle w:val="ListBullet"/>
        <w:spacing w:after="40"/>
      </w:pPr>
      <w:r>
        <w:t>Guaranteeing that every future use case is representable without platform evolution; the product instead defines a broad, versioned configuration contract.</w:t>
      </w:r>
    </w:p>
    <w:p>
      <w:pPr>
        <w:pStyle w:val="Heading1"/>
      </w:pPr>
      <w:r>
        <w:t>4. Product Principles</w:t>
      </w: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2448"/>
            <w:shd w:fill="EEF2FF"/>
          </w:tcPr>
          <w:p>
            <w:r>
              <w:rPr>
                <w:b/>
                <w:color w:val="1E293B"/>
                <w:sz w:val="17"/>
              </w:rPr>
              <w:t>Principle</w:t>
            </w:r>
          </w:p>
        </w:tc>
        <w:tc>
          <w:tcPr>
            <w:tcW w:type="dxa" w:w="7344"/>
            <w:shd w:fill="EEF2FF"/>
          </w:tcPr>
          <w:p>
            <w:r>
              <w:rPr>
                <w:b/>
                <w:color w:val="1E293B"/>
                <w:sz w:val="17"/>
              </w:rPr>
              <w:t>Product meaning</w:t>
            </w:r>
          </w:p>
        </w:tc>
      </w:tr>
      <w:tr>
        <w:trPr>
          <w:cantSplit/>
        </w:trPr>
        <w:tc>
          <w:tcPr>
            <w:tcW w:type="dxa" w:w="2448"/>
            <w:vAlign w:val="top"/>
            <w:tcBorders>
              <w:top w:sz="3" w:val="single" w:color="CBD5E1"/>
              <w:left w:sz="3" w:val="single" w:color="CBD5E1"/>
              <w:bottom w:sz="3" w:val="single" w:color="CBD5E1"/>
              <w:right w:sz="3" w:val="single" w:color="CBD5E1"/>
            </w:tcBorders>
          </w:tcPr>
          <w:p>
            <w:pPr>
              <w:spacing w:after="20"/>
            </w:pPr>
            <w:r>
              <w:rPr>
                <w:sz w:val="17"/>
              </w:rPr>
              <w:t>Configuration over forks</w:t>
            </w:r>
          </w:p>
        </w:tc>
        <w:tc>
          <w:tcPr>
            <w:tcW w:type="dxa" w:w="7344"/>
            <w:vAlign w:val="top"/>
            <w:tcBorders>
              <w:top w:sz="3" w:val="single" w:color="CBD5E1"/>
              <w:left w:sz="3" w:val="single" w:color="CBD5E1"/>
              <w:bottom w:sz="3" w:val="single" w:color="CBD5E1"/>
              <w:right w:sz="3" w:val="single" w:color="CBD5E1"/>
            </w:tcBorders>
          </w:tcPr>
          <w:p>
            <w:pPr>
              <w:spacing w:after="20"/>
            </w:pPr>
            <w:r>
              <w:rPr>
                <w:sz w:val="17"/>
              </w:rPr>
              <w:t>Business semantics live in versioned config, not per-tenant branches.</w:t>
            </w:r>
          </w:p>
        </w:tc>
      </w:tr>
      <w:tr>
        <w:trPr>
          <w:cantSplit/>
        </w:trPr>
        <w:tc>
          <w:tcPr>
            <w:tcW w:type="dxa" w:w="2448"/>
            <w:vAlign w:val="top"/>
            <w:tcBorders>
              <w:top w:sz="3" w:val="single" w:color="CBD5E1"/>
              <w:left w:sz="3" w:val="single" w:color="CBD5E1"/>
              <w:bottom w:sz="3" w:val="single" w:color="CBD5E1"/>
              <w:right w:sz="3" w:val="single" w:color="CBD5E1"/>
            </w:tcBorders>
          </w:tcPr>
          <w:p>
            <w:pPr>
              <w:spacing w:after="20"/>
            </w:pPr>
            <w:r>
              <w:rPr>
                <w:sz w:val="17"/>
              </w:rPr>
              <w:t>Typed decisions over generated labels</w:t>
            </w:r>
          </w:p>
        </w:tc>
        <w:tc>
          <w:tcPr>
            <w:tcW w:type="dxa" w:w="7344"/>
            <w:vAlign w:val="top"/>
            <w:tcBorders>
              <w:top w:sz="3" w:val="single" w:color="CBD5E1"/>
              <w:left w:sz="3" w:val="single" w:color="CBD5E1"/>
              <w:bottom w:sz="3" w:val="single" w:color="CBD5E1"/>
              <w:right w:sz="3" w:val="single" w:color="CBD5E1"/>
            </w:tcBorders>
          </w:tcPr>
          <w:p>
            <w:pPr>
              <w:spacing w:after="20"/>
            </w:pPr>
            <w:r>
              <w:rPr>
                <w:sz w:val="17"/>
              </w:rPr>
              <w:t>Models answer narrow typed questions; code resolves the final taxonomy.</w:t>
            </w:r>
          </w:p>
        </w:tc>
      </w:tr>
      <w:tr>
        <w:trPr>
          <w:cantSplit/>
        </w:trPr>
        <w:tc>
          <w:tcPr>
            <w:tcW w:type="dxa" w:w="2448"/>
            <w:vAlign w:val="top"/>
            <w:tcBorders>
              <w:top w:sz="3" w:val="single" w:color="CBD5E1"/>
              <w:left w:sz="3" w:val="single" w:color="CBD5E1"/>
              <w:bottom w:sz="3" w:val="single" w:color="CBD5E1"/>
              <w:right w:sz="3" w:val="single" w:color="CBD5E1"/>
            </w:tcBorders>
          </w:tcPr>
          <w:p>
            <w:pPr>
              <w:spacing w:after="20"/>
            </w:pPr>
            <w:r>
              <w:rPr>
                <w:sz w:val="17"/>
              </w:rPr>
              <w:t>Deterministic policy</w:t>
            </w:r>
          </w:p>
        </w:tc>
        <w:tc>
          <w:tcPr>
            <w:tcW w:type="dxa" w:w="7344"/>
            <w:vAlign w:val="top"/>
            <w:tcBorders>
              <w:top w:sz="3" w:val="single" w:color="CBD5E1"/>
              <w:left w:sz="3" w:val="single" w:color="CBD5E1"/>
              <w:bottom w:sz="3" w:val="single" w:color="CBD5E1"/>
              <w:right w:sz="3" w:val="single" w:color="CBD5E1"/>
            </w:tcBorders>
          </w:tcPr>
          <w:p>
            <w:pPr>
              <w:spacing w:after="20"/>
            </w:pPr>
            <w:r>
              <w:rPr>
                <w:sz w:val="17"/>
              </w:rPr>
              <w:t>Priority, overrides, and abstention are implemented by an explicit rule engine.</w:t>
            </w:r>
          </w:p>
        </w:tc>
      </w:tr>
      <w:tr>
        <w:trPr>
          <w:cantSplit/>
        </w:trPr>
        <w:tc>
          <w:tcPr>
            <w:tcW w:type="dxa" w:w="2448"/>
            <w:vAlign w:val="top"/>
            <w:tcBorders>
              <w:top w:sz="3" w:val="single" w:color="CBD5E1"/>
              <w:left w:sz="3" w:val="single" w:color="CBD5E1"/>
              <w:bottom w:sz="3" w:val="single" w:color="CBD5E1"/>
              <w:right w:sz="3" w:val="single" w:color="CBD5E1"/>
            </w:tcBorders>
          </w:tcPr>
          <w:p>
            <w:pPr>
              <w:spacing w:after="20"/>
            </w:pPr>
            <w:r>
              <w:rPr>
                <w:sz w:val="17"/>
              </w:rPr>
              <w:t>Fast path first</w:t>
            </w:r>
          </w:p>
        </w:tc>
        <w:tc>
          <w:tcPr>
            <w:tcW w:type="dxa" w:w="7344"/>
            <w:vAlign w:val="top"/>
            <w:tcBorders>
              <w:top w:sz="3" w:val="single" w:color="CBD5E1"/>
              <w:left w:sz="3" w:val="single" w:color="CBD5E1"/>
              <w:bottom w:sz="3" w:val="single" w:color="CBD5E1"/>
              <w:right w:sz="3" w:val="single" w:color="CBD5E1"/>
            </w:tcBorders>
          </w:tcPr>
          <w:p>
            <w:pPr>
              <w:spacing w:after="20"/>
            </w:pPr>
            <w:r>
              <w:rPr>
                <w:sz w:val="17"/>
              </w:rPr>
              <w:t>The common case uses one model request; long-transcript processing is a fallback.</w:t>
            </w:r>
          </w:p>
        </w:tc>
      </w:tr>
      <w:tr>
        <w:trPr>
          <w:cantSplit/>
        </w:trPr>
        <w:tc>
          <w:tcPr>
            <w:tcW w:type="dxa" w:w="2448"/>
            <w:vAlign w:val="top"/>
            <w:tcBorders>
              <w:top w:sz="3" w:val="single" w:color="CBD5E1"/>
              <w:left w:sz="3" w:val="single" w:color="CBD5E1"/>
              <w:bottom w:sz="3" w:val="single" w:color="CBD5E1"/>
              <w:right w:sz="3" w:val="single" w:color="CBD5E1"/>
            </w:tcBorders>
          </w:tcPr>
          <w:p>
            <w:pPr>
              <w:spacing w:after="20"/>
            </w:pPr>
            <w:r>
              <w:rPr>
                <w:sz w:val="17"/>
              </w:rPr>
              <w:t>Authoritative facts first</w:t>
            </w:r>
          </w:p>
        </w:tc>
        <w:tc>
          <w:tcPr>
            <w:tcW w:type="dxa" w:w="7344"/>
            <w:vAlign w:val="top"/>
            <w:tcBorders>
              <w:top w:sz="3" w:val="single" w:color="CBD5E1"/>
              <w:left w:sz="3" w:val="single" w:color="CBD5E1"/>
              <w:bottom w:sz="3" w:val="single" w:color="CBD5E1"/>
              <w:right w:sz="3" w:val="single" w:color="CBD5E1"/>
            </w:tcBorders>
          </w:tcPr>
          <w:p>
            <w:pPr>
              <w:spacing w:after="20"/>
            </w:pPr>
            <w:r>
              <w:rPr>
                <w:sz w:val="17"/>
              </w:rPr>
              <w:t>Telephony and system facts can resolve outcomes before inference.</w:t>
            </w:r>
          </w:p>
        </w:tc>
      </w:tr>
      <w:tr>
        <w:trPr>
          <w:cantSplit/>
        </w:trPr>
        <w:tc>
          <w:tcPr>
            <w:tcW w:type="dxa" w:w="2448"/>
            <w:vAlign w:val="top"/>
            <w:tcBorders>
              <w:top w:sz="3" w:val="single" w:color="CBD5E1"/>
              <w:left w:sz="3" w:val="single" w:color="CBD5E1"/>
              <w:bottom w:sz="3" w:val="single" w:color="CBD5E1"/>
              <w:right w:sz="3" w:val="single" w:color="CBD5E1"/>
            </w:tcBorders>
          </w:tcPr>
          <w:p>
            <w:pPr>
              <w:spacing w:after="20"/>
            </w:pPr>
            <w:r>
              <w:rPr>
                <w:sz w:val="17"/>
              </w:rPr>
              <w:t>Parent over guess</w:t>
            </w:r>
          </w:p>
        </w:tc>
        <w:tc>
          <w:tcPr>
            <w:tcW w:type="dxa" w:w="7344"/>
            <w:vAlign w:val="top"/>
            <w:tcBorders>
              <w:top w:sz="3" w:val="single" w:color="CBD5E1"/>
              <w:left w:sz="3" w:val="single" w:color="CBD5E1"/>
              <w:bottom w:sz="3" w:val="single" w:color="CBD5E1"/>
              <w:right w:sz="3" w:val="single" w:color="CBD5E1"/>
            </w:tcBorders>
          </w:tcPr>
          <w:p>
            <w:pPr>
              <w:spacing w:after="20"/>
            </w:pPr>
            <w:r>
              <w:rPr>
                <w:sz w:val="17"/>
              </w:rPr>
              <w:t>When the taxonomy allows it, stop at a supported parent rather than invent a leaf.</w:t>
            </w:r>
          </w:p>
        </w:tc>
      </w:tr>
      <w:tr>
        <w:trPr>
          <w:cantSplit/>
        </w:trPr>
        <w:tc>
          <w:tcPr>
            <w:tcW w:type="dxa" w:w="2448"/>
            <w:vAlign w:val="top"/>
            <w:tcBorders>
              <w:top w:sz="3" w:val="single" w:color="CBD5E1"/>
              <w:left w:sz="3" w:val="single" w:color="CBD5E1"/>
              <w:bottom w:sz="3" w:val="single" w:color="CBD5E1"/>
              <w:right w:sz="3" w:val="single" w:color="CBD5E1"/>
            </w:tcBorders>
          </w:tcPr>
          <w:p>
            <w:pPr>
              <w:spacing w:after="20"/>
            </w:pPr>
            <w:r>
              <w:rPr>
                <w:sz w:val="17"/>
              </w:rPr>
              <w:t>Version everything</w:t>
            </w:r>
          </w:p>
        </w:tc>
        <w:tc>
          <w:tcPr>
            <w:tcW w:type="dxa" w:w="7344"/>
            <w:vAlign w:val="top"/>
            <w:tcBorders>
              <w:top w:sz="3" w:val="single" w:color="CBD5E1"/>
              <w:left w:sz="3" w:val="single" w:color="CBD5E1"/>
              <w:bottom w:sz="3" w:val="single" w:color="CBD5E1"/>
              <w:right w:sz="3" w:val="single" w:color="CBD5E1"/>
            </w:tcBorders>
          </w:tcPr>
          <w:p>
            <w:pPr>
              <w:spacing w:after="20"/>
            </w:pPr>
            <w:r>
              <w:rPr>
                <w:sz w:val="17"/>
              </w:rPr>
              <w:t>Config, model, schema, and resolver behavior are recorded with each result.</w:t>
            </w:r>
          </w:p>
        </w:tc>
      </w:tr>
      <w:tr>
        <w:trPr>
          <w:cantSplit/>
        </w:trPr>
        <w:tc>
          <w:tcPr>
            <w:tcW w:type="dxa" w:w="2448"/>
            <w:vAlign w:val="top"/>
            <w:tcBorders>
              <w:top w:sz="3" w:val="single" w:color="CBD5E1"/>
              <w:left w:sz="3" w:val="single" w:color="CBD5E1"/>
              <w:bottom w:sz="3" w:val="single" w:color="CBD5E1"/>
              <w:right w:sz="3" w:val="single" w:color="CBD5E1"/>
            </w:tcBorders>
          </w:tcPr>
          <w:p>
            <w:pPr>
              <w:spacing w:after="20"/>
            </w:pPr>
            <w:r>
              <w:rPr>
                <w:sz w:val="17"/>
              </w:rPr>
              <w:t>Observable by default</w:t>
            </w:r>
          </w:p>
        </w:tc>
        <w:tc>
          <w:tcPr>
            <w:tcW w:type="dxa" w:w="7344"/>
            <w:vAlign w:val="top"/>
            <w:tcBorders>
              <w:top w:sz="3" w:val="single" w:color="CBD5E1"/>
              <w:left w:sz="3" w:val="single" w:color="CBD5E1"/>
              <w:bottom w:sz="3" w:val="single" w:color="CBD5E1"/>
              <w:right w:sz="3" w:val="single" w:color="CBD5E1"/>
            </w:tcBorders>
          </w:tcPr>
          <w:p>
            <w:pPr>
              <w:spacing w:after="20"/>
            </w:pPr>
            <w:r>
              <w:rPr>
                <w:sz w:val="17"/>
              </w:rPr>
              <w:t>Every request is attributable to a processing path and rule/config version.</w:t>
            </w:r>
          </w:p>
        </w:tc>
      </w:tr>
    </w:tbl>
    <w:p>
      <w:pPr>
        <w:spacing w:after="20"/>
      </w:pPr>
    </w:p>
    <w:p>
      <w:pPr>
        <w:pStyle w:val="Heading1"/>
      </w:pPr>
      <w:r>
        <w:t>5. Users and Stakeholders</w:t>
      </w:r>
    </w:p>
    <w:tbl>
      <w:tblPr>
        <w:tblStyle w:val="TableGrid"/>
        <w:tblW w:type="auto" w:w="0"/>
        <w:jc w:val="center"/>
        <w:tblLook w:firstColumn="1" w:firstRow="1" w:lastColumn="0" w:lastRow="0" w:noHBand="0" w:noVBand="1" w:val="04A0"/>
      </w:tblPr>
      <w:tblGrid>
        <w:gridCol w:w="4320"/>
        <w:gridCol w:w="4320"/>
      </w:tblGrid>
      <w:tr>
        <w:trPr>
          <w:tblHeader w:val="true"/>
          <w:cantSplit/>
        </w:trPr>
        <w:tc>
          <w:tcPr>
            <w:tcW w:type="dxa" w:w="2304"/>
            <w:shd w:fill="EEF2FF"/>
          </w:tcPr>
          <w:p>
            <w:r>
              <w:rPr>
                <w:b/>
                <w:color w:val="1E293B"/>
                <w:sz w:val="17"/>
              </w:rPr>
              <w:t>Role</w:t>
            </w:r>
          </w:p>
        </w:tc>
        <w:tc>
          <w:tcPr>
            <w:tcW w:type="dxa" w:w="7488"/>
            <w:shd w:fill="EEF2FF"/>
          </w:tcPr>
          <w:p>
            <w:r>
              <w:rPr>
                <w:b/>
                <w:color w:val="1E293B"/>
                <w:sz w:val="17"/>
              </w:rPr>
              <w:t>Primary needs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7"/>
              </w:rPr>
              <w:t>Configuration author</w:t>
            </w:r>
          </w:p>
        </w:tc>
        <w:tc>
          <w:tcPr>
            <w:tcW w:type="dxa" w:w="7488"/>
            <w:vAlign w:val="top"/>
            <w:tcBorders>
              <w:top w:sz="3" w:val="single" w:color="CBD5E1"/>
              <w:left w:sz="3" w:val="single" w:color="CBD5E1"/>
              <w:bottom w:sz="3" w:val="single" w:color="CBD5E1"/>
              <w:right w:sz="3" w:val="single" w:color="CBD5E1"/>
            </w:tcBorders>
          </w:tcPr>
          <w:p>
            <w:pPr>
              <w:spacing w:after="20"/>
            </w:pPr>
            <w:r>
              <w:rPr>
                <w:sz w:val="17"/>
              </w:rPr>
              <w:t>Create terminology, questions, taxonomy, rules, and thresholds safely.</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7"/>
              </w:rPr>
              <w:t>Business owner</w:t>
            </w:r>
          </w:p>
        </w:tc>
        <w:tc>
          <w:tcPr>
            <w:tcW w:type="dxa" w:w="7488"/>
            <w:vAlign w:val="top"/>
            <w:tcBorders>
              <w:top w:sz="3" w:val="single" w:color="CBD5E1"/>
              <w:left w:sz="3" w:val="single" w:color="CBD5E1"/>
              <w:bottom w:sz="3" w:val="single" w:color="CBD5E1"/>
              <w:right w:sz="3" w:val="single" w:color="CBD5E1"/>
            </w:tcBorders>
          </w:tcPr>
          <w:p>
            <w:pPr>
              <w:spacing w:after="20"/>
            </w:pPr>
            <w:r>
              <w:rPr>
                <w:sz w:val="17"/>
              </w:rPr>
              <w:t>Confirm that disposition behavior matches the intended policy and naming.</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7"/>
              </w:rPr>
              <w:t>ML/AI engineer</w:t>
            </w:r>
          </w:p>
        </w:tc>
        <w:tc>
          <w:tcPr>
            <w:tcW w:type="dxa" w:w="7488"/>
            <w:vAlign w:val="top"/>
            <w:tcBorders>
              <w:top w:sz="3" w:val="single" w:color="CBD5E1"/>
              <w:left w:sz="3" w:val="single" w:color="CBD5E1"/>
              <w:bottom w:sz="3" w:val="single" w:color="CBD5E1"/>
              <w:right w:sz="3" w:val="single" w:color="CBD5E1"/>
            </w:tcBorders>
          </w:tcPr>
          <w:p>
            <w:pPr>
              <w:spacing w:after="20"/>
            </w:pPr>
            <w:r>
              <w:rPr>
                <w:sz w:val="17"/>
              </w:rPr>
              <w:t>Tune questions, thresholds, chunk aggregation, and validation sets.</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7"/>
              </w:rPr>
              <w:t>Backend engineer</w:t>
            </w:r>
          </w:p>
        </w:tc>
        <w:tc>
          <w:tcPr>
            <w:tcW w:type="dxa" w:w="7488"/>
            <w:vAlign w:val="top"/>
            <w:tcBorders>
              <w:top w:sz="3" w:val="single" w:color="CBD5E1"/>
              <w:left w:sz="3" w:val="single" w:color="CBD5E1"/>
              <w:bottom w:sz="3" w:val="single" w:color="CBD5E1"/>
              <w:right w:sz="3" w:val="single" w:color="CBD5E1"/>
            </w:tcBorders>
          </w:tcPr>
          <w:p>
            <w:pPr>
              <w:spacing w:after="20"/>
            </w:pPr>
            <w:r>
              <w:rPr>
                <w:sz w:val="17"/>
              </w:rPr>
              <w:t>Integrate the classification API and downstream systems once, generically.</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7"/>
              </w:rPr>
              <w:t>QA / operations</w:t>
            </w:r>
          </w:p>
        </w:tc>
        <w:tc>
          <w:tcPr>
            <w:tcW w:type="dxa" w:w="7488"/>
            <w:vAlign w:val="top"/>
            <w:tcBorders>
              <w:top w:sz="3" w:val="single" w:color="CBD5E1"/>
              <w:left w:sz="3" w:val="single" w:color="CBD5E1"/>
              <w:bottom w:sz="3" w:val="single" w:color="CBD5E1"/>
              <w:right w:sz="3" w:val="single" w:color="CBD5E1"/>
            </w:tcBorders>
          </w:tcPr>
          <w:p>
            <w:pPr>
              <w:spacing w:after="20"/>
            </w:pPr>
            <w:r>
              <w:rPr>
                <w:sz w:val="17"/>
              </w:rPr>
              <w:t>Replay labeled calls, inspect mismatches, approve releases, and roll back.</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7"/>
              </w:rPr>
              <w:t>Compliance / security</w:t>
            </w:r>
          </w:p>
        </w:tc>
        <w:tc>
          <w:tcPr>
            <w:tcW w:type="dxa" w:w="7488"/>
            <w:vAlign w:val="top"/>
            <w:tcBorders>
              <w:top w:sz="3" w:val="single" w:color="CBD5E1"/>
              <w:left w:sz="3" w:val="single" w:color="CBD5E1"/>
              <w:bottom w:sz="3" w:val="single" w:color="CBD5E1"/>
              <w:right w:sz="3" w:val="single" w:color="CBD5E1"/>
            </w:tcBorders>
          </w:tcPr>
          <w:p>
            <w:pPr>
              <w:spacing w:after="20"/>
            </w:pPr>
            <w:r>
              <w:rPr>
                <w:sz w:val="17"/>
              </w:rPr>
              <w:t>Control retention, PII logging, access, audit history, and review policies.</w:t>
            </w:r>
          </w:p>
        </w:tc>
      </w:tr>
    </w:tbl>
    <w:p>
      <w:pPr>
        <w:spacing w:after="20"/>
      </w:pPr>
    </w:p>
    <w:p>
      <w:pPr>
        <w:pStyle w:val="Heading1"/>
      </w:pPr>
      <w:r>
        <w:t>6. Functional Requirements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1440"/>
            <w:shd w:fill="EEF2FF"/>
          </w:tcPr>
          <w:p>
            <w:r>
              <w:rPr>
                <w:b/>
                <w:color w:val="1E293B"/>
                <w:sz w:val="15"/>
              </w:rPr>
              <w:t>ID</w:t>
            </w:r>
          </w:p>
        </w:tc>
        <w:tc>
          <w:tcPr>
            <w:tcW w:type="dxa" w:w="2304"/>
            <w:shd w:fill="EEF2FF"/>
          </w:tcPr>
          <w:p>
            <w:r>
              <w:rPr>
                <w:b/>
                <w:color w:val="1E293B"/>
                <w:sz w:val="15"/>
              </w:rPr>
              <w:t>Capability</w:t>
            </w:r>
          </w:p>
        </w:tc>
        <w:tc>
          <w:tcPr>
            <w:tcW w:type="dxa" w:w="6048"/>
            <w:shd w:fill="EEF2FF"/>
          </w:tcPr>
          <w:p>
            <w:r>
              <w:rPr>
                <w:b/>
                <w:color w:val="1E293B"/>
                <w:sz w:val="15"/>
              </w:rPr>
              <w:t>Requirement</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PRD-FR-001</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Tenant/use-case selection</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Every request shall identify a tenant and use case, or resolve them through a configured routing key.</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PRD-FR-002</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Immutable config versions</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Active classifications shall execute against a specific immutable configuration version.</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PRD-FR-003</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Generic input mapping</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Configuration shall map transcript, call ID, metadata, and system-fact fields from the incoming event.</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PRD-FR-004</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Speaker mapping</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Configuration shall map source speaker labels into canonical agent/customer/system roles.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PRD-FR-005</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Deterministic front gates</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Configuration shall define priority-ordered gates that can resolve an outcome from authoritative metadata before model evaluation.</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PRD-FR-006</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Typed questions</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Configuration shall define any number of supported Noul, Choice, and Score questions.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PRD-FR-007</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Arbitrary taxonomy</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Configuration shall define external codes, names, parent relationships, levels, flags, and metadata.</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PRD-FR-008</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Safe rule DSL</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Configuration shall define final-resolution rules using only supported declarative operators.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PRD-FR-009</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Explicit precedence</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Resolution order shall be deterministic and reviewable.</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PRD-FR-010</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Confidence policy</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Configuration shall define global and per-disposition commit/review thresholds.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PRD-FR-011</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Adaptive transcript routing</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Runtime shall estimate input size and choose single-pass or oversized processing automatically.</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PRD-FR-012</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Long-transcript fallback</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Oversized calls shall be segmented on speaker-turn boundaries, evaluated in parallel, and aggregated.</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PRD-FR-013</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Conflict handling</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Aggregation shall detect material signal conflicts and optionally re-evaluate only relevant windows.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PRD-FR-014</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Configurable output mapping</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Response field names/aliases and included fields shall be configurable.</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PRD-FR-015</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Review outcome</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Low-confidence or unresolved requests shall produce the configured review/abstain behavior.</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PRD-FR-016</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Audit trace</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The response/telemetry shall record config version, model, processing path, matched rule, thresholds, and usage.</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PRD-FR-017</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Validation</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Configs shall pass JSON Schema and semantic validation before staging.</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PRD-FR-018</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Fixture replay</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A version shall be replayable against labeled fixtures before activation.</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PRD-FR-019</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Shadow mode</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A staged config may run without affecting production outputs.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PRD-FR-020</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Rollback</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Operators shall be able to reactivate a previous approved config version without code deployment.</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PRD-FR-021</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Idempotency</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Repeated classification requests with the same idempotency key and config version shall not create divergent committed results.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PRD-FR-022</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Privacy controls</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Raw transcript persistence and PII visibility in logs shall be configurable and default-safe.</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PRD-FR-023</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Provider abstraction</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Model calls shall use an adapter interface so provider routing/model pinning can evolve without changing business configuration semantics.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PRD-FR-024</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Configuration linter</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Authors shall receive actionable errors for missing references, invalid hierarchy, unreachable rules, duplicate priorities, and impossible thresholds.</w:t>
            </w:r>
          </w:p>
        </w:tc>
      </w:tr>
      <w:tr>
        <w:trPr>
          <w:cantSplit/>
        </w:trPr>
        <w:tc>
          <w:tcPr>
            <w:tcW w:type="dxa" w:w="1440"/>
            <w:vAlign w:val="top"/>
            <w:tcBorders>
              <w:top w:sz="3" w:val="single" w:color="CBD5E1"/>
              <w:left w:sz="3" w:val="single" w:color="CBD5E1"/>
              <w:bottom w:sz="3" w:val="single" w:color="CBD5E1"/>
              <w:right w:sz="3" w:val="single" w:color="CBD5E1"/>
            </w:tcBorders>
          </w:tcPr>
          <w:p>
            <w:pPr>
              <w:spacing w:after="20"/>
            </w:pPr>
            <w:r>
              <w:rPr>
                <w:sz w:val="15"/>
              </w:rPr>
              <w:t>PRD-FR-025</w:t>
            </w:r>
          </w:p>
        </w:tc>
        <w:tc>
          <w:tcPr>
            <w:tcW w:type="dxa" w:w="2304"/>
            <w:vAlign w:val="top"/>
            <w:tcBorders>
              <w:top w:sz="3" w:val="single" w:color="CBD5E1"/>
              <w:left w:sz="3" w:val="single" w:color="CBD5E1"/>
              <w:bottom w:sz="3" w:val="single" w:color="CBD5E1"/>
              <w:right w:sz="3" w:val="single" w:color="CBD5E1"/>
            </w:tcBorders>
          </w:tcPr>
          <w:p>
            <w:pPr>
              <w:spacing w:after="20"/>
            </w:pPr>
            <w:r>
              <w:rPr>
                <w:sz w:val="15"/>
              </w:rPr>
              <w:t>No tenant code</w:t>
            </w:r>
          </w:p>
        </w:tc>
        <w:tc>
          <w:tcPr>
            <w:tcW w:type="dxa" w:w="6048"/>
            <w:vAlign w:val="top"/>
            <w:tcBorders>
              <w:top w:sz="3" w:val="single" w:color="CBD5E1"/>
              <w:left w:sz="3" w:val="single" w:color="CBD5E1"/>
              <w:bottom w:sz="3" w:val="single" w:color="CBD5E1"/>
              <w:right w:sz="3" w:val="single" w:color="CBD5E1"/>
            </w:tcBorders>
          </w:tcPr>
          <w:p>
            <w:pPr>
              <w:spacing w:after="20"/>
            </w:pPr>
            <w:r>
              <w:rPr>
                <w:sz w:val="15"/>
              </w:rPr>
              <w:t>The production runtime shall reject configuration features that require arbitrary executable tenant code.</w:t>
            </w:r>
          </w:p>
        </w:tc>
      </w:tr>
    </w:tbl>
    <w:p>
      <w:pPr>
        <w:spacing w:after="20"/>
      </w:pPr>
    </w:p>
    <w:p>
      <w:pPr>
        <w:pStyle w:val="Heading1"/>
      </w:pPr>
      <w:r>
        <w:t>7. Configurability Contract</w:t>
      </w:r>
    </w:p>
    <w:p>
      <w:r>
        <w:t>The product guarantees configuration-only onboarding when the use case fits the following contract:</w:t>
      </w:r>
    </w:p>
    <w:p>
      <w:pPr>
        <w:pStyle w:val="ListBullet"/>
        <w:spacing w:after="40"/>
      </w:pPr>
      <w:r>
        <w:t>The request can be represented as a JSON event containing transcript text/turns plus optional metadata and system facts.</w:t>
      </w:r>
    </w:p>
    <w:p>
      <w:pPr>
        <w:pStyle w:val="ListBullet"/>
        <w:spacing w:after="40"/>
      </w:pPr>
      <w:r>
        <w:t>Semantic judgments can be decomposed into Noul, Choice, and/or Score questions.</w:t>
      </w:r>
    </w:p>
    <w:p>
      <w:pPr>
        <w:pStyle w:val="ListBullet"/>
        <w:spacing w:after="40"/>
      </w:pPr>
      <w:r>
        <w:t>The desired outcome can be represented by a finite taxonomy and deterministic rule precedence.</w:t>
      </w:r>
    </w:p>
    <w:p>
      <w:pPr>
        <w:pStyle w:val="ListBullet"/>
        <w:spacing w:after="40"/>
      </w:pPr>
      <w:r>
        <w:t>External authoritative facts are accessible in the request or through a generic upstream integration.</w:t>
      </w:r>
    </w:p>
    <w:p>
      <w:pPr>
        <w:pStyle w:val="ListBullet"/>
        <w:spacing w:after="40"/>
      </w:pPr>
      <w:r>
        <w:t>The final output can be expressed through configured fields and aliases.</w:t>
      </w:r>
    </w:p>
    <w:tbl>
      <w:tblPr>
        <w:tblW w:type="auto" w:w="0"/>
        <w:jc w:val="center"/>
        <w:tblLook w:firstColumn="1" w:firstRow="1" w:lastColumn="0" w:lastRow="0" w:noHBand="0" w:noVBand="1" w:val="04A0"/>
      </w:tblPr>
      <w:tblGrid>
        <w:gridCol w:w="8640"/>
      </w:tblGrid>
      <w:tr>
        <w:tc>
          <w:tcPr>
            <w:tcW w:type="dxa" w:w="8640"/>
            <w:shd w:fill="FFFBEB"/>
            <w:tcBorders>
              <w:top w:sz="0" w:val="nil" w:color="FFFBEB"/>
              <w:left w:sz="18" w:val="single" w:color="A16207"/>
              <w:bottom w:sz="0" w:val="nil" w:color="FFFBEB"/>
              <w:right w:sz="0" w:val="nil" w:color="FFFBEB"/>
            </w:tcBorders>
          </w:tcPr>
          <w:p>
            <w:r>
              <w:rPr>
                <w:b/>
                <w:color w:val="A16207"/>
              </w:rPr>
              <w:t xml:space="preserve">Boundary  </w:t>
            </w:r>
            <w:r>
              <w:t>A brand-new connector protocol, a new model primitive not supported by the provider adapter, or an operation requiring custom executable logic is a platform capability change—not a tenant configuration change.</w:t>
            </w:r>
          </w:p>
        </w:tc>
      </w:tr>
    </w:tbl>
    <w:p>
      <w:pPr>
        <w:spacing w:after="20"/>
      </w:pPr>
    </w:p>
    <w:p>
      <w:pPr>
        <w:pStyle w:val="Heading1"/>
      </w:pPr>
      <w:r>
        <w:t>8. Core User Journeys</w:t>
      </w:r>
    </w:p>
    <w:p>
      <w:pPr>
        <w:pStyle w:val="Heading2"/>
      </w:pPr>
      <w:r>
        <w:t>8.1 Onboard a new use case</w:t>
      </w:r>
    </w:p>
    <w:p>
      <w:pPr>
        <w:pStyle w:val="ListNumber"/>
        <w:spacing w:after="40"/>
      </w:pPr>
      <w:r>
        <w:t>Copy the standard configuration template.</w:t>
      </w:r>
    </w:p>
    <w:p>
      <w:pPr>
        <w:pStyle w:val="ListNumber"/>
        <w:spacing w:after="40"/>
      </w:pPr>
      <w:r>
        <w:t>Set identity and input/speaker mappings.</w:t>
      </w:r>
    </w:p>
    <w:p>
      <w:pPr>
        <w:pStyle w:val="ListNumber"/>
        <w:spacing w:after="40"/>
      </w:pPr>
      <w:r>
        <w:t>Define domain terminology and aliases.</w:t>
      </w:r>
    </w:p>
    <w:p>
      <w:pPr>
        <w:pStyle w:val="ListNumber"/>
        <w:spacing w:after="40"/>
      </w:pPr>
      <w:r>
        <w:t>Define narrow semantic questions.</w:t>
      </w:r>
    </w:p>
    <w:p>
      <w:pPr>
        <w:pStyle w:val="ListNumber"/>
        <w:spacing w:after="40"/>
      </w:pPr>
      <w:r>
        <w:t>Define the external taxonomy and hierarchy.</w:t>
      </w:r>
    </w:p>
    <w:p>
      <w:pPr>
        <w:pStyle w:val="ListNumber"/>
        <w:spacing w:after="40"/>
      </w:pPr>
      <w:r>
        <w:t>Encode business precedence in deterministic rules.</w:t>
      </w:r>
    </w:p>
    <w:p>
      <w:pPr>
        <w:pStyle w:val="ListNumber"/>
        <w:spacing w:after="40"/>
      </w:pPr>
      <w:r>
        <w:t>Set commit/review thresholds and output mapping.</w:t>
      </w:r>
    </w:p>
    <w:p>
      <w:pPr>
        <w:pStyle w:val="ListNumber"/>
        <w:spacing w:after="40"/>
      </w:pPr>
      <w:r>
        <w:t>Run schema validation, semantic linting, and fixture replay.</w:t>
      </w:r>
    </w:p>
    <w:p>
      <w:pPr>
        <w:pStyle w:val="ListNumber"/>
        <w:spacing w:after="40"/>
      </w:pPr>
      <w:r>
        <w:t>Deploy in shadow mode, compare results, approve, and activate.</w:t>
      </w:r>
    </w:p>
    <w:p>
      <w:pPr>
        <w:pStyle w:val="Heading2"/>
      </w:pPr>
      <w:r>
        <w:t>8.2 Change a taxonomy safely</w:t>
      </w:r>
    </w:p>
    <w:p>
      <w:pPr>
        <w:pStyle w:val="ListNumber"/>
        <w:spacing w:after="40"/>
      </w:pPr>
      <w:r>
        <w:t>Create a new immutable version.</w:t>
      </w:r>
    </w:p>
    <w:p>
      <w:pPr>
        <w:pStyle w:val="ListNumber"/>
        <w:spacing w:after="40"/>
      </w:pPr>
      <w:r>
        <w:t>Modify codes/rules/questions as needed.</w:t>
      </w:r>
    </w:p>
    <w:p>
      <w:pPr>
        <w:pStyle w:val="ListNumber"/>
        <w:spacing w:after="40"/>
      </w:pPr>
      <w:r>
        <w:t>Re-run full fixture and regression suite.</w:t>
      </w:r>
    </w:p>
    <w:p>
      <w:pPr>
        <w:pStyle w:val="ListNumber"/>
        <w:spacing w:after="40"/>
      </w:pPr>
      <w:r>
        <w:t>Stage and shadow.</w:t>
      </w:r>
    </w:p>
    <w:p>
      <w:pPr>
        <w:pStyle w:val="ListNumber"/>
        <w:spacing w:after="40"/>
      </w:pPr>
      <w:r>
        <w:t>Activate via config registry when approved.</w:t>
      </w:r>
    </w:p>
    <w:p>
      <w:pPr>
        <w:pStyle w:val="ListNumber"/>
        <w:spacing w:after="40"/>
      </w:pPr>
      <w:r>
        <w:t>Rollback by pointer change if production metrics regress.</w:t>
      </w:r>
    </w:p>
    <w:p>
      <w:pPr>
        <w:pStyle w:val="Heading1"/>
      </w:pPr>
      <w:r>
        <w:t>9. Long-Transcript Readiness</w:t>
      </w:r>
    </w:p>
    <w:p>
      <w:r>
        <w:t>The product shall optimize for the common case while remaining safe for rare very long transcripts. The current Jev integration publicly documents a 32,000-token context window; the platform must still reserve headroom for questions and provider overhead and must not rely on a theoretical maximum as its operational limit.</w:t>
      </w:r>
    </w:p>
    <w:p>
      <w:pPr>
        <w:pStyle w:val="ListBullet"/>
        <w:spacing w:after="40"/>
      </w:pPr>
      <w:r>
        <w:t>Normal calls: single request containing the full transcript and all configured questions.</w:t>
      </w:r>
    </w:p>
    <w:p>
      <w:pPr>
        <w:pStyle w:val="ListBullet"/>
        <w:spacing w:after="40"/>
      </w:pPr>
      <w:r>
        <w:t>Near-limit calls: single request only while the compiled token budget remains under the configured hard limit.</w:t>
      </w:r>
    </w:p>
    <w:p>
      <w:pPr>
        <w:pStyle w:val="ListBullet"/>
        <w:spacing w:after="40"/>
      </w:pPr>
      <w:r>
        <w:t>Oversized calls: turn-aware map/aggregate flow with overlap and parallel evaluation.</w:t>
      </w:r>
    </w:p>
    <w:p>
      <w:pPr>
        <w:pStyle w:val="ListBullet"/>
        <w:spacing w:after="40"/>
      </w:pPr>
      <w:r>
        <w:t>Very large pathological inputs: enforce platform hard caps and return a configured review/error behavior rather than uncontrolled cost or latency.</w:t>
      </w:r>
    </w:p>
    <w:p>
      <w:pPr>
        <w:pStyle w:val="Heading1"/>
      </w:pPr>
      <w:r>
        <w:t>10. Human Review and Confidence</w:t>
      </w:r>
    </w:p>
    <w:p>
      <w:r>
        <w:t>Jev returns typed decisions with calibrated probabilities/confidence. The platform shall never translate those values into autonomous action without an explicit configured policy. Each disposition may override the default commit threshold. Low-confidence behavior may emit a review code, emit a supported parent code, or reject the classification according to configuration.</w:t>
      </w:r>
    </w:p>
    <w:p>
      <w:pPr>
        <w:pStyle w:val="Heading1"/>
      </w:pPr>
      <w:r>
        <w:t>11. Governance and Versioning</w:t>
      </w:r>
    </w:p>
    <w:p>
      <w:pPr>
        <w:pStyle w:val="ListBullet"/>
        <w:spacing w:after="40"/>
      </w:pPr>
      <w:r>
        <w:t>Configuration status lifecycle: DRAFT → VALIDATED → STAGED → ACTIVE → RETIRED.</w:t>
      </w:r>
    </w:p>
    <w:p>
      <w:pPr>
        <w:pStyle w:val="ListBullet"/>
        <w:spacing w:after="40"/>
      </w:pPr>
      <w:r>
        <w:t>ACTIVE versions are immutable; edits create a new version.</w:t>
      </w:r>
    </w:p>
    <w:p>
      <w:pPr>
        <w:pStyle w:val="ListBullet"/>
        <w:spacing w:after="40"/>
      </w:pPr>
      <w:r>
        <w:t>Every production result records the exact config version and model identifier.</w:t>
      </w:r>
    </w:p>
    <w:p>
      <w:pPr>
        <w:pStyle w:val="ListBullet"/>
        <w:spacing w:after="40"/>
      </w:pPr>
      <w:r>
        <w:t>Activation requires validation gates defined by platform policy; recommended baseline includes labeled fixture replay and shadow mode.</w:t>
      </w:r>
    </w:p>
    <w:p>
      <w:pPr>
        <w:pStyle w:val="ListBullet"/>
        <w:spacing w:after="40"/>
      </w:pPr>
      <w:r>
        <w:t>Rollback changes the active version pointer; no application redeploy is required.</w:t>
      </w:r>
    </w:p>
    <w:p>
      <w:pPr>
        <w:pStyle w:val="Heading1"/>
      </w:pPr>
      <w:r>
        <w:t>12. Success Metrics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2304"/>
            <w:shd w:fill="EEF2FF"/>
          </w:tcPr>
          <w:p>
            <w:r>
              <w:rPr>
                <w:b/>
                <w:color w:val="1E293B"/>
                <w:sz w:val="16"/>
              </w:rPr>
              <w:t>Metric</w:t>
            </w:r>
          </w:p>
        </w:tc>
        <w:tc>
          <w:tcPr>
            <w:tcW w:type="dxa" w:w="5040"/>
            <w:shd w:fill="EEF2FF"/>
          </w:tcPr>
          <w:p>
            <w:r>
              <w:rPr>
                <w:b/>
                <w:color w:val="1E293B"/>
                <w:sz w:val="16"/>
              </w:rPr>
              <w:t>Definition</w:t>
            </w:r>
          </w:p>
        </w:tc>
        <w:tc>
          <w:tcPr>
            <w:tcW w:type="dxa" w:w="2592"/>
            <w:shd w:fill="EEF2FF"/>
          </w:tcPr>
          <w:p>
            <w:r>
              <w:rPr>
                <w:b/>
                <w:color w:val="1E293B"/>
                <w:sz w:val="16"/>
              </w:rPr>
              <w:t>Suggested initial target</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Configuration-only onboarding rate</w:t>
            </w:r>
          </w:p>
        </w:tc>
        <w:tc>
          <w:tcPr>
            <w:tcW w:type="dxa" w:w="5040"/>
            <w:vAlign w:val="top"/>
            <w:tcBorders>
              <w:top w:sz="3" w:val="single" w:color="CBD5E1"/>
              <w:left w:sz="3" w:val="single" w:color="CBD5E1"/>
              <w:bottom w:sz="3" w:val="single" w:color="CBD5E1"/>
              <w:right w:sz="3" w:val="single" w:color="CBD5E1"/>
            </w:tcBorders>
          </w:tcPr>
          <w:p>
            <w:pPr>
              <w:spacing w:after="20"/>
            </w:pPr>
            <w:r>
              <w:rPr>
                <w:sz w:val="16"/>
              </w:rPr>
              <w:t>Share of new use cases launched without runtime code changes.</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 95% within the supported envelope</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Disposition agreement</w:t>
            </w:r>
          </w:p>
        </w:tc>
        <w:tc>
          <w:tcPr>
            <w:tcW w:type="dxa" w:w="5040"/>
            <w:vAlign w:val="top"/>
            <w:tcBorders>
              <w:top w:sz="3" w:val="single" w:color="CBD5E1"/>
              <w:left w:sz="3" w:val="single" w:color="CBD5E1"/>
              <w:bottom w:sz="3" w:val="single" w:color="CBD5E1"/>
              <w:right w:sz="3" w:val="single" w:color="CBD5E1"/>
            </w:tcBorders>
          </w:tcPr>
          <w:p>
            <w:pPr>
              <w:spacing w:after="20"/>
            </w:pPr>
            <w:r>
              <w:rPr>
                <w:sz w:val="16"/>
              </w:rPr>
              <w:t>Agreement with approved labeled validation set, reported overall and per code.</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Use-case-specific; block activation below configured minimum</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Human review rate</w:t>
            </w:r>
          </w:p>
        </w:tc>
        <w:tc>
          <w:tcPr>
            <w:tcW w:type="dxa" w:w="5040"/>
            <w:vAlign w:val="top"/>
            <w:tcBorders>
              <w:top w:sz="3" w:val="single" w:color="CBD5E1"/>
              <w:left w:sz="3" w:val="single" w:color="CBD5E1"/>
              <w:bottom w:sz="3" w:val="single" w:color="CBD5E1"/>
              <w:right w:sz="3" w:val="single" w:color="CBD5E1"/>
            </w:tcBorders>
          </w:tcPr>
          <w:p>
            <w:pPr>
              <w:spacing w:after="20"/>
            </w:pPr>
            <w:r>
              <w:rPr>
                <w:sz w:val="16"/>
              </w:rPr>
              <w:t>Share of calls routed to review.</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Track by code and drift over time; no universal minimum</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Single-pass rate</w:t>
            </w:r>
          </w:p>
        </w:tc>
        <w:tc>
          <w:tcPr>
            <w:tcW w:type="dxa" w:w="5040"/>
            <w:vAlign w:val="top"/>
            <w:tcBorders>
              <w:top w:sz="3" w:val="single" w:color="CBD5E1"/>
              <w:left w:sz="3" w:val="single" w:color="CBD5E1"/>
              <w:bottom w:sz="3" w:val="single" w:color="CBD5E1"/>
              <w:right w:sz="3" w:val="single" w:color="CBD5E1"/>
            </w:tcBorders>
          </w:tcPr>
          <w:p>
            <w:pPr>
              <w:spacing w:after="20"/>
            </w:pPr>
            <w:r>
              <w:rPr>
                <w:sz w:val="16"/>
              </w:rPr>
              <w:t>Share of model-processed calls handled without chunking.</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 99% for expected workload</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Config rollback time</w:t>
            </w:r>
          </w:p>
        </w:tc>
        <w:tc>
          <w:tcPr>
            <w:tcW w:type="dxa" w:w="5040"/>
            <w:vAlign w:val="top"/>
            <w:tcBorders>
              <w:top w:sz="3" w:val="single" w:color="CBD5E1"/>
              <w:left w:sz="3" w:val="single" w:color="CBD5E1"/>
              <w:bottom w:sz="3" w:val="single" w:color="CBD5E1"/>
              <w:right w:sz="3" w:val="single" w:color="CBD5E1"/>
            </w:tcBorders>
          </w:tcPr>
          <w:p>
            <w:pPr>
              <w:spacing w:after="20"/>
            </w:pPr>
            <w:r>
              <w:rPr>
                <w:sz w:val="16"/>
              </w:rPr>
              <w:t>Time to restore prior active configuration.</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&lt; 5 minutes operationally</w:t>
            </w:r>
          </w:p>
        </w:tc>
      </w:tr>
      <w:tr>
        <w:trPr>
          <w:cantSplit/>
        </w:trPr>
        <w:tc>
          <w:tcPr>
            <w:tcW w:type="dxa" w:w="2304"/>
            <w:vAlign w:val="top"/>
            <w:tcBorders>
              <w:top w:sz="3" w:val="single" w:color="CBD5E1"/>
              <w:left w:sz="3" w:val="single" w:color="CBD5E1"/>
              <w:bottom w:sz="3" w:val="single" w:color="CBD5E1"/>
              <w:right w:sz="3" w:val="single" w:color="CBD5E1"/>
            </w:tcBorders>
          </w:tcPr>
          <w:p>
            <w:pPr>
              <w:spacing w:after="20"/>
            </w:pPr>
            <w:r>
              <w:rPr>
                <w:sz w:val="16"/>
              </w:rPr>
              <w:t>Trace completeness</w:t>
            </w:r>
          </w:p>
        </w:tc>
        <w:tc>
          <w:tcPr>
            <w:tcW w:type="dxa" w:w="5040"/>
            <w:vAlign w:val="top"/>
            <w:tcBorders>
              <w:top w:sz="3" w:val="single" w:color="CBD5E1"/>
              <w:left w:sz="3" w:val="single" w:color="CBD5E1"/>
              <w:bottom w:sz="3" w:val="single" w:color="CBD5E1"/>
              <w:right w:sz="3" w:val="single" w:color="CBD5E1"/>
            </w:tcBorders>
          </w:tcPr>
          <w:p>
            <w:pPr>
              <w:spacing w:after="20"/>
            </w:pPr>
            <w:r>
              <w:rPr>
                <w:sz w:val="16"/>
              </w:rPr>
              <w:t>Share of responses with config/model/path/rule identifiers.</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100%</w:t>
            </w:r>
          </w:p>
        </w:tc>
      </w:tr>
    </w:tbl>
    <w:p>
      <w:pPr>
        <w:spacing w:after="20"/>
      </w:pPr>
    </w:p>
    <w:p>
      <w:pPr>
        <w:pStyle w:val="Heading1"/>
      </w:pPr>
      <w:r>
        <w:t>13. Acceptance Criteria</w:t>
      </w:r>
    </w:p>
    <w:p>
      <w:pPr>
        <w:pStyle w:val="ListBullet"/>
        <w:spacing w:after="40"/>
      </w:pPr>
      <w:r>
        <w:t>A demonstration tenant/use case can be onboarded using only the standard JSON files and fixtures.</w:t>
      </w:r>
    </w:p>
    <w:p>
      <w:pPr>
        <w:pStyle w:val="ListBullet"/>
        <w:spacing w:after="40"/>
      </w:pPr>
      <w:r>
        <w:t>Changing all external disposition names/codes requires no runtime code change.</w:t>
      </w:r>
    </w:p>
    <w:p>
      <w:pPr>
        <w:pStyle w:val="ListBullet"/>
        <w:spacing w:after="40"/>
      </w:pPr>
      <w:r>
        <w:t>Adding/removing typed questions requires no runtime code change.</w:t>
      </w:r>
    </w:p>
    <w:p>
      <w:pPr>
        <w:pStyle w:val="ListBullet"/>
        <w:spacing w:after="40"/>
      </w:pPr>
      <w:r>
        <w:t>Changing hierarchy depth and rule precedence requires no runtime code change.</w:t>
      </w:r>
    </w:p>
    <w:p>
      <w:pPr>
        <w:pStyle w:val="ListBullet"/>
        <w:spacing w:after="40"/>
      </w:pPr>
      <w:r>
        <w:t>A transcript below the configured single-pass budget executes without chunking.</w:t>
      </w:r>
    </w:p>
    <w:p>
      <w:pPr>
        <w:pStyle w:val="ListBullet"/>
        <w:spacing w:after="40"/>
      </w:pPr>
      <w:r>
        <w:t>A transcript above the hard limit automatically executes through the long-transcript path and returns the same response schema.</w:t>
      </w:r>
    </w:p>
    <w:p>
      <w:pPr>
        <w:pStyle w:val="ListBullet"/>
        <w:spacing w:after="40"/>
      </w:pPr>
      <w:r>
        <w:t>Invalid taxonomy references or resolver signal references fail validation before activation.</w:t>
      </w:r>
    </w:p>
    <w:p>
      <w:pPr>
        <w:pStyle w:val="ListBullet"/>
        <w:spacing w:after="40"/>
      </w:pPr>
      <w:r>
        <w:t>Production results are reproducible by config version and processing path.</w:t>
      </w:r>
    </w:p>
    <w:p>
      <w:pPr>
        <w:pStyle w:val="ListBullet"/>
        <w:spacing w:after="40"/>
      </w:pPr>
      <w:r>
        <w:t>Prior approved config can be restored without service deployment.</w:t>
      </w:r>
    </w:p>
    <w:p>
      <w:pPr>
        <w:pStyle w:val="Heading1"/>
      </w:pPr>
      <w:r>
        <w:t>14. Risks and Mitigations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2160"/>
            <w:shd w:fill="EEF2FF"/>
          </w:tcPr>
          <w:p>
            <w:r>
              <w:rPr>
                <w:b/>
                <w:color w:val="1E293B"/>
                <w:sz w:val="16"/>
              </w:rPr>
              <w:t>Risk</w:t>
            </w:r>
          </w:p>
        </w:tc>
        <w:tc>
          <w:tcPr>
            <w:tcW w:type="dxa" w:w="2592"/>
            <w:shd w:fill="EEF2FF"/>
          </w:tcPr>
          <w:p>
            <w:r>
              <w:rPr>
                <w:b/>
                <w:color w:val="1E293B"/>
                <w:sz w:val="16"/>
              </w:rPr>
              <w:t>Impact</w:t>
            </w:r>
          </w:p>
        </w:tc>
        <w:tc>
          <w:tcPr>
            <w:tcW w:type="dxa" w:w="5184"/>
            <w:shd w:fill="EEF2FF"/>
          </w:tcPr>
          <w:p>
            <w:r>
              <w:rPr>
                <w:b/>
                <w:color w:val="1E293B"/>
                <w:sz w:val="16"/>
              </w:rPr>
              <w:t>Mitigation</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Over-configurability</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Configs become difficult to reason about.</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Fixed schema, safe DSL, compiler, linter, examples, ownership and review.</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Conflicting model signals</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Wrong rule may fire.</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Conflict detection, precedence tests, confirmation pass, per-code thresholds.</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Taxonomy ambiguity</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Multiple labels describe the same evidence.</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Require mutually discriminating definitions and labeled fixtures.</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Context-limit changes</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Provider limits may change.</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Discover/pin model metadata, reserve headroom, configurable router, chunk fallback.</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Silent config regression</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Business edit degrades outcomes.</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Immutable versions, replay suite, shadow mode, metric gates, rollback.</w:t>
            </w:r>
          </w:p>
        </w:tc>
      </w:tr>
      <w:tr>
        <w:trPr>
          <w:cantSplit/>
        </w:trPr>
        <w:tc>
          <w:tcPr>
            <w:tcW w:type="dxa" w:w="2160"/>
            <w:vAlign w:val="top"/>
            <w:tcBorders>
              <w:top w:sz="3" w:val="single" w:color="CBD5E1"/>
              <w:left w:sz="3" w:val="single" w:color="CBD5E1"/>
              <w:bottom w:sz="3" w:val="single" w:color="CBD5E1"/>
              <w:right w:sz="3" w:val="single" w:color="CBD5E1"/>
            </w:tcBorders>
          </w:tcPr>
          <w:p>
            <w:pPr>
              <w:spacing w:after="20"/>
            </w:pPr>
            <w:r>
              <w:rPr>
                <w:sz w:val="16"/>
              </w:rPr>
              <w:t>Sensitive transcript leakage</w:t>
            </w:r>
          </w:p>
        </w:tc>
        <w:tc>
          <w:tcPr>
            <w:tcW w:type="dxa" w:w="2592"/>
            <w:vAlign w:val="top"/>
            <w:tcBorders>
              <w:top w:sz="3" w:val="single" w:color="CBD5E1"/>
              <w:left w:sz="3" w:val="single" w:color="CBD5E1"/>
              <w:bottom w:sz="3" w:val="single" w:color="CBD5E1"/>
              <w:right w:sz="3" w:val="single" w:color="CBD5E1"/>
            </w:tcBorders>
          </w:tcPr>
          <w:p>
            <w:pPr>
              <w:spacing w:after="20"/>
            </w:pPr>
            <w:r>
              <w:rPr>
                <w:sz w:val="16"/>
              </w:rPr>
              <w:t>Privacy/compliance risk.</w:t>
            </w:r>
          </w:p>
        </w:tc>
        <w:tc>
          <w:tcPr>
            <w:tcW w:type="dxa" w:w="5184"/>
            <w:vAlign w:val="top"/>
            <w:tcBorders>
              <w:top w:sz="3" w:val="single" w:color="CBD5E1"/>
              <w:left w:sz="3" w:val="single" w:color="CBD5E1"/>
              <w:bottom w:sz="3" w:val="single" w:color="CBD5E1"/>
              <w:right w:sz="3" w:val="single" w:color="CBD5E1"/>
            </w:tcBorders>
          </w:tcPr>
          <w:p>
            <w:pPr>
              <w:spacing w:after="20"/>
            </w:pPr>
            <w:r>
              <w:rPr>
                <w:sz w:val="16"/>
              </w:rPr>
              <w:t>Minimize persistence, redact logs, encrypt data, RBAC, retention controls.</w:t>
            </w:r>
          </w:p>
        </w:tc>
      </w:tr>
    </w:tbl>
    <w:p>
      <w:pPr>
        <w:spacing w:after="20"/>
      </w:pPr>
    </w:p>
    <w:p>
      <w:pPr>
        <w:pStyle w:val="Heading1"/>
      </w:pPr>
      <w:r>
        <w:t>15. Rollout Plan</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trPr>
        <w:tc>
          <w:tcPr>
            <w:tcW w:type="dxa" w:w="1728"/>
            <w:shd w:fill="EEF2FF"/>
          </w:tcPr>
          <w:p>
            <w:r>
              <w:rPr>
                <w:b/>
                <w:color w:val="1E293B"/>
                <w:sz w:val="16"/>
              </w:rPr>
              <w:t>Phase</w:t>
            </w:r>
          </w:p>
        </w:tc>
        <w:tc>
          <w:tcPr>
            <w:tcW w:type="dxa" w:w="4896"/>
            <w:shd w:fill="EEF2FF"/>
          </w:tcPr>
          <w:p>
            <w:r>
              <w:rPr>
                <w:b/>
                <w:color w:val="1E293B"/>
                <w:sz w:val="16"/>
              </w:rPr>
              <w:t>Scope</w:t>
            </w:r>
          </w:p>
        </w:tc>
        <w:tc>
          <w:tcPr>
            <w:tcW w:type="dxa" w:w="3312"/>
            <w:shd w:fill="EEF2FF"/>
          </w:tcPr>
          <w:p>
            <w:r>
              <w:rPr>
                <w:b/>
                <w:color w:val="1E293B"/>
                <w:sz w:val="16"/>
              </w:rPr>
              <w:t>Exit criteria</w:t>
            </w:r>
          </w:p>
        </w:tc>
      </w:tr>
      <w:tr>
        <w:trPr>
          <w:cantSplit/>
        </w:trPr>
        <w:tc>
          <w:tcPr>
            <w:tcW w:type="dxa" w:w="1728"/>
            <w:vAlign w:val="top"/>
            <w:tcBorders>
              <w:top w:sz="3" w:val="single" w:color="CBD5E1"/>
              <w:left w:sz="3" w:val="single" w:color="CBD5E1"/>
              <w:bottom w:sz="3" w:val="single" w:color="CBD5E1"/>
              <w:right w:sz="3" w:val="single" w:color="CBD5E1"/>
            </w:tcBorders>
          </w:tcPr>
          <w:p>
            <w:pPr>
              <w:spacing w:after="20"/>
            </w:pPr>
            <w:r>
              <w:rPr>
                <w:sz w:val="16"/>
              </w:rPr>
              <w:t>0 - Platform skeleton</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Config registry/compiler, single-pass path, typed provider adapter, resolver, response trace.</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Template validates; end-to-end sample works.</w:t>
            </w:r>
          </w:p>
        </w:tc>
      </w:tr>
      <w:tr>
        <w:trPr>
          <w:cantSplit/>
        </w:trPr>
        <w:tc>
          <w:tcPr>
            <w:tcW w:type="dxa" w:w="1728"/>
            <w:vAlign w:val="top"/>
            <w:tcBorders>
              <w:top w:sz="3" w:val="single" w:color="CBD5E1"/>
              <w:left w:sz="3" w:val="single" w:color="CBD5E1"/>
              <w:bottom w:sz="3" w:val="single" w:color="CBD5E1"/>
              <w:right w:sz="3" w:val="single" w:color="CBD5E1"/>
            </w:tcBorders>
          </w:tcPr>
          <w:p>
            <w:pPr>
              <w:spacing w:after="20"/>
            </w:pPr>
            <w:r>
              <w:rPr>
                <w:sz w:val="16"/>
              </w:rPr>
              <w:t>1 - Production baseline</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Front gates, confidence policy, observability, idempotency, fixtures, staging/activation.</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Approved use case runs in shadow then production.</w:t>
            </w:r>
          </w:p>
        </w:tc>
      </w:tr>
      <w:tr>
        <w:trPr>
          <w:cantSplit/>
        </w:trPr>
        <w:tc>
          <w:tcPr>
            <w:tcW w:type="dxa" w:w="1728"/>
            <w:vAlign w:val="top"/>
            <w:tcBorders>
              <w:top w:sz="3" w:val="single" w:color="CBD5E1"/>
              <w:left w:sz="3" w:val="single" w:color="CBD5E1"/>
              <w:bottom w:sz="3" w:val="single" w:color="CBD5E1"/>
              <w:right w:sz="3" w:val="single" w:color="CBD5E1"/>
            </w:tcBorders>
          </w:tcPr>
          <w:p>
            <w:pPr>
              <w:spacing w:after="20"/>
            </w:pPr>
            <w:r>
              <w:rPr>
                <w:sz w:val="16"/>
              </w:rPr>
              <w:t>2 - Long-tail hardening</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Adaptive token router, chunk/aggregate, conflict confirmation, hard caps.</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Oversized test corpus passes consistency tests.</w:t>
            </w:r>
          </w:p>
        </w:tc>
      </w:tr>
      <w:tr>
        <w:trPr>
          <w:cantSplit/>
        </w:trPr>
        <w:tc>
          <w:tcPr>
            <w:tcW w:type="dxa" w:w="1728"/>
            <w:vAlign w:val="top"/>
            <w:tcBorders>
              <w:top w:sz="3" w:val="single" w:color="CBD5E1"/>
              <w:left w:sz="3" w:val="single" w:color="CBD5E1"/>
              <w:bottom w:sz="3" w:val="single" w:color="CBD5E1"/>
              <w:right w:sz="3" w:val="single" w:color="CBD5E1"/>
            </w:tcBorders>
          </w:tcPr>
          <w:p>
            <w:pPr>
              <w:spacing w:after="20"/>
            </w:pPr>
            <w:r>
              <w:rPr>
                <w:sz w:val="16"/>
              </w:rPr>
              <w:t>3 - Self-service</w:t>
            </w:r>
          </w:p>
        </w:tc>
        <w:tc>
          <w:tcPr>
            <w:tcW w:type="dxa" w:w="4896"/>
            <w:vAlign w:val="top"/>
            <w:tcBorders>
              <w:top w:sz="3" w:val="single" w:color="CBD5E1"/>
              <w:left w:sz="3" w:val="single" w:color="CBD5E1"/>
              <w:bottom w:sz="3" w:val="single" w:color="CBD5E1"/>
              <w:right w:sz="3" w:val="single" w:color="CBD5E1"/>
            </w:tcBorders>
          </w:tcPr>
          <w:p>
            <w:pPr>
              <w:spacing w:after="20"/>
            </w:pPr>
            <w:r>
              <w:rPr>
                <w:sz w:val="16"/>
              </w:rPr>
              <w:t>Config UI/API, lint feedback, diff/replay dashboard, rollback controls.</w:t>
            </w:r>
          </w:p>
        </w:tc>
        <w:tc>
          <w:tcPr>
            <w:tcW w:type="dxa" w:w="3312"/>
            <w:vAlign w:val="top"/>
            <w:tcBorders>
              <w:top w:sz="3" w:val="single" w:color="CBD5E1"/>
              <w:left w:sz="3" w:val="single" w:color="CBD5E1"/>
              <w:bottom w:sz="3" w:val="single" w:color="CBD5E1"/>
              <w:right w:sz="3" w:val="single" w:color="CBD5E1"/>
            </w:tcBorders>
          </w:tcPr>
          <w:p>
            <w:pPr>
              <w:spacing w:after="20"/>
            </w:pPr>
            <w:r>
              <w:rPr>
                <w:sz w:val="16"/>
              </w:rPr>
              <w:t>Non-engineering configuration owner can publish safely.</w:t>
            </w:r>
          </w:p>
        </w:tc>
      </w:tr>
    </w:tbl>
    <w:p>
      <w:pPr>
        <w:spacing w:after="20"/>
      </w:pPr>
    </w:p>
    <w:p>
      <w:pPr>
        <w:pStyle w:val="Heading1"/>
      </w:pPr>
      <w:r>
        <w:t>References</w:t>
      </w:r>
    </w:p>
    <w:p>
      <w:r>
        <w:rPr>
          <w:i/>
        </w:rPr>
        <w:t>Technical facts about Jev/System One are based on the following public documentation available at the time this baseline was authored. Runtime model names and limits should be discovered or pinned during deployment rather than assumed permanently.</w:t>
      </w:r>
    </w:p>
    <w:p>
      <w:pPr>
        <w:pStyle w:val="ListBullet"/>
      </w:pPr>
      <w:hyperlink r:id="rId9">
        <w:r>
          <w:rPr>
            <w:color w:val="2457C5"/>
            <w:u w:val="single"/>
          </w:rPr>
          <w:t>TypeSafe AI - Introducing System One Models &amp; Jev (2026-09-15)</w:t>
        </w:r>
      </w:hyperlink>
    </w:p>
    <w:p>
      <w:pPr>
        <w:pStyle w:val="ListBullet"/>
      </w:pPr>
      <w:hyperlink r:id="rId10">
        <w:r>
          <w:rPr>
            <w:color w:val="2457C5"/>
            <w:u w:val="single"/>
          </w:rPr>
          <w:t>TypeSafe API - System One API documentation</w:t>
        </w:r>
      </w:hyperlink>
    </w:p>
    <w:p>
      <w:pPr>
        <w:pStyle w:val="ListBullet"/>
      </w:pPr>
      <w:hyperlink r:id="rId11">
        <w:r>
          <w:rPr>
            <w:color w:val="2457C5"/>
            <w:u w:val="single"/>
          </w:rPr>
          <w:t>Cloudflare AI - typesafe/jev model documentation</w:t>
        </w:r>
      </w:hyperlink>
    </w:p>
    <w:p>
      <w:pPr>
        <w:pStyle w:val="ListBullet"/>
      </w:pPr>
      <w:hyperlink r:id="rId12">
        <w:r>
          <w:rPr>
            <w:color w:val="2457C5"/>
            <w:u w:val="single"/>
          </w:rPr>
          <w:t>TypeSafe - Workflow evaluations and primitive descriptions</w:t>
        </w:r>
      </w:hyperlink>
    </w:p>
    <w:sectPr w:rsidR="00FC693F" w:rsidRPr="0006063C" w:rsidSect="00034616">
      <w:headerReference w:type="default" r:id="rId13"/>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68"/>
      <w:gridCol w:w="4968"/>
    </w:tblGrid>
    <w:tr>
      <w:tc>
        <w:tcPr>
          <w:tcW w:type="dxa" w:w="4968"/>
        </w:tcPr>
        <w:p>
          <w:r>
            <w:rPr>
              <w:color w:val="64748B"/>
              <w:sz w:val="14"/>
            </w:rPr>
            <w:t>Configurable Disposition Intelligence Platform</w:t>
          </w:r>
        </w:p>
      </w:tc>
      <w:tc>
        <w:tcPr>
          <w:tcW w:type="dxa" w:w="4968"/>
        </w:tcPr>
        <w:p>
          <w:pPr>
            <w:jc w:val="right"/>
          </w:pPr>
          <w:r>
            <w:rPr>
              <w:color w:val="64748B"/>
              <w:sz w:val="14"/>
            </w:rPr>
            <w:t>Confidential - Engineering Specification</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5"/>
      </w:rPr>
      <w:t>PRD_CONFIGURABLE_DISPOSITION_PLATFORM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E293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57C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E2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E293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DejaVu Sans Mono" w:hAnsi="DejaVu Sans Mono"/>
      <w:color w:val="1E293B"/>
      <w:sz w:val="15"/>
    </w:rPr>
  </w:style>
  <w:style w:type="paragraph" w:customStyle="1" w:styleId="SmallNote">
    <w:name w:val="Small Note"/>
    <w:pPr>
      <w:spacing w:after="80"/>
    </w:pPr>
    <w:rPr>
      <w:rFonts w:ascii="Aptos" w:hAnsi="Aptos"/>
      <w:color w:val="64748B"/>
      <w:sz w:val="16"/>
    </w:rPr>
  </w:style>
  <w:style w:type="paragraph" w:customStyle="1" w:styleId="Requirement">
    <w:name w:val="Requirement"/>
    <w:pPr>
      <w:spacing w:after="60"/>
      <w:ind w:left="216" w:hanging="216"/>
    </w:pPr>
    <w:rPr>
      <w:rFonts w:ascii="Aptos" w:hAnsi="Aptos"/>
      <w:color w:val="1E293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ypesafe.ai/blog/introducing-system-one-models-and-jev" TargetMode="External"/><Relationship Id="rId10" Type="http://schemas.openxmlformats.org/officeDocument/2006/relationships/hyperlink" Target="https://api.typesafe.ai/docs" TargetMode="External"/><Relationship Id="rId11" Type="http://schemas.openxmlformats.org/officeDocument/2006/relationships/hyperlink" Target="https://developers.cloudflare.com/ai/models/typesafe/jev/" TargetMode="External"/><Relationship Id="rId12" Type="http://schemas.openxmlformats.org/officeDocument/2006/relationships/hyperlink" Target="https://evals.typesafe.ai/"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