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457C5"/>
          <w:sz w:val="20"/>
        </w:rPr>
        <w:t>CONFIGURABLE DISPOSITION INTELLIGENCE PLATFORM</w:t>
      </w:r>
    </w:p>
    <w:p>
      <w:pPr>
        <w:pStyle w:val="Title"/>
      </w:pPr>
      <w:r>
        <w:t>System Design Document</w:t>
      </w:r>
    </w:p>
    <w:p>
      <w:r>
        <w:rPr>
          <w:color w:val="64748B"/>
          <w:sz w:val="24"/>
        </w:rPr>
        <w:t>Reference architecture for a multi-tenant, configuration-driven transcript disposition engine using typed probabilistic decisions and deterministic resolution.</w:t>
      </w:r>
    </w:p>
    <w:p/>
    <w:tbl>
      <w:tblPr>
        <w:tblStyle w:val="TableGrid"/>
        <w:tblW w:type="auto" w:w="0"/>
        <w:jc w:val="left"/>
        <w:tblLook w:firstColumn="1" w:firstRow="1" w:lastColumn="0" w:lastRow="0" w:noHBand="0" w:noVBand="1" w:val="04A0"/>
      </w:tblPr>
      <w:tblGrid>
        <w:gridCol w:w="4320"/>
        <w:gridCol w:w="4320"/>
      </w:tblGrid>
      <w:tr>
        <w:tc>
          <w:tcPr>
            <w:tcW w:type="dxa" w:w="4320"/>
            <w:shd w:fill="EEF2FF"/>
            <w:vAlign w:val="center"/>
            <w:tcBorders>
              <w:top w:sz="4" w:val="single" w:color="CBD5E1"/>
              <w:left w:sz="4" w:val="single" w:color="CBD5E1"/>
              <w:bottom w:sz="4" w:val="single" w:color="CBD5E1"/>
              <w:right w:sz="4" w:val="single" w:color="CBD5E1"/>
            </w:tcBorders>
          </w:tcPr>
          <w:p>
            <w:r>
              <w:rPr>
                <w:b/>
              </w:rPr>
              <w:t>Document ID</w:t>
            </w:r>
          </w:p>
        </w:tc>
        <w:tc>
          <w:tcPr>
            <w:tcW w:type="dxa" w:w="4320"/>
            <w:vAlign w:val="center"/>
            <w:tcBorders>
              <w:top w:sz="4" w:val="single" w:color="CBD5E1"/>
              <w:left w:sz="4" w:val="single" w:color="CBD5E1"/>
              <w:bottom w:sz="4" w:val="single" w:color="CBD5E1"/>
              <w:right w:sz="4" w:val="single" w:color="CBD5E1"/>
            </w:tcBorders>
          </w:tcPr>
          <w:p>
            <w:r>
              <w:t>SDD-CDIP-001</w:t>
            </w:r>
          </w:p>
        </w:tc>
      </w:tr>
      <w:tr>
        <w:tc>
          <w:tcPr>
            <w:tcW w:type="dxa" w:w="4320"/>
            <w:shd w:fill="EEF2FF"/>
            <w:vAlign w:val="center"/>
            <w:tcBorders>
              <w:top w:sz="4" w:val="single" w:color="CBD5E1"/>
              <w:left w:sz="4" w:val="single" w:color="CBD5E1"/>
              <w:bottom w:sz="4" w:val="single" w:color="CBD5E1"/>
              <w:right w:sz="4" w:val="single" w:color="CBD5E1"/>
            </w:tcBorders>
          </w:tcPr>
          <w:p>
            <w:r>
              <w:rPr>
                <w:b/>
              </w:rPr>
              <w:t>Version</w:t>
            </w:r>
          </w:p>
        </w:tc>
        <w:tc>
          <w:tcPr>
            <w:tcW w:type="dxa" w:w="4320"/>
            <w:vAlign w:val="center"/>
            <w:tcBorders>
              <w:top w:sz="4" w:val="single" w:color="CBD5E1"/>
              <w:left w:sz="4" w:val="single" w:color="CBD5E1"/>
              <w:bottom w:sz="4" w:val="single" w:color="CBD5E1"/>
              <w:right w:sz="4" w:val="single" w:color="CBD5E1"/>
            </w:tcBorders>
          </w:tcPr>
          <w:p>
            <w:r>
              <w:t>1.0</w:t>
            </w:r>
          </w:p>
        </w:tc>
      </w:tr>
      <w:tr>
        <w:tc>
          <w:tcPr>
            <w:tcW w:type="dxa" w:w="4320"/>
            <w:shd w:fill="EEF2FF"/>
            <w:vAlign w:val="center"/>
            <w:tcBorders>
              <w:top w:sz="4" w:val="single" w:color="CBD5E1"/>
              <w:left w:sz="4" w:val="single" w:color="CBD5E1"/>
              <w:bottom w:sz="4" w:val="single" w:color="CBD5E1"/>
              <w:right w:sz="4" w:val="single" w:color="CBD5E1"/>
            </w:tcBorders>
          </w:tcPr>
          <w:p>
            <w:r>
              <w:rPr>
                <w:b/>
              </w:rPr>
              <w:t>Status</w:t>
            </w:r>
          </w:p>
        </w:tc>
        <w:tc>
          <w:tcPr>
            <w:tcW w:type="dxa" w:w="4320"/>
            <w:vAlign w:val="center"/>
            <w:tcBorders>
              <w:top w:sz="4" w:val="single" w:color="CBD5E1"/>
              <w:left w:sz="4" w:val="single" w:color="CBD5E1"/>
              <w:bottom w:sz="4" w:val="single" w:color="CBD5E1"/>
              <w:right w:sz="4" w:val="single" w:color="CBD5E1"/>
            </w:tcBorders>
          </w:tcPr>
          <w:p>
            <w:r>
              <w:t>Proposed baseline</w:t>
            </w:r>
          </w:p>
        </w:tc>
      </w:tr>
      <w:tr>
        <w:tc>
          <w:tcPr>
            <w:tcW w:type="dxa" w:w="4320"/>
            <w:shd w:fill="EEF2FF"/>
            <w:vAlign w:val="center"/>
            <w:tcBorders>
              <w:top w:sz="4" w:val="single" w:color="CBD5E1"/>
              <w:left w:sz="4" w:val="single" w:color="CBD5E1"/>
              <w:bottom w:sz="4" w:val="single" w:color="CBD5E1"/>
              <w:right w:sz="4" w:val="single" w:color="CBD5E1"/>
            </w:tcBorders>
          </w:tcPr>
          <w:p>
            <w:r>
              <w:rPr>
                <w:b/>
              </w:rPr>
              <w:t>Design principle</w:t>
            </w:r>
          </w:p>
        </w:tc>
        <w:tc>
          <w:tcPr>
            <w:tcW w:type="dxa" w:w="4320"/>
            <w:vAlign w:val="center"/>
            <w:tcBorders>
              <w:top w:sz="4" w:val="single" w:color="CBD5E1"/>
              <w:left w:sz="4" w:val="single" w:color="CBD5E1"/>
              <w:bottom w:sz="4" w:val="single" w:color="CBD5E1"/>
              <w:right w:sz="4" w:val="single" w:color="CBD5E1"/>
            </w:tcBorders>
          </w:tcPr>
          <w:p>
            <w:r>
              <w:t>New tenants and use cases are onboarded through versioned JSON configuration; the shared runtime does not require use-case-specific code changes.</w:t>
            </w:r>
          </w:p>
        </w:tc>
      </w:tr>
    </w:tbl>
    <w:p/>
    <w:p>
      <w:pPr>
        <w:pStyle w:val="SmallNote"/>
      </w:pPr>
      <w:r>
        <w:t>Scope note: This specification is intentionally tenant-neutral and use-case-neutral. Business semantics, naming conventions, taxonomies, priorities, thresholds, and mappings are supplied by configuration.</w:t>
      </w:r>
    </w:p>
    <w:p>
      <w:r>
        <w:br w:type="page"/>
      </w:r>
    </w:p>
    <w:p>
      <w:pPr>
        <w:pStyle w:val="Heading1"/>
      </w:pPr>
      <w:r>
        <w:t>Contents</w:t>
      </w:r>
    </w:p>
    <w:p>
      <w:r>
        <w:rPr>
          <w:b/>
          <w:color w:val="1E293B"/>
        </w:rPr>
        <w:t>1. System Context</w:t>
      </w:r>
    </w:p>
    <w:p>
      <w:r>
        <w:rPr>
          <w:b/>
          <w:color w:val="1E293B"/>
        </w:rPr>
        <w:t>2. Architecture Overview</w:t>
      </w:r>
    </w:p>
    <w:p>
      <w:r>
        <w:rPr>
          <w:b/>
          <w:color w:val="1E293B"/>
        </w:rPr>
        <w:t>3. Data-Plane Components</w:t>
      </w:r>
    </w:p>
    <w:p>
      <w:r>
        <w:rPr>
          <w:b/>
          <w:color w:val="1E293B"/>
        </w:rPr>
        <w:t>4. Control-Plane Components</w:t>
      </w:r>
    </w:p>
    <w:p>
      <w:r>
        <w:rPr>
          <w:b/>
          <w:color w:val="1E293B"/>
        </w:rPr>
        <w:t>5. End-to-End Request Flow</w:t>
      </w:r>
    </w:p>
    <w:p>
      <w:r>
        <w:rPr>
          <w:b/>
          <w:color w:val="1E293B"/>
        </w:rPr>
        <w:t>6. Adaptive Transcript Strategy</w:t>
      </w:r>
    </w:p>
    <w:p>
      <w:r>
        <w:rPr>
          <w:b/>
          <w:color w:val="1E293B"/>
        </w:rPr>
        <w:t>7. Canonical Signal Model</w:t>
      </w:r>
    </w:p>
    <w:p>
      <w:r>
        <w:rPr>
          <w:b/>
          <w:color w:val="1E293B"/>
        </w:rPr>
        <w:t>8. Deterministic Resolution</w:t>
      </w:r>
    </w:p>
    <w:p>
      <w:r>
        <w:rPr>
          <w:b/>
          <w:color w:val="1E293B"/>
        </w:rPr>
        <w:t>9. Multi-Tenancy and Configuration Isolation</w:t>
      </w:r>
    </w:p>
    <w:p>
      <w:r>
        <w:rPr>
          <w:b/>
          <w:color w:val="1E293B"/>
        </w:rPr>
        <w:t>10. Storage Design</w:t>
      </w:r>
    </w:p>
    <w:p>
      <w:r>
        <w:rPr>
          <w:b/>
          <w:color w:val="1E293B"/>
        </w:rPr>
        <w:t>11. Scaling Model</w:t>
      </w:r>
    </w:p>
    <w:p>
      <w:r>
        <w:rPr>
          <w:b/>
          <w:color w:val="1E293B"/>
        </w:rPr>
        <w:t>12. Reliability and Recovery</w:t>
      </w:r>
    </w:p>
    <w:p>
      <w:r>
        <w:rPr>
          <w:b/>
          <w:color w:val="1E293B"/>
        </w:rPr>
        <w:t>13. Security Design</w:t>
      </w:r>
    </w:p>
    <w:p>
      <w:r>
        <w:rPr>
          <w:b/>
          <w:color w:val="1E293B"/>
        </w:rPr>
        <w:t>14. Observability and Audit</w:t>
      </w:r>
    </w:p>
    <w:p>
      <w:r>
        <w:rPr>
          <w:b/>
          <w:color w:val="1E293B"/>
        </w:rPr>
        <w:t>15. Deployment Topology</w:t>
      </w:r>
    </w:p>
    <w:p>
      <w:r>
        <w:rPr>
          <w:b/>
          <w:color w:val="1E293B"/>
        </w:rPr>
        <w:t>16. Key Design Decisions</w:t>
      </w:r>
    </w:p>
    <w:p>
      <w:r>
        <w:rPr>
          <w:b/>
          <w:color w:val="1E293B"/>
        </w:rPr>
        <w:t>17. Evolution Path</w:t>
      </w:r>
    </w:p>
    <w:p>
      <w:r>
        <w:rPr>
          <w:b/>
          <w:color w:val="1E293B"/>
        </w:rPr>
        <w:t>18. References</w:t>
      </w:r>
    </w:p>
    <w:p>
      <w:r>
        <w:br w:type="page"/>
      </w:r>
    </w:p>
    <w:p>
      <w:pPr>
        <w:pStyle w:val="Heading1"/>
      </w:pPr>
      <w:r>
        <w:t>1. System Context</w:t>
      </w:r>
    </w:p>
    <w:p>
      <w:r>
        <w:t>The service receives an interaction transcript (or equivalent text state) plus optional metadata/system facts and returns a disposition defined by the active tenant/use-case configuration. It is not tied to a specific industry taxonomy. The shared engine understands typed semantic questions, declarative rules, hierarchy, confidence, and mappings; it does not understand customer-specific label names in source code.</w:t>
      </w:r>
    </w:p>
    <w:tbl>
      <w:tblPr>
        <w:tblW w:type="auto" w:w="0"/>
        <w:jc w:val="center"/>
        <w:tblLook w:firstColumn="1" w:firstRow="1" w:lastColumn="0" w:lastRow="0" w:noHBand="0" w:noVBand="1" w:val="04A0"/>
      </w:tblPr>
      <w:tblGrid>
        <w:gridCol w:w="8640"/>
      </w:tblGrid>
      <w:tr>
        <w:tc>
          <w:tcPr>
            <w:tcW w:type="dxa" w:w="8640"/>
            <w:shd w:fill="ECFDF5"/>
            <w:tcBorders>
              <w:top w:sz="0" w:val="nil" w:color="ECFDF5"/>
              <w:left w:sz="18" w:val="single" w:color="15803D"/>
              <w:bottom w:sz="0" w:val="nil" w:color="ECFDF5"/>
              <w:right w:sz="0" w:val="nil" w:color="ECFDF5"/>
            </w:tcBorders>
          </w:tcPr>
          <w:p>
            <w:r>
              <w:rPr>
                <w:b/>
                <w:color w:val="15803D"/>
              </w:rPr>
              <w:t xml:space="preserve">Separation of concerns  </w:t>
            </w:r>
            <w:r>
              <w:t>Model = semantic evidence. Resolver = business policy. Taxonomy = customer naming. Configuration compiler = safety boundary.</w:t>
            </w:r>
          </w:p>
        </w:tc>
      </w:tr>
    </w:tbl>
    <w:p>
      <w:pPr>
        <w:spacing w:after="20"/>
      </w:pPr>
    </w:p>
    <w:p>
      <w:pPr>
        <w:pStyle w:val="Heading1"/>
      </w:pPr>
      <w:r>
        <w:t>2. Architecture Overview</w:t>
      </w:r>
    </w:p>
    <w:p>
      <w:pPr>
        <w:jc w:val="center"/>
      </w:pPr>
      <w:r>
        <w:drawing>
          <wp:inline xmlns:a="http://schemas.openxmlformats.org/drawingml/2006/main" xmlns:pic="http://schemas.openxmlformats.org/drawingml/2006/picture">
            <wp:extent cx="5943600" cy="101462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943600" cy="1014626"/>
                    </a:xfrm>
                    <a:prstGeom prst="rect"/>
                  </pic:spPr>
                </pic:pic>
              </a:graphicData>
            </a:graphic>
          </wp:inline>
        </w:drawing>
      </w:r>
    </w:p>
    <w:p>
      <w:pPr>
        <w:pStyle w:val="SmallNote"/>
        <w:jc w:val="center"/>
      </w:pPr>
      <w:r>
        <w:rPr>
          <w:i/>
        </w:rPr>
        <w:t>Figure 1. Logical system architecture.</w:t>
      </w:r>
    </w:p>
    <w:p>
      <w:r>
        <w:t>The architecture has a data plane for low-latency classification and a control plane for configuration authoring, validation, replay, approval, activation, and rollback. Only compiled immutable configuration enters the data plane.</w:t>
      </w:r>
    </w:p>
    <w:p>
      <w:pPr>
        <w:pStyle w:val="Heading1"/>
      </w:pPr>
      <w:r>
        <w:t>3. Data-Plane Components</w:t>
      </w: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2880"/>
            <w:shd w:fill="EEF2FF"/>
          </w:tcPr>
          <w:p>
            <w:r>
              <w:rPr>
                <w:b/>
                <w:color w:val="1E293B"/>
                <w:sz w:val="16"/>
              </w:rPr>
              <w:t>Component</w:t>
            </w:r>
          </w:p>
        </w:tc>
        <w:tc>
          <w:tcPr>
            <w:tcW w:type="dxa" w:w="6912"/>
            <w:shd w:fill="EEF2FF"/>
          </w:tcPr>
          <w:p>
            <w:r>
              <w:rPr>
                <w:b/>
                <w:color w:val="1E293B"/>
                <w:sz w:val="16"/>
              </w:rPr>
              <w:t>Responsibility</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API Gateway / Ingress</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Authentication, tenant routing, rate limiting, request-size enforcement, idempotency header capture.</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Request Normalizer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Maps raw event fields and speaker labels into the canonical input model; performs basic transcript sanitation.</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Front-Gate Engine</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Executes config-defined deterministic checks over authoritative metadata/system facts before inference.</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Token Router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Estimates serialized input tokens and selects single-pass or oversized path using compiled limits.</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Provider Adapter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Transforms canonical questions/state into the System One request and canonicalizes answers/usage.</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Long Transcript Processor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Turn-aware segmentation, overlap, bounded parallel calls, signal aggregation, conflict detection.</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Signal Store (in-request)</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Holds typed model answers in a provider-neutral map keyed by question ID.</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Rule Engine</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Evaluates fixed-operator JSON DSL by priority and emits a taxonomy code.</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Confidence Gate</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Applies default/per-code commit thresholds and review/parent behavior.</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Output Mapper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Adds names, parent, flags and customer-specific aliases; shapes final response.</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Result Writer / Event Publisher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Persists result and/or emits downstream event using idempotent semantics.</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Telemetry Exporter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Publishes metrics/traces asynchronously without logging transcript bodies by default.</w:t>
            </w:r>
          </w:p>
        </w:tc>
      </w:tr>
    </w:tbl>
    <w:p>
      <w:pPr>
        <w:spacing w:after="20"/>
      </w:pPr>
    </w:p>
    <w:p>
      <w:pPr>
        <w:pStyle w:val="Heading1"/>
      </w:pPr>
      <w:r>
        <w:t>4. Control-Plane Components</w:t>
      </w:r>
    </w:p>
    <w:p>
      <w:pPr>
        <w:jc w:val="center"/>
      </w:pPr>
      <w:r>
        <w:drawing>
          <wp:inline xmlns:a="http://schemas.openxmlformats.org/drawingml/2006/main" xmlns:pic="http://schemas.openxmlformats.org/drawingml/2006/picture">
            <wp:extent cx="5943600" cy="502868"/>
            <wp:docPr id="2" name="Picture 2"/>
            <wp:cNvGraphicFramePr>
              <a:graphicFrameLocks noChangeAspect="1"/>
            </wp:cNvGraphicFramePr>
            <a:graphic>
              <a:graphicData uri="http://schemas.openxmlformats.org/drawingml/2006/picture">
                <pic:pic>
                  <pic:nvPicPr>
                    <pic:cNvPr id="0" name="config_lifecycle.png"/>
                    <pic:cNvPicPr/>
                  </pic:nvPicPr>
                  <pic:blipFill>
                    <a:blip r:embed="rId10"/>
                    <a:stretch>
                      <a:fillRect/>
                    </a:stretch>
                  </pic:blipFill>
                  <pic:spPr>
                    <a:xfrm>
                      <a:off x="0" y="0"/>
                      <a:ext cx="5943600" cy="502868"/>
                    </a:xfrm>
                    <a:prstGeom prst="rect"/>
                  </pic:spPr>
                </pic:pic>
              </a:graphicData>
            </a:graphic>
          </wp:inline>
        </w:drawing>
      </w:r>
    </w:p>
    <w:p>
      <w:pPr>
        <w:pStyle w:val="SmallNote"/>
        <w:jc w:val="center"/>
      </w:pPr>
      <w:r>
        <w:rPr>
          <w:i/>
        </w:rPr>
        <w:t>Figure 2. Configuration lifecycle.</w:t>
      </w: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2880"/>
            <w:shd w:fill="EEF2FF"/>
          </w:tcPr>
          <w:p>
            <w:r>
              <w:rPr>
                <w:b/>
                <w:color w:val="1E293B"/>
                <w:sz w:val="16"/>
              </w:rPr>
              <w:t>Component</w:t>
            </w:r>
          </w:p>
        </w:tc>
        <w:tc>
          <w:tcPr>
            <w:tcW w:type="dxa" w:w="6912"/>
            <w:shd w:fill="EEF2FF"/>
          </w:tcPr>
          <w:p>
            <w:r>
              <w:rPr>
                <w:b/>
                <w:color w:val="1E293B"/>
                <w:sz w:val="16"/>
              </w:rPr>
              <w:t>Responsibility</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Config Registry</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Stores raw immutable versions, statuses, hashes, ownership and active pointers.</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Schema Validator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Enforces JSON shape and primitive-specific question schemas.</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Semantic Linter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Validates cross-references, taxonomy DAG, rule signals, duplicate priorities, budgets and deployment policy.</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Config Compiler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Builds provider question payload templates, rule plan, taxonomy maps, thresholds and aliases.</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Fixture Store</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Maintains labeled examples and expected outcomes per config/use case.</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Replay Service</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Runs candidate config against fixtures and computes per-code errors/coverage.</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Shadow Evaluator</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Runs candidate alongside active version without affecting production output.</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Approval / Activation Service</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Enforces policy gates then atomically changes active version pointer.</w:t>
            </w:r>
          </w:p>
        </w:tc>
      </w:tr>
      <w:tr>
        <w:trPr>
          <w:cantSplit/>
        </w:trPr>
        <w:tc>
          <w:tcPr>
            <w:tcW w:type="dxa" w:w="2880"/>
            <w:vAlign w:val="top"/>
            <w:tcBorders>
              <w:top w:sz="3" w:val="single" w:color="CBD5E1"/>
              <w:left w:sz="3" w:val="single" w:color="CBD5E1"/>
              <w:bottom w:sz="3" w:val="single" w:color="CBD5E1"/>
              <w:right w:sz="3" w:val="single" w:color="CBD5E1"/>
            </w:tcBorders>
          </w:tcPr>
          <w:p>
            <w:pPr>
              <w:spacing w:after="20"/>
            </w:pPr>
            <w:r>
              <w:rPr>
                <w:sz w:val="16"/>
              </w:rPr>
              <w:t>Audit Log</w:t>
            </w:r>
          </w:p>
        </w:tc>
        <w:tc>
          <w:tcPr>
            <w:tcW w:type="dxa" w:w="6912"/>
            <w:vAlign w:val="top"/>
            <w:tcBorders>
              <w:top w:sz="3" w:val="single" w:color="CBD5E1"/>
              <w:left w:sz="3" w:val="single" w:color="CBD5E1"/>
              <w:bottom w:sz="3" w:val="single" w:color="CBD5E1"/>
              <w:right w:sz="3" w:val="single" w:color="CBD5E1"/>
            </w:tcBorders>
          </w:tcPr>
          <w:p>
            <w:pPr>
              <w:spacing w:after="20"/>
            </w:pPr>
            <w:r>
              <w:rPr>
                <w:sz w:val="16"/>
              </w:rPr>
              <w:t>Append-only history of every configuration lifecycle action.</w:t>
            </w:r>
          </w:p>
        </w:tc>
      </w:tr>
    </w:tbl>
    <w:p>
      <w:pPr>
        <w:spacing w:after="20"/>
      </w:pPr>
    </w:p>
    <w:p>
      <w:pPr>
        <w:pStyle w:val="Heading1"/>
      </w:pPr>
      <w:r>
        <w:t>5. End-to-End Request Flow</w:t>
      </w:r>
    </w:p>
    <w:p>
      <w:pPr>
        <w:jc w:val="center"/>
      </w:pPr>
      <w:r>
        <w:drawing>
          <wp:inline xmlns:a="http://schemas.openxmlformats.org/drawingml/2006/main" xmlns:pic="http://schemas.openxmlformats.org/drawingml/2006/picture">
            <wp:extent cx="5760720" cy="692923"/>
            <wp:docPr id="3" name="Picture 3"/>
            <wp:cNvGraphicFramePr>
              <a:graphicFrameLocks noChangeAspect="1"/>
            </wp:cNvGraphicFramePr>
            <a:graphic>
              <a:graphicData uri="http://schemas.openxmlformats.org/drawingml/2006/picture">
                <pic:pic>
                  <pic:nvPicPr>
                    <pic:cNvPr id="0" name="request_flow.png"/>
                    <pic:cNvPicPr/>
                  </pic:nvPicPr>
                  <pic:blipFill>
                    <a:blip r:embed="rId11"/>
                    <a:stretch>
                      <a:fillRect/>
                    </a:stretch>
                  </pic:blipFill>
                  <pic:spPr>
                    <a:xfrm>
                      <a:off x="0" y="0"/>
                      <a:ext cx="5760720" cy="692923"/>
                    </a:xfrm>
                    <a:prstGeom prst="rect"/>
                  </pic:spPr>
                </pic:pic>
              </a:graphicData>
            </a:graphic>
          </wp:inline>
        </w:drawing>
      </w:r>
    </w:p>
    <w:p>
      <w:pPr>
        <w:pStyle w:val="SmallNote"/>
        <w:jc w:val="center"/>
      </w:pPr>
      <w:r>
        <w:rPr>
          <w:i/>
        </w:rPr>
        <w:t>Figure 3. Classification request flow.</w:t>
      </w:r>
    </w:p>
    <w:p>
      <w:pPr>
        <w:pStyle w:val="ListNumber"/>
        <w:spacing w:after="40"/>
      </w:pPr>
      <w:r>
        <w:t>Resolve active configuration using `(tenant_id, use_case_id)` unless a permitted explicit version is requested.</w:t>
      </w:r>
    </w:p>
    <w:p>
      <w:pPr>
        <w:pStyle w:val="ListNumber"/>
        <w:spacing w:after="40"/>
      </w:pPr>
      <w:r>
        <w:t>Normalize input according to the compiled mapping and speaker roles.</w:t>
      </w:r>
    </w:p>
    <w:p>
      <w:pPr>
        <w:pStyle w:val="ListNumber"/>
        <w:spacing w:after="40"/>
      </w:pPr>
      <w:r>
        <w:t>Run deterministic front gates in priority order. If a gate emits a disposition, skip the model.</w:t>
      </w:r>
    </w:p>
    <w:p>
      <w:pPr>
        <w:pStyle w:val="ListNumber"/>
        <w:spacing w:after="40"/>
      </w:pPr>
      <w:r>
        <w:t>Estimate full serialized model input size, including configured questions and reserved overhead.</w:t>
      </w:r>
    </w:p>
    <w:p>
      <w:pPr>
        <w:pStyle w:val="ListNumber"/>
        <w:spacing w:after="40"/>
      </w:pPr>
      <w:r>
        <w:t>Run either one full-state typed evaluation or the long-transcript processor.</w:t>
      </w:r>
    </w:p>
    <w:p>
      <w:pPr>
        <w:pStyle w:val="ListNumber"/>
        <w:spacing w:after="40"/>
      </w:pPr>
      <w:r>
        <w:t>Normalize provider answers into canonical signals.</w:t>
      </w:r>
    </w:p>
    <w:p>
      <w:pPr>
        <w:pStyle w:val="ListNumber"/>
        <w:spacing w:after="40"/>
      </w:pPr>
      <w:r>
        <w:t>Evaluate deterministic resolver rules in priority order.</w:t>
      </w:r>
    </w:p>
    <w:p>
      <w:pPr>
        <w:pStyle w:val="ListNumber"/>
        <w:spacing w:after="40"/>
      </w:pPr>
      <w:r>
        <w:t>Apply per-code/default confidence policy.</w:t>
      </w:r>
    </w:p>
    <w:p>
      <w:pPr>
        <w:pStyle w:val="ListNumber"/>
        <w:spacing w:after="40"/>
      </w:pPr>
      <w:r>
        <w:t>Map code to configured external name, parent, flags, aliases, and output fields.</w:t>
      </w:r>
    </w:p>
    <w:p>
      <w:pPr>
        <w:pStyle w:val="ListNumber"/>
        <w:spacing w:after="40"/>
      </w:pPr>
      <w:r>
        <w:t>Persist/publish result and emit telemetry with config/model/path provenance.</w:t>
      </w:r>
    </w:p>
    <w:p>
      <w:pPr>
        <w:pStyle w:val="Heading1"/>
      </w:pPr>
      <w:r>
        <w:t>6. Adaptive Transcript Strategy</w:t>
      </w:r>
    </w:p>
    <w:p>
      <w:pPr>
        <w:pStyle w:val="Heading2"/>
      </w:pPr>
      <w:r>
        <w:t>6.1 Why adaptive</w:t>
      </w:r>
    </w:p>
    <w:p>
      <w:r>
        <w:t>The workload is expected to be dominated by transcripts that fit comfortably in one model request. Making every call a multi-stage summarization or chunking workflow would add cost, latency, and failure modes to the common case. Therefore the long-transcript mechanism is a fallback, not the default architecture.</w:t>
      </w:r>
    </w:p>
    <w:p>
      <w:pPr>
        <w:pStyle w:val="Heading2"/>
      </w:pPr>
      <w:r>
        <w:t>6.2 Router inputs</w:t>
      </w:r>
    </w:p>
    <w:p>
      <w:pPr>
        <w:pStyle w:val="ListBullet"/>
        <w:spacing w:after="40"/>
      </w:pPr>
      <w:r>
        <w:t>Estimated transcript tokens after normalization.</w:t>
      </w:r>
    </w:p>
    <w:p>
      <w:pPr>
        <w:pStyle w:val="ListBullet"/>
        <w:spacing w:after="40"/>
      </w:pPr>
      <w:r>
        <w:t>Serialized question/criteria token budget.</w:t>
      </w:r>
    </w:p>
    <w:p>
      <w:pPr>
        <w:pStyle w:val="ListBullet"/>
        <w:spacing w:after="40"/>
      </w:pPr>
      <w:r>
        <w:t>Provider context window for the pinned model.</w:t>
      </w:r>
    </w:p>
    <w:p>
      <w:pPr>
        <w:pStyle w:val="ListBullet"/>
        <w:spacing w:after="40"/>
      </w:pPr>
      <w:r>
        <w:t>Configured safety margin and response reserve.</w:t>
      </w:r>
    </w:p>
    <w:p>
      <w:pPr>
        <w:pStyle w:val="ListBullet"/>
        <w:spacing w:after="40"/>
      </w:pPr>
      <w:r>
        <w:t>Configured per-use-case soft and hard limits.</w:t>
      </w:r>
    </w:p>
    <w:p>
      <w:pPr>
        <w:pStyle w:val="Heading2"/>
      </w:pPr>
      <w:r>
        <w:t>6.3 Oversized processing</w:t>
      </w:r>
    </w:p>
    <w:p>
      <w:pPr>
        <w:jc w:val="center"/>
      </w:pPr>
      <w:r>
        <w:drawing>
          <wp:inline xmlns:a="http://schemas.openxmlformats.org/drawingml/2006/main" xmlns:pic="http://schemas.openxmlformats.org/drawingml/2006/picture">
            <wp:extent cx="5760720" cy="414281"/>
            <wp:docPr id="4" name="Picture 4"/>
            <wp:cNvGraphicFramePr>
              <a:graphicFrameLocks noChangeAspect="1"/>
            </wp:cNvGraphicFramePr>
            <a:graphic>
              <a:graphicData uri="http://schemas.openxmlformats.org/drawingml/2006/picture">
                <pic:pic>
                  <pic:nvPicPr>
                    <pic:cNvPr id="0" name="long_transcript.png"/>
                    <pic:cNvPicPr/>
                  </pic:nvPicPr>
                  <pic:blipFill>
                    <a:blip r:embed="rId12"/>
                    <a:stretch>
                      <a:fillRect/>
                    </a:stretch>
                  </pic:blipFill>
                  <pic:spPr>
                    <a:xfrm>
                      <a:off x="0" y="0"/>
                      <a:ext cx="5760720" cy="414281"/>
                    </a:xfrm>
                    <a:prstGeom prst="rect"/>
                  </pic:spPr>
                </pic:pic>
              </a:graphicData>
            </a:graphic>
          </wp:inline>
        </w:drawing>
      </w:r>
    </w:p>
    <w:p>
      <w:pPr>
        <w:pStyle w:val="SmallNote"/>
        <w:jc w:val="center"/>
      </w:pPr>
      <w:r>
        <w:rPr>
          <w:i/>
        </w:rPr>
        <w:t>Figure 4. Long-transcript map/aggregate path.</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1440"/>
            <w:shd w:fill="EEF2FF"/>
          </w:tcPr>
          <w:p>
            <w:r>
              <w:rPr>
                <w:b/>
                <w:color w:val="1E293B"/>
                <w:sz w:val="16"/>
              </w:rPr>
              <w:t>Primitive</w:t>
            </w:r>
          </w:p>
        </w:tc>
        <w:tc>
          <w:tcPr>
            <w:tcW w:type="dxa" w:w="5328"/>
            <w:shd w:fill="EEF2FF"/>
          </w:tcPr>
          <w:p>
            <w:r>
              <w:rPr>
                <w:b/>
                <w:color w:val="1E293B"/>
                <w:sz w:val="16"/>
              </w:rPr>
              <w:t>Default aggregation concept</w:t>
            </w:r>
          </w:p>
        </w:tc>
        <w:tc>
          <w:tcPr>
            <w:tcW w:type="dxa" w:w="3024"/>
            <w:shd w:fill="EEF2FF"/>
          </w:tcPr>
          <w:p>
            <w:r>
              <w:rPr>
                <w:b/>
                <w:color w:val="1E293B"/>
                <w:sz w:val="16"/>
              </w:rPr>
              <w:t>Conflict example</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6"/>
              </w:rPr>
              <w:t>Noul</w:t>
            </w:r>
          </w:p>
        </w:tc>
        <w:tc>
          <w:tcPr>
            <w:tcW w:type="dxa" w:w="5328"/>
            <w:vAlign w:val="top"/>
            <w:tcBorders>
              <w:top w:sz="3" w:val="single" w:color="CBD5E1"/>
              <w:left w:sz="3" w:val="single" w:color="CBD5E1"/>
              <w:bottom w:sz="3" w:val="single" w:color="CBD5E1"/>
              <w:right w:sz="3" w:val="single" w:color="CBD5E1"/>
            </w:tcBorders>
          </w:tcPr>
          <w:p>
            <w:pPr>
              <w:spacing w:after="20"/>
            </w:pPr>
            <w:r>
              <w:rPr>
                <w:sz w:val="16"/>
              </w:rPr>
              <w:t>Use strongest supported positive probability, but detect strong positive and strong negative evidence across windows.</w:t>
            </w:r>
          </w:p>
        </w:tc>
        <w:tc>
          <w:tcPr>
            <w:tcW w:type="dxa" w:w="3024"/>
            <w:vAlign w:val="top"/>
            <w:tcBorders>
              <w:top w:sz="3" w:val="single" w:color="CBD5E1"/>
              <w:left w:sz="3" w:val="single" w:color="CBD5E1"/>
              <w:bottom w:sz="3" w:val="single" w:color="CBD5E1"/>
              <w:right w:sz="3" w:val="single" w:color="CBD5E1"/>
            </w:tcBorders>
          </w:tcPr>
          <w:p>
            <w:pPr>
              <w:spacing w:after="20"/>
            </w:pPr>
            <w:r>
              <w:rPr>
                <w:sz w:val="16"/>
              </w:rPr>
              <w:t>One window supports commitment; later window clearly retracts it.</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6"/>
              </w:rPr>
              <w:t>Choice</w:t>
            </w:r>
          </w:p>
        </w:tc>
        <w:tc>
          <w:tcPr>
            <w:tcW w:type="dxa" w:w="5328"/>
            <w:vAlign w:val="top"/>
            <w:tcBorders>
              <w:top w:sz="3" w:val="single" w:color="CBD5E1"/>
              <w:left w:sz="3" w:val="single" w:color="CBD5E1"/>
              <w:bottom w:sz="3" w:val="single" w:color="CBD5E1"/>
              <w:right w:sz="3" w:val="single" w:color="CBD5E1"/>
            </w:tcBorders>
          </w:tcPr>
          <w:p>
            <w:pPr>
              <w:spacing w:after="20"/>
            </w:pPr>
            <w:r>
              <w:rPr>
                <w:sz w:val="16"/>
              </w:rPr>
              <w:t>Pool probability distributions weighted by confidence/window relevance; select highest aggregate mass.</w:t>
            </w:r>
          </w:p>
        </w:tc>
        <w:tc>
          <w:tcPr>
            <w:tcW w:type="dxa" w:w="3024"/>
            <w:vAlign w:val="top"/>
            <w:tcBorders>
              <w:top w:sz="3" w:val="single" w:color="CBD5E1"/>
              <w:left w:sz="3" w:val="single" w:color="CBD5E1"/>
              <w:bottom w:sz="3" w:val="single" w:color="CBD5E1"/>
              <w:right w:sz="3" w:val="single" w:color="CBD5E1"/>
            </w:tcBorders>
          </w:tcPr>
          <w:p>
            <w:pPr>
              <w:spacing w:after="20"/>
            </w:pPr>
            <w:r>
              <w:rPr>
                <w:sz w:val="16"/>
              </w:rPr>
              <w:t>Different windows select different receiver identities.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6"/>
              </w:rPr>
              <w:t>Score</w:t>
            </w:r>
          </w:p>
        </w:tc>
        <w:tc>
          <w:tcPr>
            <w:tcW w:type="dxa" w:w="5328"/>
            <w:vAlign w:val="top"/>
            <w:tcBorders>
              <w:top w:sz="3" w:val="single" w:color="CBD5E1"/>
              <w:left w:sz="3" w:val="single" w:color="CBD5E1"/>
              <w:bottom w:sz="3" w:val="single" w:color="CBD5E1"/>
              <w:right w:sz="3" w:val="single" w:color="CBD5E1"/>
            </w:tcBorders>
          </w:tcPr>
          <w:p>
            <w:pPr>
              <w:spacing w:after="20"/>
            </w:pPr>
            <w:r>
              <w:rPr>
                <w:sz w:val="16"/>
              </w:rPr>
              <w:t>Confidence-weighted mean or configured max depending on semantic meaning.</w:t>
            </w:r>
          </w:p>
        </w:tc>
        <w:tc>
          <w:tcPr>
            <w:tcW w:type="dxa" w:w="3024"/>
            <w:vAlign w:val="top"/>
            <w:tcBorders>
              <w:top w:sz="3" w:val="single" w:color="CBD5E1"/>
              <w:left w:sz="3" w:val="single" w:color="CBD5E1"/>
              <w:bottom w:sz="3" w:val="single" w:color="CBD5E1"/>
              <w:right w:sz="3" w:val="single" w:color="CBD5E1"/>
            </w:tcBorders>
          </w:tcPr>
          <w:p>
            <w:pPr>
              <w:spacing w:after="20"/>
            </w:pPr>
            <w:r>
              <w:rPr>
                <w:sz w:val="16"/>
              </w:rPr>
              <w:t>Engagement starts low but later becomes substantive.</w:t>
            </w:r>
          </w:p>
        </w:tc>
      </w:tr>
    </w:tbl>
    <w:p>
      <w:pPr>
        <w:spacing w:after="20"/>
      </w:pPr>
    </w:p>
    <w:p>
      <w:r>
        <w:t>Aggregation policy is configuration-driven at the primitive category level but constrained to platform-supported strategies. It must not permit arbitrary executable aggregation code.</w:t>
      </w:r>
    </w:p>
    <w:p>
      <w:pPr>
        <w:pStyle w:val="Heading1"/>
      </w:pPr>
      <w:r>
        <w:t>7. Canonical Signal Model</w:t>
      </w:r>
    </w:p>
    <w:p>
      <w:pPr>
        <w:pStyle w:val="CodeBlock"/>
        <w:shd w:fill="F8FAFC"/>
        <w:pBdr>
          <w:bottom w:val="single" w:sz="4" w:space="1" w:color="CBD5E1"/>
        </w:pBdr>
      </w:pPr>
      <w:r>
        <w:t>signals = {</w:t>
        <w:br/>
        <w:t xml:space="preserve">  "positive_commitment": {</w:t>
        <w:br/>
        <w:t xml:space="preserve">    "type": "noul",</w:t>
        <w:br/>
        <w:t xml:space="preserve">    "probability": 0.94,</w:t>
        <w:br/>
        <w:t xml:space="preserve">    "source_windows": [0]</w:t>
        <w:br/>
        <w:t xml:space="preserve">  },</w:t>
        <w:br/>
        <w:t xml:space="preserve">  "commitment_state": {</w:t>
        <w:br/>
        <w:t xml:space="preserve">    "type": "choice",</w:t>
        <w:br/>
        <w:t xml:space="preserve">    "choice": "FUTURE",</w:t>
        <w:br/>
        <w:t xml:space="preserve">    "confidence": 0.88,</w:t>
        <w:br/>
        <w:t xml:space="preserve">    "probabilities": {"COMPLETED": 0.05, "FUTURE": 0.90, "NONE": 0.03, "UNCLEAR": 0.02},</w:t>
        <w:br/>
        <w:t xml:space="preserve">    "source_windows": [0]</w:t>
        <w:br/>
        <w:t xml:space="preserve">  }</w:t>
        <w:br/>
        <w:t>}</w:t>
      </w:r>
    </w:p>
    <w:p>
      <w:r>
        <w:t>The canonical signal map is the only interface consumed by the resolver. The resolver is therefore independent of whether signals came from a single full-state request, chunk aggregation, a future provider, or a test fixture.</w:t>
      </w:r>
    </w:p>
    <w:p>
      <w:pPr>
        <w:pStyle w:val="Heading1"/>
      </w:pPr>
      <w:r>
        <w:t>8. Deterministic Resolution</w:t>
      </w:r>
    </w:p>
    <w:p>
      <w:pPr>
        <w:pStyle w:val="Heading2"/>
      </w:pPr>
      <w:r>
        <w:t>8.1 Rule execution</w:t>
      </w:r>
    </w:p>
    <w:p>
      <w:pPr>
        <w:pStyle w:val="ListBullet"/>
        <w:spacing w:after="40"/>
      </w:pPr>
      <w:r>
        <w:t>Sort rules by ascending numeric `priority` (or documented equivalent).</w:t>
      </w:r>
    </w:p>
    <w:p>
      <w:pPr>
        <w:pStyle w:val="ListBullet"/>
        <w:spacing w:after="40"/>
      </w:pPr>
      <w:r>
        <w:t>Evaluate condition tree using canonical signals only.</w:t>
      </w:r>
    </w:p>
    <w:p>
      <w:pPr>
        <w:pStyle w:val="ListBullet"/>
        <w:spacing w:after="40"/>
      </w:pPr>
      <w:r>
        <w:t>Stop at first matching rule under `FIRST_MATCH_WINS`.</w:t>
      </w:r>
    </w:p>
    <w:p>
      <w:pPr>
        <w:pStyle w:val="ListBullet"/>
        <w:spacing w:after="40"/>
      </w:pPr>
      <w:r>
        <w:t>If no rule matches, emit configured default outcome.</w:t>
      </w:r>
    </w:p>
    <w:p>
      <w:pPr>
        <w:pStyle w:val="ListBullet"/>
        <w:spacing w:after="40"/>
      </w:pPr>
      <w:r>
        <w:t>Compute final confidence using a fixed platform method or an explicitly supported configured expression strategy; never use arbitrary code.</w:t>
      </w:r>
    </w:p>
    <w:p>
      <w:pPr>
        <w:pStyle w:val="Heading2"/>
      </w:pPr>
      <w:r>
        <w:t>8.2 Hierarchy</w:t>
      </w:r>
    </w:p>
    <w:p>
      <w:r>
        <w:t>Taxonomy is modeled as an acyclic parent-child graph. The output mapper resolves external name and parent metadata from the emitted code. Configuration may choose a review code or a supported parent behavior for uncertainty. Compiler checks prevent child references to missing parents and level inconsistencies.</w:t>
      </w:r>
    </w:p>
    <w:p>
      <w:pPr>
        <w:pStyle w:val="Heading1"/>
      </w:pPr>
      <w:r>
        <w:t>9. Multi-Tenancy and Configuration Isolation</w:t>
      </w:r>
    </w:p>
    <w:p>
      <w:pPr>
        <w:pStyle w:val="ListBullet"/>
        <w:spacing w:after="40"/>
      </w:pPr>
      <w:r>
        <w:t>All config keys include tenant and use-case identifiers.</w:t>
      </w:r>
    </w:p>
    <w:p>
      <w:pPr>
        <w:pStyle w:val="ListBullet"/>
        <w:spacing w:after="40"/>
      </w:pPr>
      <w:r>
        <w:t>No request may default to another tenant when lookup fails.</w:t>
      </w:r>
    </w:p>
    <w:p>
      <w:pPr>
        <w:pStyle w:val="ListBullet"/>
        <w:spacing w:after="40"/>
      </w:pPr>
      <w:r>
        <w:t>Compiled config cache entries are immutable and keyed by exact version.</w:t>
      </w:r>
    </w:p>
    <w:p>
      <w:pPr>
        <w:pStyle w:val="ListBullet"/>
        <w:spacing w:after="40"/>
      </w:pPr>
      <w:r>
        <w:t>Provider credentials are environment/profile configuration, never customer JSON.</w:t>
      </w:r>
    </w:p>
    <w:p>
      <w:pPr>
        <w:pStyle w:val="ListBullet"/>
        <w:spacing w:after="40"/>
      </w:pPr>
      <w:r>
        <w:t>Quotas and concurrency limits may be set per tenant but enforced by platform infrastructure.</w:t>
      </w:r>
    </w:p>
    <w:p>
      <w:pPr>
        <w:pStyle w:val="ListBullet"/>
        <w:spacing w:after="40"/>
      </w:pPr>
      <w:r>
        <w:t>Observability labels use non-sensitive tenant/use-case IDs; transcript text stays out of metrics labels.</w:t>
      </w:r>
    </w:p>
    <w:p>
      <w:pPr>
        <w:pStyle w:val="Heading1"/>
      </w:pPr>
      <w:r>
        <w:t>10. Storage Design</w:t>
      </w:r>
    </w:p>
    <w:p>
      <w:pPr>
        <w:pStyle w:val="Heading2"/>
      </w:pPr>
      <w:r>
        <w:t>10.1 Configuration store</w:t>
      </w:r>
    </w:p>
    <w:p>
      <w:r>
        <w:t>A relational database is suitable for version metadata, activation pointers, audit history, and fixture/replay metadata. Raw JSON and compiled artifacts may be stored in the database or object storage with content hashes. Active pointer updates should be transactional.</w:t>
      </w:r>
    </w:p>
    <w:p>
      <w:pPr>
        <w:pStyle w:val="Heading2"/>
      </w:pPr>
      <w:r>
        <w:t>10.2 Result store</w:t>
      </w:r>
    </w:p>
    <w:p>
      <w:r>
        <w:t>Result persistence depends on downstream ownership. The platform should at minimum support an idempotent result record keyed by request/idempotency key, with optional signal snapshots according to privacy policy. Transcript storage is optional and should default to upstream ownership.</w:t>
      </w:r>
    </w:p>
    <w:p>
      <w:pPr>
        <w:pStyle w:val="Heading2"/>
      </w:pPr>
      <w:r>
        <w:t>10.3 Cache</w:t>
      </w:r>
    </w:p>
    <w:p>
      <w:r>
        <w:t>Each data-plane instance keeps a bounded in-memory compiled-config cache. A distributed cache is optional; the database/config registry remains source of truth. Activation publishes an invalidation/update event to reduce convergence delay.</w:t>
      </w:r>
    </w:p>
    <w:p>
      <w:pPr>
        <w:pStyle w:val="Heading1"/>
      </w:pPr>
      <w:r>
        <w:t>11. Scaling Model</w:t>
      </w:r>
    </w:p>
    <w:p>
      <w:pPr>
        <w:pStyle w:val="ListBullet"/>
        <w:spacing w:after="40"/>
      </w:pPr>
      <w:r>
        <w:t>Scale data-plane replicas horizontally behind a load balancer.</w:t>
      </w:r>
    </w:p>
    <w:p>
      <w:pPr>
        <w:pStyle w:val="ListBullet"/>
        <w:spacing w:after="40"/>
      </w:pPr>
      <w:r>
        <w:t>Use non-blocking I/O for provider calls; cap per-instance outbound concurrency.</w:t>
      </w:r>
    </w:p>
    <w:p>
      <w:pPr>
        <w:pStyle w:val="ListBullet"/>
        <w:spacing w:after="40"/>
      </w:pPr>
      <w:r>
        <w:t>Long-transcript requests consume a weighted concurrency budget because one request fans out to multiple model calls.</w:t>
      </w:r>
    </w:p>
    <w:p>
      <w:pPr>
        <w:pStyle w:val="ListBullet"/>
        <w:spacing w:after="40"/>
      </w:pPr>
      <w:r>
        <w:t>Use tenant-level rate limits to avoid one configuration exhausting global provider quota.</w:t>
      </w:r>
    </w:p>
    <w:p>
      <w:pPr>
        <w:pStyle w:val="ListBullet"/>
        <w:spacing w:after="40"/>
      </w:pPr>
      <w:r>
        <w:t>Replay/shadow workloads run on separate worker pools or lower-priority queues so they cannot starve production traffic.</w:t>
      </w:r>
    </w:p>
    <w:p>
      <w:pPr>
        <w:pStyle w:val="ListBullet"/>
        <w:spacing w:after="40"/>
      </w:pPr>
      <w:r>
        <w:t>Control-plane activation traffic is low volume and should prioritize consistency over throughput.</w:t>
      </w:r>
    </w:p>
    <w:p>
      <w:pPr>
        <w:pStyle w:val="Heading1"/>
      </w:pPr>
      <w:r>
        <w:t>12. Reliability and Recovery</w:t>
      </w: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2160"/>
            <w:shd w:fill="EEF2FF"/>
          </w:tcPr>
          <w:p>
            <w:r>
              <w:rPr>
                <w:b/>
                <w:color w:val="1E293B"/>
                <w:sz w:val="16"/>
              </w:rPr>
              <w:t>Mechanism</w:t>
            </w:r>
          </w:p>
        </w:tc>
        <w:tc>
          <w:tcPr>
            <w:tcW w:type="dxa" w:w="7632"/>
            <w:shd w:fill="EEF2FF"/>
          </w:tcPr>
          <w:p>
            <w:r>
              <w:rPr>
                <w:b/>
                <w:color w:val="1E293B"/>
                <w:sz w:val="16"/>
              </w:rPr>
              <w:t>Design</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Idempotency</w:t>
            </w:r>
          </w:p>
        </w:tc>
        <w:tc>
          <w:tcPr>
            <w:tcW w:type="dxa" w:w="7632"/>
            <w:vAlign w:val="top"/>
            <w:tcBorders>
              <w:top w:sz="3" w:val="single" w:color="CBD5E1"/>
              <w:left w:sz="3" w:val="single" w:color="CBD5E1"/>
              <w:bottom w:sz="3" w:val="single" w:color="CBD5E1"/>
              <w:right w:sz="3" w:val="single" w:color="CBD5E1"/>
            </w:tcBorders>
          </w:tcPr>
          <w:p>
            <w:pPr>
              <w:spacing w:after="20"/>
            </w:pPr>
            <w:r>
              <w:rPr>
                <w:sz w:val="16"/>
              </w:rPr>
              <w:t>Persist idempotency key + config version + result; duplicate requests return existing committed result.</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Timeout budget</w:t>
            </w:r>
          </w:p>
        </w:tc>
        <w:tc>
          <w:tcPr>
            <w:tcW w:type="dxa" w:w="7632"/>
            <w:vAlign w:val="top"/>
            <w:tcBorders>
              <w:top w:sz="3" w:val="single" w:color="CBD5E1"/>
              <w:left w:sz="3" w:val="single" w:color="CBD5E1"/>
              <w:bottom w:sz="3" w:val="single" w:color="CBD5E1"/>
              <w:right w:sz="3" w:val="single" w:color="CBD5E1"/>
            </w:tcBorders>
          </w:tcPr>
          <w:p>
            <w:pPr>
              <w:spacing w:after="20"/>
            </w:pPr>
            <w:r>
              <w:rPr>
                <w:sz w:val="16"/>
              </w:rPr>
              <w:t>One overall request deadline with smaller provider/chunk deadlines; retries must fit inside the total budget.</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Circuit breaker</w:t>
            </w:r>
          </w:p>
        </w:tc>
        <w:tc>
          <w:tcPr>
            <w:tcW w:type="dxa" w:w="7632"/>
            <w:vAlign w:val="top"/>
            <w:tcBorders>
              <w:top w:sz="3" w:val="single" w:color="CBD5E1"/>
              <w:left w:sz="3" w:val="single" w:color="CBD5E1"/>
              <w:bottom w:sz="3" w:val="single" w:color="CBD5E1"/>
              <w:right w:sz="3" w:val="single" w:color="CBD5E1"/>
            </w:tcBorders>
          </w:tcPr>
          <w:p>
            <w:pPr>
              <w:spacing w:after="20"/>
            </w:pPr>
            <w:r>
              <w:rPr>
                <w:sz w:val="16"/>
              </w:rPr>
              <w:t>Open on sustained provider failures; return configured degraded behavior rather than queue indefinitely.</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Chunk retry</w:t>
            </w:r>
          </w:p>
        </w:tc>
        <w:tc>
          <w:tcPr>
            <w:tcW w:type="dxa" w:w="7632"/>
            <w:vAlign w:val="top"/>
            <w:tcBorders>
              <w:top w:sz="3" w:val="single" w:color="CBD5E1"/>
              <w:left w:sz="3" w:val="single" w:color="CBD5E1"/>
              <w:bottom w:sz="3" w:val="single" w:color="CBD5E1"/>
              <w:right w:sz="3" w:val="single" w:color="CBD5E1"/>
            </w:tcBorders>
          </w:tcPr>
          <w:p>
            <w:pPr>
              <w:spacing w:after="20"/>
            </w:pPr>
            <w:r>
              <w:rPr>
                <w:sz w:val="16"/>
              </w:rPr>
              <w:t>Retry only failed chunks and preserve successful canonical answers in request scope.</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Rollback</w:t>
            </w:r>
          </w:p>
        </w:tc>
        <w:tc>
          <w:tcPr>
            <w:tcW w:type="dxa" w:w="7632"/>
            <w:vAlign w:val="top"/>
            <w:tcBorders>
              <w:top w:sz="3" w:val="single" w:color="CBD5E1"/>
              <w:left w:sz="3" w:val="single" w:color="CBD5E1"/>
              <w:bottom w:sz="3" w:val="single" w:color="CBD5E1"/>
              <w:right w:sz="3" w:val="single" w:color="CBD5E1"/>
            </w:tcBorders>
          </w:tcPr>
          <w:p>
            <w:pPr>
              <w:spacing w:after="20"/>
            </w:pPr>
            <w:r>
              <w:rPr>
                <w:sz w:val="16"/>
              </w:rPr>
              <w:t>Active config pointer can atomically revert to previous approved version.</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Replay reproducibility</w:t>
            </w:r>
          </w:p>
        </w:tc>
        <w:tc>
          <w:tcPr>
            <w:tcW w:type="dxa" w:w="7632"/>
            <w:vAlign w:val="top"/>
            <w:tcBorders>
              <w:top w:sz="3" w:val="single" w:color="CBD5E1"/>
              <w:left w:sz="3" w:val="single" w:color="CBD5E1"/>
              <w:bottom w:sz="3" w:val="single" w:color="CBD5E1"/>
              <w:right w:sz="3" w:val="single" w:color="CBD5E1"/>
            </w:tcBorders>
          </w:tcPr>
          <w:p>
            <w:pPr>
              <w:spacing w:after="20"/>
            </w:pPr>
            <w:r>
              <w:rPr>
                <w:sz w:val="16"/>
              </w:rPr>
              <w:t>Store config version and model ID; note that probabilistic models may not be bitwise deterministic.</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Dead-letter path</w:t>
            </w:r>
          </w:p>
        </w:tc>
        <w:tc>
          <w:tcPr>
            <w:tcW w:type="dxa" w:w="7632"/>
            <w:vAlign w:val="top"/>
            <w:tcBorders>
              <w:top w:sz="3" w:val="single" w:color="CBD5E1"/>
              <w:left w:sz="3" w:val="single" w:color="CBD5E1"/>
              <w:bottom w:sz="3" w:val="single" w:color="CBD5E1"/>
              <w:right w:sz="3" w:val="single" w:color="CBD5E1"/>
            </w:tcBorders>
          </w:tcPr>
          <w:p>
            <w:pPr>
              <w:spacing w:after="20"/>
            </w:pPr>
            <w:r>
              <w:rPr>
                <w:sz w:val="16"/>
              </w:rPr>
              <w:t>Asynchronous downstream publication failures go to a DLQ with request/result identifiers, not raw transcript by default.</w:t>
            </w:r>
          </w:p>
        </w:tc>
      </w:tr>
    </w:tbl>
    <w:p>
      <w:pPr>
        <w:spacing w:after="20"/>
      </w:pPr>
    </w:p>
    <w:p>
      <w:pPr>
        <w:pStyle w:val="Heading1"/>
      </w:pPr>
      <w:r>
        <w:t>13. Security Design</w:t>
      </w:r>
    </w:p>
    <w:p>
      <w:pPr>
        <w:pStyle w:val="ListBullet"/>
        <w:spacing w:after="40"/>
      </w:pPr>
      <w:r>
        <w:t>Authenticate service-to-service calls and authorize tenant/use-case access.</w:t>
      </w:r>
    </w:p>
    <w:p>
      <w:pPr>
        <w:pStyle w:val="ListBullet"/>
        <w:spacing w:after="40"/>
      </w:pPr>
      <w:r>
        <w:t>Encrypt configuration/result stores and all network hops.</w:t>
      </w:r>
    </w:p>
    <w:p>
      <w:pPr>
        <w:pStyle w:val="ListBullet"/>
        <w:spacing w:after="40"/>
      </w:pPr>
      <w:r>
        <w:t>Use secret manager profiles for model-provider keys.</w:t>
      </w:r>
    </w:p>
    <w:p>
      <w:pPr>
        <w:pStyle w:val="ListBullet"/>
        <w:spacing w:after="40"/>
      </w:pPr>
      <w:r>
        <w:t>Apply data minimization: only include state needed by configured questions.</w:t>
      </w:r>
    </w:p>
    <w:p>
      <w:pPr>
        <w:pStyle w:val="ListBullet"/>
        <w:spacing w:after="40"/>
      </w:pPr>
      <w:r>
        <w:t>Mask transcript text in exception messages; record hashes/IDs instead.</w:t>
      </w:r>
    </w:p>
    <w:p>
      <w:pPr>
        <w:pStyle w:val="ListBullet"/>
        <w:spacing w:after="40"/>
      </w:pPr>
      <w:r>
        <w:t>Enforce configuration size, regex safety, and rule depth limits to prevent resource abuse.</w:t>
      </w:r>
    </w:p>
    <w:p>
      <w:pPr>
        <w:pStyle w:val="ListBullet"/>
        <w:spacing w:after="40"/>
      </w:pPr>
      <w:r>
        <w:t>Validate output aliases to prevent overwriting reserved platform fields.</w:t>
      </w:r>
    </w:p>
    <w:p>
      <w:pPr>
        <w:pStyle w:val="Heading1"/>
      </w:pPr>
      <w:r>
        <w:t>14. Observability and Audit</w:t>
      </w:r>
    </w:p>
    <w:p>
      <w:pPr>
        <w:pStyle w:val="ListBullet"/>
        <w:spacing w:after="40"/>
      </w:pPr>
      <w:r>
        <w:t>Distributed trace spans: ingress → normalize → front gate → route → provider/chunks → aggregate → resolve → persist.</w:t>
      </w:r>
    </w:p>
    <w:p>
      <w:pPr>
        <w:pStyle w:val="ListBullet"/>
        <w:spacing w:after="40"/>
      </w:pPr>
      <w:r>
        <w:t>Metrics tagged by tenant/use-case/config version but not by raw transcript text.</w:t>
      </w:r>
    </w:p>
    <w:p>
      <w:pPr>
        <w:pStyle w:val="ListBullet"/>
        <w:spacing w:after="40"/>
      </w:pPr>
      <w:r>
        <w:t>Rule trace includes matched rule ID and optionally evaluated predicate results.</w:t>
      </w:r>
    </w:p>
    <w:p>
      <w:pPr>
        <w:pStyle w:val="ListBullet"/>
        <w:spacing w:after="40"/>
      </w:pPr>
      <w:r>
        <w:t>Configuration audit log records author, approver, diff summary, fixture metrics, activation/rollback times.</w:t>
      </w:r>
    </w:p>
    <w:p>
      <w:pPr>
        <w:pStyle w:val="ListBullet"/>
        <w:spacing w:after="40"/>
      </w:pPr>
      <w:r>
        <w:t>Alerts on provider error rate, latency, default/review spikes, distribution drift, and chunked-path anomalies.</w:t>
      </w:r>
    </w:p>
    <w:p>
      <w:pPr>
        <w:pStyle w:val="Heading1"/>
      </w:pPr>
      <w:r>
        <w:t>15. Deployment Topology</w:t>
      </w:r>
    </w:p>
    <w:p>
      <w:pPr>
        <w:pStyle w:val="CodeBlock"/>
        <w:shd w:fill="F8FAFC"/>
        <w:pBdr>
          <w:bottom w:val="single" w:sz="4" w:space="1" w:color="CBD5E1"/>
        </w:pBdr>
      </w:pPr>
      <w:r>
        <w:t>Internet / internal event source</w:t>
        <w:br/>
        <w:t xml:space="preserve">          |</w:t>
        <w:br/>
        <w:t xml:space="preserve">      API Gateway</w:t>
        <w:br/>
        <w:t xml:space="preserve">          |</w:t>
        <w:br/>
        <w:t xml:space="preserve">  +-------------------- Data Plane --------------------+</w:t>
        <w:br/>
        <w:t xml:space="preserve">  | Classification Service replicas                   |</w:t>
        <w:br/>
        <w:t xml:space="preserve">  |  - compiled config cache                          |</w:t>
        <w:br/>
        <w:t xml:space="preserve">  |  - token router / provider adapter / resolver     |</w:t>
        <w:br/>
        <w:t xml:space="preserve">  +---------------------------------------------------+</w:t>
        <w:br/>
        <w:t xml:space="preserve">          |                 |                 |</w:t>
        <w:br/>
        <w:t xml:space="preserve">       Provider         Result DB         Event Bus</w:t>
        <w:br/>
        <w:br/>
        <w:t xml:space="preserve">  +------------------- Control Plane ------------------+</w:t>
        <w:br/>
        <w:t xml:space="preserve">  | Config API -&gt; Validator -&gt; Compiler -&gt; Replay      |</w:t>
        <w:br/>
        <w:t xml:space="preserve">  |                       -&gt; Registry -&gt; Audit DB       |</w:t>
        <w:br/>
        <w:t xml:space="preserve">  +---------------------------------------------------+</w:t>
      </w:r>
    </w:p>
    <w:p>
      <w:pPr>
        <w:pStyle w:val="Heading1"/>
      </w:pPr>
      <w:r>
        <w:t>16. Key Design Decisions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2304"/>
            <w:shd w:fill="EEF2FF"/>
          </w:tcPr>
          <w:p>
            <w:r>
              <w:rPr>
                <w:b/>
                <w:color w:val="1E293B"/>
                <w:sz w:val="16"/>
              </w:rPr>
              <w:t>Decision</w:t>
            </w:r>
          </w:p>
        </w:tc>
        <w:tc>
          <w:tcPr>
            <w:tcW w:type="dxa" w:w="3312"/>
            <w:shd w:fill="EEF2FF"/>
          </w:tcPr>
          <w:p>
            <w:r>
              <w:rPr>
                <w:b/>
                <w:color w:val="1E293B"/>
                <w:sz w:val="16"/>
              </w:rPr>
              <w:t>Chosen approach</w:t>
            </w:r>
          </w:p>
        </w:tc>
        <w:tc>
          <w:tcPr>
            <w:tcW w:type="dxa" w:w="4176"/>
            <w:shd w:fill="EEF2FF"/>
          </w:tcPr>
          <w:p>
            <w:r>
              <w:rPr>
                <w:b/>
                <w:color w:val="1E293B"/>
                <w:sz w:val="16"/>
              </w:rPr>
              <w:t>Reason</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Final classification</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Typed signals + deterministic resolver</w:t>
            </w:r>
          </w:p>
        </w:tc>
        <w:tc>
          <w:tcPr>
            <w:tcW w:type="dxa" w:w="4176"/>
            <w:vAlign w:val="top"/>
            <w:tcBorders>
              <w:top w:sz="3" w:val="single" w:color="CBD5E1"/>
              <w:left w:sz="3" w:val="single" w:color="CBD5E1"/>
              <w:bottom w:sz="3" w:val="single" w:color="CBD5E1"/>
              <w:right w:sz="3" w:val="single" w:color="CBD5E1"/>
            </w:tcBorders>
          </w:tcPr>
          <w:p>
            <w:pPr>
              <w:spacing w:after="20"/>
            </w:pPr>
            <w:r>
              <w:rPr>
                <w:sz w:val="16"/>
              </w:rPr>
              <w:t>Separates uncertain semantic judgment from explicit business policy.</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Common-case transcript handling</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Single pass</w:t>
            </w:r>
          </w:p>
        </w:tc>
        <w:tc>
          <w:tcPr>
            <w:tcW w:type="dxa" w:w="4176"/>
            <w:vAlign w:val="top"/>
            <w:tcBorders>
              <w:top w:sz="3" w:val="single" w:color="CBD5E1"/>
              <w:left w:sz="3" w:val="single" w:color="CBD5E1"/>
              <w:bottom w:sz="3" w:val="single" w:color="CBD5E1"/>
              <w:right w:sz="3" w:val="single" w:color="CBD5E1"/>
            </w:tcBorders>
          </w:tcPr>
          <w:p>
            <w:pPr>
              <w:spacing w:after="20"/>
            </w:pPr>
            <w:r>
              <w:rPr>
                <w:sz w:val="16"/>
              </w:rPr>
              <w:t>Lowest complexity/latency and preserves full call context.</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Rare long inputs</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Map/aggregate fallback</w:t>
            </w:r>
          </w:p>
        </w:tc>
        <w:tc>
          <w:tcPr>
            <w:tcW w:type="dxa" w:w="4176"/>
            <w:vAlign w:val="top"/>
            <w:tcBorders>
              <w:top w:sz="3" w:val="single" w:color="CBD5E1"/>
              <w:left w:sz="3" w:val="single" w:color="CBD5E1"/>
              <w:bottom w:sz="3" w:val="single" w:color="CBD5E1"/>
              <w:right w:sz="3" w:val="single" w:color="CBD5E1"/>
            </w:tcBorders>
          </w:tcPr>
          <w:p>
            <w:pPr>
              <w:spacing w:after="20"/>
            </w:pPr>
            <w:r>
              <w:rPr>
                <w:sz w:val="16"/>
              </w:rPr>
              <w:t>Provides readiness without penalizing normal traffic.</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Tenant customization</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Versioned JSON + safe DSL</w:t>
            </w:r>
          </w:p>
        </w:tc>
        <w:tc>
          <w:tcPr>
            <w:tcW w:type="dxa" w:w="4176"/>
            <w:vAlign w:val="top"/>
            <w:tcBorders>
              <w:top w:sz="3" w:val="single" w:color="CBD5E1"/>
              <w:left w:sz="3" w:val="single" w:color="CBD5E1"/>
              <w:bottom w:sz="3" w:val="single" w:color="CBD5E1"/>
              <w:right w:sz="3" w:val="single" w:color="CBD5E1"/>
            </w:tcBorders>
          </w:tcPr>
          <w:p>
            <w:pPr>
              <w:spacing w:after="20"/>
            </w:pPr>
            <w:r>
              <w:rPr>
                <w:sz w:val="16"/>
              </w:rPr>
              <w:t>No code forks; reviewable and testable.</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Config execution</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Compile before traffic</w:t>
            </w:r>
          </w:p>
        </w:tc>
        <w:tc>
          <w:tcPr>
            <w:tcW w:type="dxa" w:w="4176"/>
            <w:vAlign w:val="top"/>
            <w:tcBorders>
              <w:top w:sz="3" w:val="single" w:color="CBD5E1"/>
              <w:left w:sz="3" w:val="single" w:color="CBD5E1"/>
              <w:bottom w:sz="3" w:val="single" w:color="CBD5E1"/>
              <w:right w:sz="3" w:val="single" w:color="CBD5E1"/>
            </w:tcBorders>
          </w:tcPr>
          <w:p>
            <w:pPr>
              <w:spacing w:after="20"/>
            </w:pPr>
            <w:r>
              <w:rPr>
                <w:sz w:val="16"/>
              </w:rPr>
              <w:t>Moves validation cost/errors out of hot path.</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Model version</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Pin or discover during deployment</w:t>
            </w:r>
          </w:p>
        </w:tc>
        <w:tc>
          <w:tcPr>
            <w:tcW w:type="dxa" w:w="4176"/>
            <w:vAlign w:val="top"/>
            <w:tcBorders>
              <w:top w:sz="3" w:val="single" w:color="CBD5E1"/>
              <w:left w:sz="3" w:val="single" w:color="CBD5E1"/>
              <w:bottom w:sz="3" w:val="single" w:color="CBD5E1"/>
              <w:right w:sz="3" w:val="single" w:color="CBD5E1"/>
            </w:tcBorders>
          </w:tcPr>
          <w:p>
            <w:pPr>
              <w:spacing w:after="20"/>
            </w:pPr>
            <w:r>
              <w:rPr>
                <w:sz w:val="16"/>
              </w:rPr>
              <w:t>Avoids coupling business configs to transient provider naming.</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Evidence/audit</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Store signal scores + source windows optionally</w:t>
            </w:r>
          </w:p>
        </w:tc>
        <w:tc>
          <w:tcPr>
            <w:tcW w:type="dxa" w:w="4176"/>
            <w:vAlign w:val="top"/>
            <w:tcBorders>
              <w:top w:sz="3" w:val="single" w:color="CBD5E1"/>
              <w:left w:sz="3" w:val="single" w:color="CBD5E1"/>
              <w:bottom w:sz="3" w:val="single" w:color="CBD5E1"/>
              <w:right w:sz="3" w:val="single" w:color="CBD5E1"/>
            </w:tcBorders>
          </w:tcPr>
          <w:p>
            <w:pPr>
              <w:spacing w:after="20"/>
            </w:pPr>
            <w:r>
              <w:rPr>
                <w:sz w:val="16"/>
              </w:rPr>
              <w:t>Supports debugging while minimizing raw transcript retention.</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Extensibility</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Provider-neutral canonical primitives</w:t>
            </w:r>
          </w:p>
        </w:tc>
        <w:tc>
          <w:tcPr>
            <w:tcW w:type="dxa" w:w="4176"/>
            <w:vAlign w:val="top"/>
            <w:tcBorders>
              <w:top w:sz="3" w:val="single" w:color="CBD5E1"/>
              <w:left w:sz="3" w:val="single" w:color="CBD5E1"/>
              <w:bottom w:sz="3" w:val="single" w:color="CBD5E1"/>
              <w:right w:sz="3" w:val="single" w:color="CBD5E1"/>
            </w:tcBorders>
          </w:tcPr>
          <w:p>
            <w:pPr>
              <w:spacing w:after="20"/>
            </w:pPr>
            <w:r>
              <w:rPr>
                <w:sz w:val="16"/>
              </w:rPr>
              <w:t>Allows future adapters without changing rule semantics.</w:t>
            </w:r>
          </w:p>
        </w:tc>
      </w:tr>
    </w:tbl>
    <w:p>
      <w:pPr>
        <w:spacing w:after="20"/>
      </w:pPr>
    </w:p>
    <w:p>
      <w:pPr>
        <w:pStyle w:val="Heading1"/>
      </w:pPr>
      <w:r>
        <w:t>17. Evolution Path</w:t>
      </w:r>
    </w:p>
    <w:p>
      <w:pPr>
        <w:pStyle w:val="ListBullet"/>
        <w:spacing w:after="40"/>
      </w:pPr>
      <w:r>
        <w:t>Add a web configuration editor that emits the same JSON schema rather than creating a second source of truth.</w:t>
      </w:r>
    </w:p>
    <w:p>
      <w:pPr>
        <w:pStyle w:val="ListBullet"/>
        <w:spacing w:after="40"/>
      </w:pPr>
      <w:r>
        <w:t>Add automated threshold tuning from labeled replay sets, but require explicit generated config version and approval.</w:t>
      </w:r>
    </w:p>
    <w:p>
      <w:pPr>
        <w:pStyle w:val="ListBullet"/>
        <w:spacing w:after="40"/>
      </w:pPr>
      <w:r>
        <w:t>Add reusable question packs as composition/imports while compiling to a single self-contained immutable config.</w:t>
      </w:r>
    </w:p>
    <w:p>
      <w:pPr>
        <w:pStyle w:val="ListBullet"/>
        <w:spacing w:after="40"/>
      </w:pPr>
      <w:r>
        <w:t>Add optional exact-evidence locator service for audit use cases without changing the core disposition contract.</w:t>
      </w:r>
    </w:p>
    <w:p>
      <w:pPr>
        <w:pStyle w:val="ListBullet"/>
        <w:spacing w:after="40"/>
      </w:pPr>
      <w:r>
        <w:t>Add multi-event/session state as a new canonical input capability while keeping rules/config declarative.</w:t>
      </w:r>
    </w:p>
    <w:p>
      <w:pPr>
        <w:pStyle w:val="Heading1"/>
      </w:pPr>
      <w:r>
        <w:t>References</w:t>
      </w:r>
    </w:p>
    <w:p>
      <w:r>
        <w:rPr>
          <w:i/>
        </w:rPr>
        <w:t>Technical facts about Jev/System One are based on the following public documentation available at the time this baseline was authored. Runtime model names and limits should be discovered or pinned during deployment rather than assumed permanently.</w:t>
      </w:r>
    </w:p>
    <w:p>
      <w:pPr>
        <w:pStyle w:val="ListBullet"/>
      </w:pPr>
      <w:hyperlink r:id="rId13">
        <w:r>
          <w:rPr>
            <w:color w:val="2457C5"/>
            <w:u w:val="single"/>
          </w:rPr>
          <w:t>TypeSafe AI - Introducing System One Models &amp; Jev (2026-09-15)</w:t>
        </w:r>
      </w:hyperlink>
    </w:p>
    <w:p>
      <w:pPr>
        <w:pStyle w:val="ListBullet"/>
      </w:pPr>
      <w:hyperlink r:id="rId14">
        <w:r>
          <w:rPr>
            <w:color w:val="2457C5"/>
            <w:u w:val="single"/>
          </w:rPr>
          <w:t>TypeSafe API - System One API documentation</w:t>
        </w:r>
      </w:hyperlink>
    </w:p>
    <w:p>
      <w:pPr>
        <w:pStyle w:val="ListBullet"/>
      </w:pPr>
      <w:hyperlink r:id="rId15">
        <w:r>
          <w:rPr>
            <w:color w:val="2457C5"/>
            <w:u w:val="single"/>
          </w:rPr>
          <w:t>Cloudflare AI - typesafe/jev model documentation</w:t>
        </w:r>
      </w:hyperlink>
    </w:p>
    <w:p>
      <w:pPr>
        <w:pStyle w:val="ListBullet"/>
      </w:pPr>
      <w:hyperlink r:id="rId16">
        <w:r>
          <w:rPr>
            <w:color w:val="2457C5"/>
            <w:u w:val="single"/>
          </w:rPr>
          <w:t>TypeSafe - Workflow evaluations and primitive descriptions</w:t>
        </w:r>
      </w:hyperlink>
    </w:p>
    <w:sectPr w:rsidR="00FC693F" w:rsidRPr="0006063C" w:rsidSect="00034616">
      <w:headerReference w:type="default" r:id="rId17"/>
      <w:footerReference w:type="default" r:id="rId18"/>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r>
            <w:rPr>
              <w:color w:val="64748B"/>
              <w:sz w:val="14"/>
            </w:rPr>
            <w:t>Configurable Disposition Intelligence Platform</w:t>
          </w:r>
        </w:p>
      </w:tc>
      <w:tc>
        <w:tcPr>
          <w:tcW w:type="dxa" w:w="4968"/>
        </w:tcPr>
        <w:p>
          <w:pPr>
            <w:jc w:val="right"/>
          </w:pPr>
          <w:r>
            <w:rPr>
              <w:color w:val="64748B"/>
              <w:sz w:val="14"/>
            </w:rPr>
            <w:t>Confidential - Engineering Specification</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5"/>
      </w:rPr>
      <w:t>SYSTEM_DESIGN_CONFIGURABLE_DISPOSITION_PLATFORM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E293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57C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E2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E29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DejaVu Sans Mono" w:hAnsi="DejaVu Sans Mono"/>
      <w:color w:val="1E293B"/>
      <w:sz w:val="15"/>
    </w:rPr>
  </w:style>
  <w:style w:type="paragraph" w:customStyle="1" w:styleId="SmallNote">
    <w:name w:val="Small Note"/>
    <w:pPr>
      <w:spacing w:after="80"/>
    </w:pPr>
    <w:rPr>
      <w:rFonts w:ascii="Aptos" w:hAnsi="Aptos"/>
      <w:color w:val="64748B"/>
      <w:sz w:val="16"/>
    </w:rPr>
  </w:style>
  <w:style w:type="paragraph" w:customStyle="1" w:styleId="Requirement">
    <w:name w:val="Requirement"/>
    <w:pPr>
      <w:spacing w:after="60"/>
      <w:ind w:left="216" w:hanging="216"/>
    </w:pPr>
    <w:rPr>
      <w:rFonts w:ascii="Aptos" w:hAnsi="Aptos"/>
      <w:color w:val="1E293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typesafe.ai/blog/introducing-system-one-models-and-jev" TargetMode="External"/><Relationship Id="rId14" Type="http://schemas.openxmlformats.org/officeDocument/2006/relationships/hyperlink" Target="https://api.typesafe.ai/docs" TargetMode="External"/><Relationship Id="rId15" Type="http://schemas.openxmlformats.org/officeDocument/2006/relationships/hyperlink" Target="https://developers.cloudflare.com/ai/models/typesafe/jev/" TargetMode="External"/><Relationship Id="rId16" Type="http://schemas.openxmlformats.org/officeDocument/2006/relationships/hyperlink" Target="https://evals.typesafe.ai/" TargetMode="External"/><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