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57C5"/>
          <w:sz w:val="20"/>
        </w:rPr>
        <w:t>CONFIGURABLE DISPOSITION INTELLIGENCE PLATFORM</w:t>
      </w:r>
    </w:p>
    <w:p>
      <w:pPr>
        <w:pStyle w:val="Title"/>
      </w:pPr>
      <w:r>
        <w:t>Technical Requirements Document (TRD)</w:t>
      </w:r>
    </w:p>
    <w:p>
      <w:r>
        <w:rPr>
          <w:color w:val="64748B"/>
          <w:sz w:val="24"/>
        </w:rPr>
        <w:t>Technical contract, interfaces, non-functional requirements, and implementation constraints for the configuration-driven platform.</w:t>
      </w:r>
    </w:p>
    <w:p/>
    <w:tbl>
      <w:tblPr>
        <w:tblStyle w:val="TableGrid"/>
        <w:tblW w:type="auto" w:w="0"/>
        <w:jc w:val="left"/>
        <w:tblLook w:firstColumn="1" w:firstRow="1" w:lastColumn="0" w:lastRow="0" w:noHBand="0" w:noVBand="1" w:val="04A0"/>
      </w:tblPr>
      <w:tblGrid>
        <w:gridCol w:w="4320"/>
        <w:gridCol w:w="4320"/>
      </w:tblGrid>
      <w:tr>
        <w:tc>
          <w:tcPr>
            <w:tcW w:type="dxa" w:w="4320"/>
            <w:shd w:fill="EEF2FF"/>
            <w:vAlign w:val="center"/>
            <w:tcBorders>
              <w:top w:sz="4" w:val="single" w:color="CBD5E1"/>
              <w:left w:sz="4" w:val="single" w:color="CBD5E1"/>
              <w:bottom w:sz="4" w:val="single" w:color="CBD5E1"/>
              <w:right w:sz="4" w:val="single" w:color="CBD5E1"/>
            </w:tcBorders>
          </w:tcPr>
          <w:p>
            <w:r>
              <w:rPr>
                <w:b/>
              </w:rPr>
              <w:t>Document ID</w:t>
            </w:r>
          </w:p>
        </w:tc>
        <w:tc>
          <w:tcPr>
            <w:tcW w:type="dxa" w:w="4320"/>
            <w:vAlign w:val="center"/>
            <w:tcBorders>
              <w:top w:sz="4" w:val="single" w:color="CBD5E1"/>
              <w:left w:sz="4" w:val="single" w:color="CBD5E1"/>
              <w:bottom w:sz="4" w:val="single" w:color="CBD5E1"/>
              <w:right w:sz="4" w:val="single" w:color="CBD5E1"/>
            </w:tcBorders>
          </w:tcPr>
          <w:p>
            <w:r>
              <w:t>TRD-CDIP-001</w:t>
            </w:r>
          </w:p>
        </w:tc>
      </w:tr>
      <w:tr>
        <w:tc>
          <w:tcPr>
            <w:tcW w:type="dxa" w:w="4320"/>
            <w:shd w:fill="EEF2FF"/>
            <w:vAlign w:val="center"/>
            <w:tcBorders>
              <w:top w:sz="4" w:val="single" w:color="CBD5E1"/>
              <w:left w:sz="4" w:val="single" w:color="CBD5E1"/>
              <w:bottom w:sz="4" w:val="single" w:color="CBD5E1"/>
              <w:right w:sz="4" w:val="single" w:color="CBD5E1"/>
            </w:tcBorders>
          </w:tcPr>
          <w:p>
            <w:r>
              <w:rPr>
                <w:b/>
              </w:rPr>
              <w:t>Version</w:t>
            </w:r>
          </w:p>
        </w:tc>
        <w:tc>
          <w:tcPr>
            <w:tcW w:type="dxa" w:w="4320"/>
            <w:vAlign w:val="center"/>
            <w:tcBorders>
              <w:top w:sz="4" w:val="single" w:color="CBD5E1"/>
              <w:left w:sz="4" w:val="single" w:color="CBD5E1"/>
              <w:bottom w:sz="4" w:val="single" w:color="CBD5E1"/>
              <w:right w:sz="4" w:val="single" w:color="CBD5E1"/>
            </w:tcBorders>
          </w:tcPr>
          <w:p>
            <w:r>
              <w:t>1.0</w:t>
            </w:r>
          </w:p>
        </w:tc>
      </w:tr>
      <w:tr>
        <w:tc>
          <w:tcPr>
            <w:tcW w:type="dxa" w:w="4320"/>
            <w:shd w:fill="EEF2FF"/>
            <w:vAlign w:val="center"/>
            <w:tcBorders>
              <w:top w:sz="4" w:val="single" w:color="CBD5E1"/>
              <w:left w:sz="4" w:val="single" w:color="CBD5E1"/>
              <w:bottom w:sz="4" w:val="single" w:color="CBD5E1"/>
              <w:right w:sz="4" w:val="single" w:color="CBD5E1"/>
            </w:tcBorders>
          </w:tcPr>
          <w:p>
            <w:r>
              <w:rPr>
                <w:b/>
              </w:rPr>
              <w:t>Status</w:t>
            </w:r>
          </w:p>
        </w:tc>
        <w:tc>
          <w:tcPr>
            <w:tcW w:type="dxa" w:w="4320"/>
            <w:vAlign w:val="center"/>
            <w:tcBorders>
              <w:top w:sz="4" w:val="single" w:color="CBD5E1"/>
              <w:left w:sz="4" w:val="single" w:color="CBD5E1"/>
              <w:bottom w:sz="4" w:val="single" w:color="CBD5E1"/>
              <w:right w:sz="4" w:val="single" w:color="CBD5E1"/>
            </w:tcBorders>
          </w:tcPr>
          <w:p>
            <w:r>
              <w:t>Proposed baseline</w:t>
            </w:r>
          </w:p>
        </w:tc>
      </w:tr>
      <w:tr>
        <w:tc>
          <w:tcPr>
            <w:tcW w:type="dxa" w:w="4320"/>
            <w:shd w:fill="EEF2FF"/>
            <w:vAlign w:val="center"/>
            <w:tcBorders>
              <w:top w:sz="4" w:val="single" w:color="CBD5E1"/>
              <w:left w:sz="4" w:val="single" w:color="CBD5E1"/>
              <w:bottom w:sz="4" w:val="single" w:color="CBD5E1"/>
              <w:right w:sz="4" w:val="single" w:color="CBD5E1"/>
            </w:tcBorders>
          </w:tcPr>
          <w:p>
            <w:r>
              <w:rPr>
                <w:b/>
              </w:rPr>
              <w:t>Design principle</w:t>
            </w:r>
          </w:p>
        </w:tc>
        <w:tc>
          <w:tcPr>
            <w:tcW w:type="dxa" w:w="4320"/>
            <w:vAlign w:val="center"/>
            <w:tcBorders>
              <w:top w:sz="4" w:val="single" w:color="CBD5E1"/>
              <w:left w:sz="4" w:val="single" w:color="CBD5E1"/>
              <w:bottom w:sz="4" w:val="single" w:color="CBD5E1"/>
              <w:right w:sz="4" w:val="single" w:color="CBD5E1"/>
            </w:tcBorders>
          </w:tcPr>
          <w:p>
            <w:r>
              <w:t>New tenants and use cases are onboarded through versioned JSON configuration; the shared runtime does not require use-case-specific code changes.</w:t>
            </w:r>
          </w:p>
        </w:tc>
      </w:tr>
    </w:tbl>
    <w:p/>
    <w:p>
      <w:pPr>
        <w:pStyle w:val="SmallNote"/>
      </w:pPr>
      <w:r>
        <w:t>Scope note: This specification is intentionally tenant-neutral and use-case-neutral. Business semantics, naming conventions, taxonomies, priorities, thresholds, and mappings are supplied by configuration.</w:t>
      </w:r>
    </w:p>
    <w:p>
      <w:r>
        <w:br w:type="page"/>
      </w:r>
    </w:p>
    <w:p>
      <w:pPr>
        <w:pStyle w:val="Heading1"/>
      </w:pPr>
      <w:r>
        <w:t>Contents</w:t>
      </w:r>
    </w:p>
    <w:p>
      <w:r>
        <w:rPr>
          <w:b/>
          <w:color w:val="1E293B"/>
        </w:rPr>
        <w:t>1. Scope</w:t>
      </w:r>
    </w:p>
    <w:p>
      <w:r>
        <w:rPr>
          <w:b/>
          <w:color w:val="1E293B"/>
        </w:rPr>
        <w:t>2. Technical Architecture Principles</w:t>
      </w:r>
    </w:p>
    <w:p>
      <w:r>
        <w:rPr>
          <w:b/>
          <w:color w:val="1E293B"/>
        </w:rPr>
        <w:t>3. External Interfaces</w:t>
      </w:r>
    </w:p>
    <w:p>
      <w:r>
        <w:rPr>
          <w:b/>
          <w:color w:val="1E293B"/>
        </w:rPr>
        <w:t>4. Configuration Compilation</w:t>
      </w:r>
    </w:p>
    <w:p>
      <w:r>
        <w:rPr>
          <w:b/>
          <w:color w:val="1E293B"/>
        </w:rPr>
        <w:t>5. Inference Requirements</w:t>
      </w:r>
    </w:p>
    <w:p>
      <w:r>
        <w:rPr>
          <w:b/>
          <w:color w:val="1E293B"/>
        </w:rPr>
        <w:t>6. Transcript Routing and Long-Input Handling</w:t>
      </w:r>
    </w:p>
    <w:p>
      <w:r>
        <w:rPr>
          <w:b/>
          <w:color w:val="1E293B"/>
        </w:rPr>
        <w:t>7. Resolver DSL</w:t>
      </w:r>
    </w:p>
    <w:p>
      <w:r>
        <w:rPr>
          <w:b/>
          <w:color w:val="1E293B"/>
        </w:rPr>
        <w:t>8. Data Model</w:t>
      </w:r>
    </w:p>
    <w:p>
      <w:r>
        <w:rPr>
          <w:b/>
          <w:color w:val="1E293B"/>
        </w:rPr>
        <w:t>9. Service APIs</w:t>
      </w:r>
    </w:p>
    <w:p>
      <w:r>
        <w:rPr>
          <w:b/>
          <w:color w:val="1E293B"/>
        </w:rPr>
        <w:t>10. Reliability and Failure Handling</w:t>
      </w:r>
    </w:p>
    <w:p>
      <w:r>
        <w:rPr>
          <w:b/>
          <w:color w:val="1E293B"/>
        </w:rPr>
        <w:t>11. Performance and Scale</w:t>
      </w:r>
    </w:p>
    <w:p>
      <w:r>
        <w:rPr>
          <w:b/>
          <w:color w:val="1E293B"/>
        </w:rPr>
        <w:t>12. Security and Privacy</w:t>
      </w:r>
    </w:p>
    <w:p>
      <w:r>
        <w:rPr>
          <w:b/>
          <w:color w:val="1E293B"/>
        </w:rPr>
        <w:t>13. Observability</w:t>
      </w:r>
    </w:p>
    <w:p>
      <w:r>
        <w:rPr>
          <w:b/>
          <w:color w:val="1E293B"/>
        </w:rPr>
        <w:t>14. Testing and Validation</w:t>
      </w:r>
    </w:p>
    <w:p>
      <w:r>
        <w:rPr>
          <w:b/>
          <w:color w:val="1E293B"/>
        </w:rPr>
        <w:t>15. Deployment and Operations</w:t>
      </w:r>
    </w:p>
    <w:p>
      <w:r>
        <w:rPr>
          <w:b/>
          <w:color w:val="1E293B"/>
        </w:rPr>
        <w:t>16. Technical Acceptance Criteria</w:t>
      </w:r>
    </w:p>
    <w:p>
      <w:r>
        <w:rPr>
          <w:b/>
          <w:color w:val="1E293B"/>
        </w:rPr>
        <w:t>17. References</w:t>
      </w:r>
    </w:p>
    <w:p>
      <w:r>
        <w:br w:type="page"/>
      </w:r>
    </w:p>
    <w:p>
      <w:pPr>
        <w:pStyle w:val="Heading1"/>
      </w:pPr>
      <w:r>
        <w:t>1. Scope</w:t>
      </w:r>
    </w:p>
    <w:p>
      <w:r>
        <w:t>This document defines technical requirements for a stateless classification runtime plus a versioned configuration control plane. It deliberately excludes tenant-specific labels and rules from application code. The design assumes transcript generation occurs upstream; this service begins with transcript/event ingestion and ends with a structured classification response and telemetry.</w:t>
      </w:r>
    </w:p>
    <w:p>
      <w:pPr>
        <w:pStyle w:val="Heading1"/>
      </w:pPr>
      <w:r>
        <w:t>2. Technical Architecture Principles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296"/>
            <w:shd w:fill="EEF2FF"/>
          </w:tcPr>
          <w:p>
            <w:r>
              <w:rPr>
                <w:b/>
                <w:color w:val="1E293B"/>
                <w:sz w:val="16"/>
              </w:rPr>
              <w:t>ID</w:t>
            </w:r>
          </w:p>
        </w:tc>
        <w:tc>
          <w:tcPr>
            <w:tcW w:type="dxa" w:w="2448"/>
            <w:shd w:fill="EEF2FF"/>
          </w:tcPr>
          <w:p>
            <w:r>
              <w:rPr>
                <w:b/>
                <w:color w:val="1E293B"/>
                <w:sz w:val="16"/>
              </w:rPr>
              <w:t>Principle</w:t>
            </w:r>
          </w:p>
        </w:tc>
        <w:tc>
          <w:tcPr>
            <w:tcW w:type="dxa" w:w="6048"/>
            <w:shd w:fill="EEF2FF"/>
          </w:tcPr>
          <w:p>
            <w:r>
              <w:rPr>
                <w:b/>
                <w:color w:val="1E293B"/>
                <w:sz w:val="16"/>
              </w:rPr>
              <w:t>Requirement</w:t>
            </w:r>
          </w:p>
        </w:tc>
      </w:tr>
      <w:tr>
        <w:trPr>
          <w:cantSplit/>
        </w:trPr>
        <w:tc>
          <w:tcPr>
            <w:tcW w:type="dxa" w:w="1296"/>
            <w:vAlign w:val="top"/>
            <w:tcBorders>
              <w:top w:sz="3" w:val="single" w:color="CBD5E1"/>
              <w:left w:sz="3" w:val="single" w:color="CBD5E1"/>
              <w:bottom w:sz="3" w:val="single" w:color="CBD5E1"/>
              <w:right w:sz="3" w:val="single" w:color="CBD5E1"/>
            </w:tcBorders>
          </w:tcPr>
          <w:p>
            <w:pPr>
              <w:spacing w:after="20"/>
            </w:pPr>
            <w:r>
              <w:rPr>
                <w:sz w:val="16"/>
              </w:rPr>
              <w:t>TRD-P-01</w:t>
            </w:r>
          </w:p>
        </w:tc>
        <w:tc>
          <w:tcPr>
            <w:tcW w:type="dxa" w:w="2448"/>
            <w:vAlign w:val="top"/>
            <w:tcBorders>
              <w:top w:sz="3" w:val="single" w:color="CBD5E1"/>
              <w:left w:sz="3" w:val="single" w:color="CBD5E1"/>
              <w:bottom w:sz="3" w:val="single" w:color="CBD5E1"/>
              <w:right w:sz="3" w:val="single" w:color="CBD5E1"/>
            </w:tcBorders>
          </w:tcPr>
          <w:p>
            <w:pPr>
              <w:spacing w:after="20"/>
            </w:pPr>
            <w:r>
              <w:rPr>
                <w:sz w:val="16"/>
              </w:rPr>
              <w:t>Configuration compilation</w:t>
            </w:r>
          </w:p>
        </w:tc>
        <w:tc>
          <w:tcPr>
            <w:tcW w:type="dxa" w:w="6048"/>
            <w:vAlign w:val="top"/>
            <w:tcBorders>
              <w:top w:sz="3" w:val="single" w:color="CBD5E1"/>
              <w:left w:sz="3" w:val="single" w:color="CBD5E1"/>
              <w:bottom w:sz="3" w:val="single" w:color="CBD5E1"/>
              <w:right w:sz="3" w:val="single" w:color="CBD5E1"/>
            </w:tcBorders>
          </w:tcPr>
          <w:p>
            <w:pPr>
              <w:spacing w:after="20"/>
            </w:pPr>
            <w:r>
              <w:rPr>
                <w:sz w:val="16"/>
              </w:rPr>
              <w:t>Raw JSON must be compiled into a validated runtime plan before serving traffic.</w:t>
            </w:r>
          </w:p>
        </w:tc>
      </w:tr>
      <w:tr>
        <w:trPr>
          <w:cantSplit/>
        </w:trPr>
        <w:tc>
          <w:tcPr>
            <w:tcW w:type="dxa" w:w="1296"/>
            <w:vAlign w:val="top"/>
            <w:tcBorders>
              <w:top w:sz="3" w:val="single" w:color="CBD5E1"/>
              <w:left w:sz="3" w:val="single" w:color="CBD5E1"/>
              <w:bottom w:sz="3" w:val="single" w:color="CBD5E1"/>
              <w:right w:sz="3" w:val="single" w:color="CBD5E1"/>
            </w:tcBorders>
          </w:tcPr>
          <w:p>
            <w:pPr>
              <w:spacing w:after="20"/>
            </w:pPr>
            <w:r>
              <w:rPr>
                <w:sz w:val="16"/>
              </w:rPr>
              <w:t>TRD-P-02</w:t>
            </w:r>
          </w:p>
        </w:tc>
        <w:tc>
          <w:tcPr>
            <w:tcW w:type="dxa" w:w="2448"/>
            <w:vAlign w:val="top"/>
            <w:tcBorders>
              <w:top w:sz="3" w:val="single" w:color="CBD5E1"/>
              <w:left w:sz="3" w:val="single" w:color="CBD5E1"/>
              <w:bottom w:sz="3" w:val="single" w:color="CBD5E1"/>
              <w:right w:sz="3" w:val="single" w:color="CBD5E1"/>
            </w:tcBorders>
          </w:tcPr>
          <w:p>
            <w:pPr>
              <w:spacing w:after="20"/>
            </w:pPr>
            <w:r>
              <w:rPr>
                <w:sz w:val="16"/>
              </w:rPr>
              <w:t>Pure resolution</w:t>
            </w:r>
          </w:p>
        </w:tc>
        <w:tc>
          <w:tcPr>
            <w:tcW w:type="dxa" w:w="6048"/>
            <w:vAlign w:val="top"/>
            <w:tcBorders>
              <w:top w:sz="3" w:val="single" w:color="CBD5E1"/>
              <w:left w:sz="3" w:val="single" w:color="CBD5E1"/>
              <w:bottom w:sz="3" w:val="single" w:color="CBD5E1"/>
              <w:right w:sz="3" w:val="single" w:color="CBD5E1"/>
            </w:tcBorders>
          </w:tcPr>
          <w:p>
            <w:pPr>
              <w:spacing w:after="20"/>
            </w:pPr>
            <w:r>
              <w:rPr>
                <w:sz w:val="16"/>
              </w:rPr>
              <w:t>Given normalized input, compiled config, and model signal responses, deterministic resolution must be side-effect-free.</w:t>
            </w:r>
          </w:p>
        </w:tc>
      </w:tr>
      <w:tr>
        <w:trPr>
          <w:cantSplit/>
        </w:trPr>
        <w:tc>
          <w:tcPr>
            <w:tcW w:type="dxa" w:w="1296"/>
            <w:vAlign w:val="top"/>
            <w:tcBorders>
              <w:top w:sz="3" w:val="single" w:color="CBD5E1"/>
              <w:left w:sz="3" w:val="single" w:color="CBD5E1"/>
              <w:bottom w:sz="3" w:val="single" w:color="CBD5E1"/>
              <w:right w:sz="3" w:val="single" w:color="CBD5E1"/>
            </w:tcBorders>
          </w:tcPr>
          <w:p>
            <w:pPr>
              <w:spacing w:after="20"/>
            </w:pPr>
            <w:r>
              <w:rPr>
                <w:sz w:val="16"/>
              </w:rPr>
              <w:t>TRD-P-03</w:t>
            </w:r>
          </w:p>
        </w:tc>
        <w:tc>
          <w:tcPr>
            <w:tcW w:type="dxa" w:w="2448"/>
            <w:vAlign w:val="top"/>
            <w:tcBorders>
              <w:top w:sz="3" w:val="single" w:color="CBD5E1"/>
              <w:left w:sz="3" w:val="single" w:color="CBD5E1"/>
              <w:bottom w:sz="3" w:val="single" w:color="CBD5E1"/>
              <w:right w:sz="3" w:val="single" w:color="CBD5E1"/>
            </w:tcBorders>
          </w:tcPr>
          <w:p>
            <w:pPr>
              <w:spacing w:after="20"/>
            </w:pPr>
            <w:r>
              <w:rPr>
                <w:sz w:val="16"/>
              </w:rPr>
              <w:t>Provider isolation</w:t>
            </w:r>
          </w:p>
        </w:tc>
        <w:tc>
          <w:tcPr>
            <w:tcW w:type="dxa" w:w="6048"/>
            <w:vAlign w:val="top"/>
            <w:tcBorders>
              <w:top w:sz="3" w:val="single" w:color="CBD5E1"/>
              <w:left w:sz="3" w:val="single" w:color="CBD5E1"/>
              <w:bottom w:sz="3" w:val="single" w:color="CBD5E1"/>
              <w:right w:sz="3" w:val="single" w:color="CBD5E1"/>
            </w:tcBorders>
          </w:tcPr>
          <w:p>
            <w:pPr>
              <w:spacing w:after="20"/>
            </w:pPr>
            <w:r>
              <w:rPr>
                <w:sz w:val="16"/>
              </w:rPr>
              <w:t>All model-specific request/response details must be behind an adapter.</w:t>
            </w:r>
          </w:p>
        </w:tc>
      </w:tr>
      <w:tr>
        <w:trPr>
          <w:cantSplit/>
        </w:trPr>
        <w:tc>
          <w:tcPr>
            <w:tcW w:type="dxa" w:w="1296"/>
            <w:vAlign w:val="top"/>
            <w:tcBorders>
              <w:top w:sz="3" w:val="single" w:color="CBD5E1"/>
              <w:left w:sz="3" w:val="single" w:color="CBD5E1"/>
              <w:bottom w:sz="3" w:val="single" w:color="CBD5E1"/>
              <w:right w:sz="3" w:val="single" w:color="CBD5E1"/>
            </w:tcBorders>
          </w:tcPr>
          <w:p>
            <w:pPr>
              <w:spacing w:after="20"/>
            </w:pPr>
            <w:r>
              <w:rPr>
                <w:sz w:val="16"/>
              </w:rPr>
              <w:t>TRD-P-04</w:t>
            </w:r>
          </w:p>
        </w:tc>
        <w:tc>
          <w:tcPr>
            <w:tcW w:type="dxa" w:w="2448"/>
            <w:vAlign w:val="top"/>
            <w:tcBorders>
              <w:top w:sz="3" w:val="single" w:color="CBD5E1"/>
              <w:left w:sz="3" w:val="single" w:color="CBD5E1"/>
              <w:bottom w:sz="3" w:val="single" w:color="CBD5E1"/>
              <w:right w:sz="3" w:val="single" w:color="CBD5E1"/>
            </w:tcBorders>
          </w:tcPr>
          <w:p>
            <w:pPr>
              <w:spacing w:after="20"/>
            </w:pPr>
            <w:r>
              <w:rPr>
                <w:sz w:val="16"/>
              </w:rPr>
              <w:t>No arbitrary tenant code</w:t>
            </w:r>
          </w:p>
        </w:tc>
        <w:tc>
          <w:tcPr>
            <w:tcW w:type="dxa" w:w="6048"/>
            <w:vAlign w:val="top"/>
            <w:tcBorders>
              <w:top w:sz="3" w:val="single" w:color="CBD5E1"/>
              <w:left w:sz="3" w:val="single" w:color="CBD5E1"/>
              <w:bottom w:sz="3" w:val="single" w:color="CBD5E1"/>
              <w:right w:sz="3" w:val="single" w:color="CBD5E1"/>
            </w:tcBorders>
          </w:tcPr>
          <w:p>
            <w:pPr>
              <w:spacing w:after="20"/>
            </w:pPr>
            <w:r>
              <w:rPr>
                <w:sz w:val="16"/>
              </w:rPr>
              <w:t>Config may not inject executable expressions or scripts.</w:t>
            </w:r>
          </w:p>
        </w:tc>
      </w:tr>
      <w:tr>
        <w:trPr>
          <w:cantSplit/>
        </w:trPr>
        <w:tc>
          <w:tcPr>
            <w:tcW w:type="dxa" w:w="1296"/>
            <w:vAlign w:val="top"/>
            <w:tcBorders>
              <w:top w:sz="3" w:val="single" w:color="CBD5E1"/>
              <w:left w:sz="3" w:val="single" w:color="CBD5E1"/>
              <w:bottom w:sz="3" w:val="single" w:color="CBD5E1"/>
              <w:right w:sz="3" w:val="single" w:color="CBD5E1"/>
            </w:tcBorders>
          </w:tcPr>
          <w:p>
            <w:pPr>
              <w:spacing w:after="20"/>
            </w:pPr>
            <w:r>
              <w:rPr>
                <w:sz w:val="16"/>
              </w:rPr>
              <w:t>TRD-P-05</w:t>
            </w:r>
          </w:p>
        </w:tc>
        <w:tc>
          <w:tcPr>
            <w:tcW w:type="dxa" w:w="2448"/>
            <w:vAlign w:val="top"/>
            <w:tcBorders>
              <w:top w:sz="3" w:val="single" w:color="CBD5E1"/>
              <w:left w:sz="3" w:val="single" w:color="CBD5E1"/>
              <w:bottom w:sz="3" w:val="single" w:color="CBD5E1"/>
              <w:right w:sz="3" w:val="single" w:color="CBD5E1"/>
            </w:tcBorders>
          </w:tcPr>
          <w:p>
            <w:pPr>
              <w:spacing w:after="20"/>
            </w:pPr>
            <w:r>
              <w:rPr>
                <w:sz w:val="16"/>
              </w:rPr>
              <w:t>Common fast path</w:t>
            </w:r>
          </w:p>
        </w:tc>
        <w:tc>
          <w:tcPr>
            <w:tcW w:type="dxa" w:w="6048"/>
            <w:vAlign w:val="top"/>
            <w:tcBorders>
              <w:top w:sz="3" w:val="single" w:color="CBD5E1"/>
              <w:left w:sz="3" w:val="single" w:color="CBD5E1"/>
              <w:bottom w:sz="3" w:val="single" w:color="CBD5E1"/>
              <w:right w:sz="3" w:val="single" w:color="CBD5E1"/>
            </w:tcBorders>
          </w:tcPr>
          <w:p>
            <w:pPr>
              <w:spacing w:after="20"/>
            </w:pPr>
            <w:r>
              <w:rPr>
                <w:sz w:val="16"/>
              </w:rPr>
              <w:t>Single-pass evaluation is the default whenever token budget allows.</w:t>
            </w:r>
          </w:p>
        </w:tc>
      </w:tr>
      <w:tr>
        <w:trPr>
          <w:cantSplit/>
        </w:trPr>
        <w:tc>
          <w:tcPr>
            <w:tcW w:type="dxa" w:w="1296"/>
            <w:vAlign w:val="top"/>
            <w:tcBorders>
              <w:top w:sz="3" w:val="single" w:color="CBD5E1"/>
              <w:left w:sz="3" w:val="single" w:color="CBD5E1"/>
              <w:bottom w:sz="3" w:val="single" w:color="CBD5E1"/>
              <w:right w:sz="3" w:val="single" w:color="CBD5E1"/>
            </w:tcBorders>
          </w:tcPr>
          <w:p>
            <w:pPr>
              <w:spacing w:after="20"/>
            </w:pPr>
            <w:r>
              <w:rPr>
                <w:sz w:val="16"/>
              </w:rPr>
              <w:t>TRD-P-06</w:t>
            </w:r>
          </w:p>
        </w:tc>
        <w:tc>
          <w:tcPr>
            <w:tcW w:type="dxa" w:w="2448"/>
            <w:vAlign w:val="top"/>
            <w:tcBorders>
              <w:top w:sz="3" w:val="single" w:color="CBD5E1"/>
              <w:left w:sz="3" w:val="single" w:color="CBD5E1"/>
              <w:bottom w:sz="3" w:val="single" w:color="CBD5E1"/>
              <w:right w:sz="3" w:val="single" w:color="CBD5E1"/>
            </w:tcBorders>
          </w:tcPr>
          <w:p>
            <w:pPr>
              <w:spacing w:after="20"/>
            </w:pPr>
            <w:r>
              <w:rPr>
                <w:sz w:val="16"/>
              </w:rPr>
              <w:t>Same contract on fallback</w:t>
            </w:r>
          </w:p>
        </w:tc>
        <w:tc>
          <w:tcPr>
            <w:tcW w:type="dxa" w:w="6048"/>
            <w:vAlign w:val="top"/>
            <w:tcBorders>
              <w:top w:sz="3" w:val="single" w:color="CBD5E1"/>
              <w:left w:sz="3" w:val="single" w:color="CBD5E1"/>
              <w:bottom w:sz="3" w:val="single" w:color="CBD5E1"/>
              <w:right w:sz="3" w:val="single" w:color="CBD5E1"/>
            </w:tcBorders>
          </w:tcPr>
          <w:p>
            <w:pPr>
              <w:spacing w:after="20"/>
            </w:pPr>
            <w:r>
              <w:rPr>
                <w:sz w:val="16"/>
              </w:rPr>
              <w:t>Chunked processing must emit the same canonical signal schema as single-pass processing.</w:t>
            </w:r>
          </w:p>
        </w:tc>
      </w:tr>
      <w:tr>
        <w:trPr>
          <w:cantSplit/>
        </w:trPr>
        <w:tc>
          <w:tcPr>
            <w:tcW w:type="dxa" w:w="1296"/>
            <w:vAlign w:val="top"/>
            <w:tcBorders>
              <w:top w:sz="3" w:val="single" w:color="CBD5E1"/>
              <w:left w:sz="3" w:val="single" w:color="CBD5E1"/>
              <w:bottom w:sz="3" w:val="single" w:color="CBD5E1"/>
              <w:right w:sz="3" w:val="single" w:color="CBD5E1"/>
            </w:tcBorders>
          </w:tcPr>
          <w:p>
            <w:pPr>
              <w:spacing w:after="20"/>
            </w:pPr>
            <w:r>
              <w:rPr>
                <w:sz w:val="16"/>
              </w:rPr>
              <w:t>TRD-P-07</w:t>
            </w:r>
          </w:p>
        </w:tc>
        <w:tc>
          <w:tcPr>
            <w:tcW w:type="dxa" w:w="2448"/>
            <w:vAlign w:val="top"/>
            <w:tcBorders>
              <w:top w:sz="3" w:val="single" w:color="CBD5E1"/>
              <w:left w:sz="3" w:val="single" w:color="CBD5E1"/>
              <w:bottom w:sz="3" w:val="single" w:color="CBD5E1"/>
              <w:right w:sz="3" w:val="single" w:color="CBD5E1"/>
            </w:tcBorders>
          </w:tcPr>
          <w:p>
            <w:pPr>
              <w:spacing w:after="20"/>
            </w:pPr>
            <w:r>
              <w:rPr>
                <w:sz w:val="16"/>
              </w:rPr>
              <w:t>Idempotent commit</w:t>
            </w:r>
          </w:p>
        </w:tc>
        <w:tc>
          <w:tcPr>
            <w:tcW w:type="dxa" w:w="6048"/>
            <w:vAlign w:val="top"/>
            <w:tcBorders>
              <w:top w:sz="3" w:val="single" w:color="CBD5E1"/>
              <w:left w:sz="3" w:val="single" w:color="CBD5E1"/>
              <w:bottom w:sz="3" w:val="single" w:color="CBD5E1"/>
              <w:right w:sz="3" w:val="single" w:color="CBD5E1"/>
            </w:tcBorders>
          </w:tcPr>
          <w:p>
            <w:pPr>
              <w:spacing w:after="20"/>
            </w:pPr>
            <w:r>
              <w:rPr>
                <w:sz w:val="16"/>
              </w:rPr>
              <w:t>Classification persistence must support idempotency keys.</w:t>
            </w:r>
          </w:p>
        </w:tc>
      </w:tr>
      <w:tr>
        <w:trPr>
          <w:cantSplit/>
        </w:trPr>
        <w:tc>
          <w:tcPr>
            <w:tcW w:type="dxa" w:w="1296"/>
            <w:vAlign w:val="top"/>
            <w:tcBorders>
              <w:top w:sz="3" w:val="single" w:color="CBD5E1"/>
              <w:left w:sz="3" w:val="single" w:color="CBD5E1"/>
              <w:bottom w:sz="3" w:val="single" w:color="CBD5E1"/>
              <w:right w:sz="3" w:val="single" w:color="CBD5E1"/>
            </w:tcBorders>
          </w:tcPr>
          <w:p>
            <w:pPr>
              <w:spacing w:after="20"/>
            </w:pPr>
            <w:r>
              <w:rPr>
                <w:sz w:val="16"/>
              </w:rPr>
              <w:t>TRD-P-08</w:t>
            </w:r>
          </w:p>
        </w:tc>
        <w:tc>
          <w:tcPr>
            <w:tcW w:type="dxa" w:w="2448"/>
            <w:vAlign w:val="top"/>
            <w:tcBorders>
              <w:top w:sz="3" w:val="single" w:color="CBD5E1"/>
              <w:left w:sz="3" w:val="single" w:color="CBD5E1"/>
              <w:bottom w:sz="3" w:val="single" w:color="CBD5E1"/>
              <w:right w:sz="3" w:val="single" w:color="CBD5E1"/>
            </w:tcBorders>
          </w:tcPr>
          <w:p>
            <w:pPr>
              <w:spacing w:after="20"/>
            </w:pPr>
            <w:r>
              <w:rPr>
                <w:sz w:val="16"/>
              </w:rPr>
              <w:t>Immutable provenance</w:t>
            </w:r>
          </w:p>
        </w:tc>
        <w:tc>
          <w:tcPr>
            <w:tcW w:type="dxa" w:w="6048"/>
            <w:vAlign w:val="top"/>
            <w:tcBorders>
              <w:top w:sz="3" w:val="single" w:color="CBD5E1"/>
              <w:left w:sz="3" w:val="single" w:color="CBD5E1"/>
              <w:bottom w:sz="3" w:val="single" w:color="CBD5E1"/>
              <w:right w:sz="3" w:val="single" w:color="CBD5E1"/>
            </w:tcBorders>
          </w:tcPr>
          <w:p>
            <w:pPr>
              <w:spacing w:after="20"/>
            </w:pPr>
            <w:r>
              <w:rPr>
                <w:sz w:val="16"/>
              </w:rPr>
              <w:t>Results store config version, schema version, model ID, and processing path.</w:t>
            </w:r>
          </w:p>
        </w:tc>
      </w:tr>
    </w:tbl>
    <w:p>
      <w:pPr>
        <w:spacing w:after="20"/>
      </w:pPr>
    </w:p>
    <w:p>
      <w:pPr>
        <w:pStyle w:val="Heading1"/>
      </w:pPr>
      <w:r>
        <w:t>3. External Interfaces</w:t>
      </w:r>
    </w:p>
    <w:p>
      <w:pPr>
        <w:pStyle w:val="Heading2"/>
      </w:pPr>
      <w:r>
        <w:t>3.1 Classification request</w:t>
      </w:r>
    </w:p>
    <w:p>
      <w:pPr>
        <w:pStyle w:val="CodeBlock"/>
        <w:shd w:fill="F8FAFC"/>
        <w:pBdr>
          <w:bottom w:val="single" w:sz="4" w:space="1" w:color="CBD5E1"/>
        </w:pBdr>
      </w:pPr>
      <w:r>
        <w:t>{</w:t>
        <w:br/>
        <w:t xml:space="preserve">  "tenant_id": "sample_tenant",</w:t>
        <w:br/>
        <w:t xml:space="preserve">  "use_case_id": "sample_use_case",</w:t>
        <w:br/>
        <w:t xml:space="preserve">  "call_id": "call_123",</w:t>
        <w:br/>
        <w:t xml:space="preserve">  "transcript": [</w:t>
        <w:br/>
        <w:t xml:space="preserve">    {"speaker": "AGENT", "text": "...", "ts_ms": 0},</w:t>
        <w:br/>
        <w:t xml:space="preserve">    {"speaker": "CUSTOMER", "text": "...", "ts_ms": 2400}</w:t>
        <w:br/>
        <w:t xml:space="preserve">  ],</w:t>
        <w:br/>
        <w:t xml:space="preserve">  "metadata": {"telephony_status": "CONNECTED"},</w:t>
        <w:br/>
        <w:t xml:space="preserve">  "system_facts": {},</w:t>
        <w:br/>
        <w:t xml:space="preserve">  "idempotency_key": "call_123:attempt_1"</w:t>
        <w:br/>
        <w:t>}</w:t>
      </w:r>
    </w:p>
    <w:p>
      <w:pPr>
        <w:pStyle w:val="Heading2"/>
      </w:pPr>
      <w:r>
        <w:t>3.2 Classification response</w:t>
      </w:r>
    </w:p>
    <w:p>
      <w:pPr>
        <w:pStyle w:val="CodeBlock"/>
        <w:shd w:fill="F8FAFC"/>
        <w:pBdr>
          <w:bottom w:val="single" w:sz="4" w:space="1" w:color="CBD5E1"/>
        </w:pBdr>
      </w:pPr>
      <w:r>
        <w:t>{</w:t>
        <w:br/>
        <w:t xml:space="preserve">  "call_id": "call_123",</w:t>
        <w:br/>
        <w:t xml:space="preserve">  "disposition_code": "CONFIGURED_CODE",</w:t>
        <w:br/>
        <w:t xml:space="preserve">  "disposition_name": "Configured Display Name",</w:t>
        <w:br/>
        <w:t xml:space="preserve">  "parent_code": "OPTIONAL_PARENT",</w:t>
        <w:br/>
        <w:t xml:space="preserve">  "confidence": 0.91,</w:t>
        <w:br/>
        <w:t xml:space="preserve">  "requires_review": false,</w:t>
        <w:br/>
        <w:t xml:space="preserve">  "matched_rule_id": "RULE_ID",</w:t>
        <w:br/>
        <w:t xml:space="preserve">  "config_version": 7,</w:t>
        <w:br/>
        <w:t xml:space="preserve">  "model": "provider-model-id",</w:t>
        <w:br/>
        <w:t xml:space="preserve">  "processing_path": "SINGLE_PASS",</w:t>
        <w:br/>
        <w:t xml:space="preserve">  "usage": {"input_tokens": 8421, "output_tokens": 72}</w:t>
        <w:br/>
        <w:t>}</w:t>
      </w:r>
    </w:p>
    <w:p>
      <w:pPr>
        <w:pStyle w:val="Heading1"/>
      </w:pPr>
      <w:r>
        <w:t>4. Configuration Compilation</w:t>
      </w:r>
    </w:p>
    <w:p>
      <w:r>
        <w:t>The runtime must never interpret arbitrary raw configuration on the hot path. Configuration is validated and compiled when published or activated.</w:t>
      </w:r>
    </w:p>
    <w:p>
      <w:pPr>
        <w:pStyle w:val="ListNumber"/>
        <w:spacing w:after="40"/>
      </w:pPr>
      <w:r>
        <w:t>Validate JSON syntax and the published JSON Schema.</w:t>
      </w:r>
    </w:p>
    <w:p>
      <w:pPr>
        <w:pStyle w:val="ListNumber"/>
        <w:spacing w:after="40"/>
      </w:pPr>
      <w:r>
        <w:t>Validate unique taxonomy codes and valid parent references.</w:t>
      </w:r>
    </w:p>
    <w:p>
      <w:pPr>
        <w:pStyle w:val="ListNumber"/>
        <w:spacing w:after="40"/>
      </w:pPr>
      <w:r>
        <w:t>Validate that hierarchy is acyclic and declared levels are consistent.</w:t>
      </w:r>
    </w:p>
    <w:p>
      <w:pPr>
        <w:pStyle w:val="ListNumber"/>
        <w:spacing w:after="40"/>
      </w:pPr>
      <w:r>
        <w:t>Validate every resolver signal reference against configured questions.</w:t>
      </w:r>
    </w:p>
    <w:p>
      <w:pPr>
        <w:pStyle w:val="ListNumber"/>
        <w:spacing w:after="40"/>
      </w:pPr>
      <w:r>
        <w:t>Validate every emitted code against the taxonomy.</w:t>
      </w:r>
    </w:p>
    <w:p>
      <w:pPr>
        <w:pStyle w:val="ListNumber"/>
        <w:spacing w:after="40"/>
      </w:pPr>
      <w:r>
        <w:t>Validate front-gate paths/operators and emitted codes.</w:t>
      </w:r>
    </w:p>
    <w:p>
      <w:pPr>
        <w:pStyle w:val="ListNumber"/>
        <w:spacing w:after="40"/>
      </w:pPr>
      <w:r>
        <w:t>Validate runtime token budgets: soft limit &lt; hard limit &lt; context window after configured reserves.</w:t>
      </w:r>
    </w:p>
    <w:p>
      <w:pPr>
        <w:pStyle w:val="ListNumber"/>
        <w:spacing w:after="40"/>
      </w:pPr>
      <w:r>
        <w:t>Detect duplicate rule IDs/priorities, unreachable rules, and always-true rules where feasible.</w:t>
      </w:r>
    </w:p>
    <w:p>
      <w:pPr>
        <w:pStyle w:val="ListNumber"/>
        <w:spacing w:after="40"/>
      </w:pPr>
      <w:r>
        <w:t>Normalize questions into provider adapter payloads.</w:t>
      </w:r>
    </w:p>
    <w:p>
      <w:pPr>
        <w:pStyle w:val="ListNumber"/>
        <w:spacing w:after="40"/>
      </w:pPr>
      <w:r>
        <w:t>Precompute taxonomy maps, priority-sorted rules, thresholds, and output aliases.</w:t>
      </w:r>
    </w:p>
    <w:p>
      <w:pPr>
        <w:pStyle w:val="ListNumber"/>
        <w:spacing w:after="40"/>
      </w:pPr>
      <w:r>
        <w:t>Create a content hash and immutable compiled-plan version.</w:t>
      </w:r>
    </w:p>
    <w:p>
      <w:pPr>
        <w:pStyle w:val="Heading2"/>
      </w:pPr>
      <w:r>
        <w:t>4.1 Compiled-plan cache</w:t>
      </w:r>
    </w:p>
    <w:p>
      <w:pPr>
        <w:pStyle w:val="ListBullet"/>
        <w:spacing w:after="40"/>
      </w:pPr>
      <w:r>
        <w:t>Key: `(tenant_id, use_case_id, config_version)`.</w:t>
      </w:r>
    </w:p>
    <w:p>
      <w:pPr>
        <w:pStyle w:val="ListBullet"/>
        <w:spacing w:after="40"/>
      </w:pPr>
      <w:r>
        <w:t>In-memory LRU in each runtime instance plus shared backing registry.</w:t>
      </w:r>
    </w:p>
    <w:p>
      <w:pPr>
        <w:pStyle w:val="ListBullet"/>
        <w:spacing w:after="40"/>
      </w:pPr>
      <w:r>
        <w:t>Active-version pointer cached briefly and invalidated by control-plane event.</w:t>
      </w:r>
    </w:p>
    <w:p>
      <w:pPr>
        <w:pStyle w:val="ListBullet"/>
        <w:spacing w:after="40"/>
      </w:pPr>
      <w:r>
        <w:t>Rollback only changes the pointer; historical compiled plans remain addressable.</w:t>
      </w:r>
    </w:p>
    <w:p>
      <w:pPr>
        <w:pStyle w:val="Heading1"/>
      </w:pPr>
      <w:r>
        <w:t>5. Inference Requirements</w:t>
      </w:r>
    </w:p>
    <w:p>
      <w:r>
        <w:t>The current model interface supports a `state` plus a `questions` object. Questions may be Noul (probabilistic yes/no), Choice (predefined alternatives with probabilities/confidence), or Score (ordered scale with score/probabilities/confidence). The adapter shall expose these primitives in a provider-neutral internal structure.</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440"/>
            <w:shd w:fill="EEF2FF"/>
          </w:tcPr>
          <w:p>
            <w:r>
              <w:rPr>
                <w:b/>
                <w:color w:val="1E293B"/>
                <w:sz w:val="16"/>
              </w:rPr>
              <w:t>Primitive</w:t>
            </w:r>
          </w:p>
        </w:tc>
        <w:tc>
          <w:tcPr>
            <w:tcW w:type="dxa" w:w="4608"/>
            <w:shd w:fill="EEF2FF"/>
          </w:tcPr>
          <w:p>
            <w:r>
              <w:rPr>
                <w:b/>
                <w:color w:val="1E293B"/>
                <w:sz w:val="16"/>
              </w:rPr>
              <w:t>Internal canonical result</w:t>
            </w:r>
          </w:p>
        </w:tc>
        <w:tc>
          <w:tcPr>
            <w:tcW w:type="dxa" w:w="3600"/>
            <w:shd w:fill="EEF2FF"/>
          </w:tcPr>
          <w:p>
            <w:r>
              <w:rPr>
                <w:b/>
                <w:color w:val="1E293B"/>
                <w:sz w:val="16"/>
              </w:rPr>
              <w:t>Resolver operators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6"/>
              </w:rPr>
              <w:t>Noul</w:t>
            </w:r>
          </w:p>
        </w:tc>
        <w:tc>
          <w:tcPr>
            <w:tcW w:type="dxa" w:w="4608"/>
            <w:vAlign w:val="top"/>
            <w:tcBorders>
              <w:top w:sz="3" w:val="single" w:color="CBD5E1"/>
              <w:left w:sz="3" w:val="single" w:color="CBD5E1"/>
              <w:bottom w:sz="3" w:val="single" w:color="CBD5E1"/>
              <w:right w:sz="3" w:val="single" w:color="CBD5E1"/>
            </w:tcBorders>
          </w:tcPr>
          <w:p>
            <w:pPr>
              <w:spacing w:after="20"/>
            </w:pPr>
            <w:r>
              <w:rPr>
                <w:sz w:val="16"/>
              </w:rPr>
              <w:t>`{type, probability}`</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NOUL_GTE, NOUL_LTE, EXISTS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6"/>
              </w:rPr>
              <w:t>Choice</w:t>
            </w:r>
          </w:p>
        </w:tc>
        <w:tc>
          <w:tcPr>
            <w:tcW w:type="dxa" w:w="4608"/>
            <w:vAlign w:val="top"/>
            <w:tcBorders>
              <w:top w:sz="3" w:val="single" w:color="CBD5E1"/>
              <w:left w:sz="3" w:val="single" w:color="CBD5E1"/>
              <w:bottom w:sz="3" w:val="single" w:color="CBD5E1"/>
              <w:right w:sz="3" w:val="single" w:color="CBD5E1"/>
            </w:tcBorders>
          </w:tcPr>
          <w:p>
            <w:pPr>
              <w:spacing w:after="20"/>
            </w:pPr>
            <w:r>
              <w:rPr>
                <w:sz w:val="16"/>
              </w:rPr>
              <w:t>`{type, choice, confidence, probabilities}`</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CHOICE_EQ, CHOICE_IN, CHOICE_CONFIDENCE_GTE, EXISTS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6"/>
              </w:rPr>
              <w:t>Score</w:t>
            </w:r>
          </w:p>
        </w:tc>
        <w:tc>
          <w:tcPr>
            <w:tcW w:type="dxa" w:w="4608"/>
            <w:vAlign w:val="top"/>
            <w:tcBorders>
              <w:top w:sz="3" w:val="single" w:color="CBD5E1"/>
              <w:left w:sz="3" w:val="single" w:color="CBD5E1"/>
              <w:bottom w:sz="3" w:val="single" w:color="CBD5E1"/>
              <w:right w:sz="3" w:val="single" w:color="CBD5E1"/>
            </w:tcBorders>
          </w:tcPr>
          <w:p>
            <w:pPr>
              <w:spacing w:after="20"/>
            </w:pPr>
            <w:r>
              <w:rPr>
                <w:sz w:val="16"/>
              </w:rPr>
              <w:t>`{type, score, confidence, probabilities, legend}`</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SCORE_GTE, SCORE_LTE, EXISTS</w:t>
            </w:r>
          </w:p>
        </w:tc>
      </w:tr>
    </w:tbl>
    <w:p>
      <w:pPr>
        <w:spacing w:after="20"/>
      </w:pPr>
    </w:p>
    <w:p>
      <w:pPr>
        <w:pStyle w:val="ListBullet"/>
        <w:spacing w:after="40"/>
      </w:pPr>
      <w:r>
        <w:t>The state should contain normalized transcript plus only context required by configured questions.</w:t>
      </w:r>
    </w:p>
    <w:p>
      <w:pPr>
        <w:pStyle w:val="ListBullet"/>
        <w:spacing w:after="40"/>
      </w:pPr>
      <w:r>
        <w:t>The adapter must preserve the provider model identifier and usage metrics.</w:t>
      </w:r>
    </w:p>
    <w:p>
      <w:pPr>
        <w:pStyle w:val="ListBullet"/>
        <w:spacing w:after="40"/>
      </w:pPr>
      <w:r>
        <w:t>Timeouts and retry policy are platform configuration, not use-case-specific business semantics.</w:t>
      </w:r>
    </w:p>
    <w:p>
      <w:pPr>
        <w:pStyle w:val="ListBullet"/>
        <w:spacing w:after="40"/>
      </w:pPr>
      <w:r>
        <w:t>Model names should be discovered or pinned during deployment; do not embed a transient model version in tenant business logic.</w:t>
      </w:r>
    </w:p>
    <w:p>
      <w:pPr>
        <w:pStyle w:val="Heading1"/>
      </w:pPr>
      <w:r>
        <w:t>6. Transcript Routing and Long-Input Handling</w:t>
      </w:r>
    </w:p>
    <w:p>
      <w:pPr>
        <w:jc w:val="center"/>
      </w:pPr>
      <w:r>
        <w:drawing>
          <wp:inline xmlns:a="http://schemas.openxmlformats.org/drawingml/2006/main" xmlns:pic="http://schemas.openxmlformats.org/drawingml/2006/picture">
            <wp:extent cx="5760720" cy="692923"/>
            <wp:docPr id="1" name="Picture 1"/>
            <wp:cNvGraphicFramePr>
              <a:graphicFrameLocks noChangeAspect="1"/>
            </wp:cNvGraphicFramePr>
            <a:graphic>
              <a:graphicData uri="http://schemas.openxmlformats.org/drawingml/2006/picture">
                <pic:pic>
                  <pic:nvPicPr>
                    <pic:cNvPr id="0" name="request_flow.png"/>
                    <pic:cNvPicPr/>
                  </pic:nvPicPr>
                  <pic:blipFill>
                    <a:blip r:embed="rId9"/>
                    <a:stretch>
                      <a:fillRect/>
                    </a:stretch>
                  </pic:blipFill>
                  <pic:spPr>
                    <a:xfrm>
                      <a:off x="0" y="0"/>
                      <a:ext cx="5760720" cy="692923"/>
                    </a:xfrm>
                    <a:prstGeom prst="rect"/>
                  </pic:spPr>
                </pic:pic>
              </a:graphicData>
            </a:graphic>
          </wp:inline>
        </w:drawing>
      </w:r>
    </w:p>
    <w:p>
      <w:pPr>
        <w:pStyle w:val="SmallNote"/>
        <w:jc w:val="center"/>
      </w:pPr>
      <w:r>
        <w:rPr>
          <w:i/>
        </w:rPr>
        <w:t>Figure 1. Request execution flow.</w:t>
      </w:r>
    </w:p>
    <w:p>
      <w:pPr>
        <w:pStyle w:val="Heading2"/>
      </w:pPr>
      <w:r>
        <w:t>6.1 Token budget</w:t>
      </w:r>
    </w:p>
    <w:p>
      <w:r>
        <w:t>The provider integration currently documents a 32,000-token context window. The platform shall reserve configurable headroom for question definitions, structural serialization, and response overhead. The router shall use the configured soft/hard limits rather than blindly filling the provider maximum.</w:t>
      </w:r>
    </w:p>
    <w:p>
      <w:pPr>
        <w:pStyle w:val="CodeBlock"/>
        <w:shd w:fill="F8FAFC"/>
        <w:pBdr>
          <w:bottom w:val="single" w:sz="4" w:space="1" w:color="CBD5E1"/>
        </w:pBdr>
      </w:pPr>
      <w:r>
        <w:t>effective_input_budget = min(</w:t>
        <w:br/>
        <w:t xml:space="preserve">    single_pass_hard_limit_tokens,</w:t>
        <w:br/>
        <w:t xml:space="preserve">    context_window_tokens</w:t>
        <w:br/>
        <w:t xml:space="preserve">      - reserved_question_tokens</w:t>
        <w:br/>
        <w:t xml:space="preserve">      - reserved_response_tokens</w:t>
        <w:br/>
        <w:t xml:space="preserve">      - platform_safety_margin_tokens</w:t>
        <w:br/>
        <w:t>)</w:t>
      </w:r>
    </w:p>
    <w:p>
      <w:pPr>
        <w:pStyle w:val="Heading2"/>
      </w:pPr>
      <w:r>
        <w:t>6.2 Single-pass path</w:t>
      </w:r>
    </w:p>
    <w:p>
      <w:pPr>
        <w:pStyle w:val="ListBullet"/>
        <w:spacing w:after="40"/>
      </w:pPr>
      <w:r>
        <w:t>Preferred for all requests within budget.</w:t>
      </w:r>
    </w:p>
    <w:p>
      <w:pPr>
        <w:pStyle w:val="ListBullet"/>
        <w:spacing w:after="40"/>
      </w:pPr>
      <w:r>
        <w:t>All configured questions sent together in one request.</w:t>
      </w:r>
    </w:p>
    <w:p>
      <w:pPr>
        <w:pStyle w:val="ListBullet"/>
        <w:spacing w:after="40"/>
      </w:pPr>
      <w:r>
        <w:t>No summarization step before classification.</w:t>
      </w:r>
    </w:p>
    <w:p>
      <w:pPr>
        <w:pStyle w:val="ListBullet"/>
        <w:spacing w:after="40"/>
      </w:pPr>
      <w:r>
        <w:t>Reduces latency, preserves cross-call context, and minimizes aggregation ambiguity.</w:t>
      </w:r>
    </w:p>
    <w:p>
      <w:pPr>
        <w:pStyle w:val="Heading2"/>
      </w:pPr>
      <w:r>
        <w:t>6.3 Oversized path</w:t>
      </w:r>
    </w:p>
    <w:p>
      <w:pPr>
        <w:pStyle w:val="ListBullet"/>
        <w:spacing w:after="40"/>
      </w:pPr>
      <w:r>
        <w:t>Segment transcript at speaker-turn boundaries; never split a customer turn unless a single turn itself exceeds the hard chunk cap.</w:t>
      </w:r>
    </w:p>
    <w:p>
      <w:pPr>
        <w:pStyle w:val="ListBullet"/>
        <w:spacing w:after="40"/>
      </w:pPr>
      <w:r>
        <w:t>Use configurable overlap in turns, not characters, so evidence spanning a transition is preserved.</w:t>
      </w:r>
    </w:p>
    <w:p>
      <w:pPr>
        <w:pStyle w:val="ListBullet"/>
        <w:spacing w:after="40"/>
      </w:pPr>
      <w:r>
        <w:t>Evaluate chunks in parallel up to the configured concurrency limit.</w:t>
      </w:r>
    </w:p>
    <w:p>
      <w:pPr>
        <w:pStyle w:val="ListBullet"/>
        <w:spacing w:after="40"/>
      </w:pPr>
      <w:r>
        <w:t>Aggregate each signal using primitive-specific strategies.</w:t>
      </w:r>
    </w:p>
    <w:p>
      <w:pPr>
        <w:pStyle w:val="ListBullet"/>
        <w:spacing w:after="40"/>
      </w:pPr>
      <w:r>
        <w:t>Detect material contradictions and optionally run a confirmation evaluation over only the conflicting windows.</w:t>
      </w:r>
    </w:p>
    <w:p>
      <w:pPr>
        <w:pStyle w:val="ListBullet"/>
        <w:spacing w:after="40"/>
      </w:pPr>
      <w:r>
        <w:t>Feed one canonical signal map into the same deterministic resolver used by the single-pass path.</w:t>
      </w:r>
    </w:p>
    <w:p>
      <w:pPr>
        <w:jc w:val="center"/>
      </w:pPr>
      <w:r>
        <w:drawing>
          <wp:inline xmlns:a="http://schemas.openxmlformats.org/drawingml/2006/main" xmlns:pic="http://schemas.openxmlformats.org/drawingml/2006/picture">
            <wp:extent cx="5760720" cy="414281"/>
            <wp:docPr id="2" name="Picture 2"/>
            <wp:cNvGraphicFramePr>
              <a:graphicFrameLocks noChangeAspect="1"/>
            </wp:cNvGraphicFramePr>
            <a:graphic>
              <a:graphicData uri="http://schemas.openxmlformats.org/drawingml/2006/picture">
                <pic:pic>
                  <pic:nvPicPr>
                    <pic:cNvPr id="0" name="long_transcript.png"/>
                    <pic:cNvPicPr/>
                  </pic:nvPicPr>
                  <pic:blipFill>
                    <a:blip r:embed="rId10"/>
                    <a:stretch>
                      <a:fillRect/>
                    </a:stretch>
                  </pic:blipFill>
                  <pic:spPr>
                    <a:xfrm>
                      <a:off x="0" y="0"/>
                      <a:ext cx="5760720" cy="414281"/>
                    </a:xfrm>
                    <a:prstGeom prst="rect"/>
                  </pic:spPr>
                </pic:pic>
              </a:graphicData>
            </a:graphic>
          </wp:inline>
        </w:drawing>
      </w:r>
    </w:p>
    <w:p>
      <w:pPr>
        <w:pStyle w:val="SmallNote"/>
        <w:jc w:val="center"/>
      </w:pPr>
      <w:r>
        <w:rPr>
          <w:i/>
        </w:rPr>
        <w:t>Figure 2. Oversized transcript processing.</w:t>
      </w:r>
    </w:p>
    <w:p>
      <w:pPr>
        <w:pStyle w:val="Heading1"/>
      </w:pPr>
      <w:r>
        <w:t>7. Resolver DSL</w:t>
      </w:r>
    </w:p>
    <w:p>
      <w:r>
        <w:t>The resolver is a deterministic, sandbox-free DSL expressed in JSON. `FIRST_MATCH_WINS` rules are ordered by numeric priority. Conditions form an `all` / `any` / `not` tree over fixed predicates.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592"/>
            <w:shd w:fill="EEF2FF"/>
          </w:tcPr>
          <w:p>
            <w:r>
              <w:rPr>
                <w:b/>
                <w:color w:val="1E293B"/>
                <w:sz w:val="16"/>
              </w:rPr>
              <w:t>Operator</w:t>
            </w:r>
          </w:p>
        </w:tc>
        <w:tc>
          <w:tcPr>
            <w:tcW w:type="dxa" w:w="1440"/>
            <w:shd w:fill="EEF2FF"/>
          </w:tcPr>
          <w:p>
            <w:r>
              <w:rPr>
                <w:b/>
                <w:color w:val="1E293B"/>
                <w:sz w:val="16"/>
              </w:rPr>
              <w:t>Applies to</w:t>
            </w:r>
          </w:p>
        </w:tc>
        <w:tc>
          <w:tcPr>
            <w:tcW w:type="dxa" w:w="5760"/>
            <w:shd w:fill="EEF2FF"/>
          </w:tcPr>
          <w:p>
            <w:r>
              <w:rPr>
                <w:b/>
                <w:color w:val="1E293B"/>
                <w:sz w:val="16"/>
              </w:rPr>
              <w:t>Meaning</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NOUL_GTE / NOUL_LTE</w:t>
            </w:r>
          </w:p>
        </w:tc>
        <w:tc>
          <w:tcPr>
            <w:tcW w:type="dxa" w:w="1440"/>
            <w:vAlign w:val="top"/>
            <w:tcBorders>
              <w:top w:sz="3" w:val="single" w:color="CBD5E1"/>
              <w:left w:sz="3" w:val="single" w:color="CBD5E1"/>
              <w:bottom w:sz="3" w:val="single" w:color="CBD5E1"/>
              <w:right w:sz="3" w:val="single" w:color="CBD5E1"/>
            </w:tcBorders>
          </w:tcPr>
          <w:p>
            <w:pPr>
              <w:spacing w:after="20"/>
            </w:pPr>
            <w:r>
              <w:rPr>
                <w:sz w:val="16"/>
              </w:rPr>
              <w:t>Noul</w:t>
            </w:r>
          </w:p>
        </w:tc>
        <w:tc>
          <w:tcPr>
            <w:tcW w:type="dxa" w:w="5760"/>
            <w:vAlign w:val="top"/>
            <w:tcBorders>
              <w:top w:sz="3" w:val="single" w:color="CBD5E1"/>
              <w:left w:sz="3" w:val="single" w:color="CBD5E1"/>
              <w:bottom w:sz="3" w:val="single" w:color="CBD5E1"/>
              <w:right w:sz="3" w:val="single" w:color="CBD5E1"/>
            </w:tcBorders>
          </w:tcPr>
          <w:p>
            <w:pPr>
              <w:spacing w:after="20"/>
            </w:pPr>
            <w:r>
              <w:rPr>
                <w:sz w:val="16"/>
              </w:rPr>
              <w:t>Compare yes-probability to threshold.</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CHOICE_EQ</w:t>
            </w:r>
          </w:p>
        </w:tc>
        <w:tc>
          <w:tcPr>
            <w:tcW w:type="dxa" w:w="1440"/>
            <w:vAlign w:val="top"/>
            <w:tcBorders>
              <w:top w:sz="3" w:val="single" w:color="CBD5E1"/>
              <w:left w:sz="3" w:val="single" w:color="CBD5E1"/>
              <w:bottom w:sz="3" w:val="single" w:color="CBD5E1"/>
              <w:right w:sz="3" w:val="single" w:color="CBD5E1"/>
            </w:tcBorders>
          </w:tcPr>
          <w:p>
            <w:pPr>
              <w:spacing w:after="20"/>
            </w:pPr>
            <w:r>
              <w:rPr>
                <w:sz w:val="16"/>
              </w:rPr>
              <w:t>Choice</w:t>
            </w:r>
          </w:p>
        </w:tc>
        <w:tc>
          <w:tcPr>
            <w:tcW w:type="dxa" w:w="5760"/>
            <w:vAlign w:val="top"/>
            <w:tcBorders>
              <w:top w:sz="3" w:val="single" w:color="CBD5E1"/>
              <w:left w:sz="3" w:val="single" w:color="CBD5E1"/>
              <w:bottom w:sz="3" w:val="single" w:color="CBD5E1"/>
              <w:right w:sz="3" w:val="single" w:color="CBD5E1"/>
            </w:tcBorders>
          </w:tcPr>
          <w:p>
            <w:pPr>
              <w:spacing w:after="20"/>
            </w:pPr>
            <w:r>
              <w:rPr>
                <w:sz w:val="16"/>
              </w:rPr>
              <w:t>Selected choice equals configured value.</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CHOICE_IN</w:t>
            </w:r>
          </w:p>
        </w:tc>
        <w:tc>
          <w:tcPr>
            <w:tcW w:type="dxa" w:w="1440"/>
            <w:vAlign w:val="top"/>
            <w:tcBorders>
              <w:top w:sz="3" w:val="single" w:color="CBD5E1"/>
              <w:left w:sz="3" w:val="single" w:color="CBD5E1"/>
              <w:bottom w:sz="3" w:val="single" w:color="CBD5E1"/>
              <w:right w:sz="3" w:val="single" w:color="CBD5E1"/>
            </w:tcBorders>
          </w:tcPr>
          <w:p>
            <w:pPr>
              <w:spacing w:after="20"/>
            </w:pPr>
            <w:r>
              <w:rPr>
                <w:sz w:val="16"/>
              </w:rPr>
              <w:t>Choice</w:t>
            </w:r>
          </w:p>
        </w:tc>
        <w:tc>
          <w:tcPr>
            <w:tcW w:type="dxa" w:w="5760"/>
            <w:vAlign w:val="top"/>
            <w:tcBorders>
              <w:top w:sz="3" w:val="single" w:color="CBD5E1"/>
              <w:left w:sz="3" w:val="single" w:color="CBD5E1"/>
              <w:bottom w:sz="3" w:val="single" w:color="CBD5E1"/>
              <w:right w:sz="3" w:val="single" w:color="CBD5E1"/>
            </w:tcBorders>
          </w:tcPr>
          <w:p>
            <w:pPr>
              <w:spacing w:after="20"/>
            </w:pPr>
            <w:r>
              <w:rPr>
                <w:sz w:val="16"/>
              </w:rPr>
              <w:t>Selected choice belongs to configured list.</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CHOICE_CONFIDENCE_GTE</w:t>
            </w:r>
          </w:p>
        </w:tc>
        <w:tc>
          <w:tcPr>
            <w:tcW w:type="dxa" w:w="1440"/>
            <w:vAlign w:val="top"/>
            <w:tcBorders>
              <w:top w:sz="3" w:val="single" w:color="CBD5E1"/>
              <w:left w:sz="3" w:val="single" w:color="CBD5E1"/>
              <w:bottom w:sz="3" w:val="single" w:color="CBD5E1"/>
              <w:right w:sz="3" w:val="single" w:color="CBD5E1"/>
            </w:tcBorders>
          </w:tcPr>
          <w:p>
            <w:pPr>
              <w:spacing w:after="20"/>
            </w:pPr>
            <w:r>
              <w:rPr>
                <w:sz w:val="16"/>
              </w:rPr>
              <w:t>Choice</w:t>
            </w:r>
          </w:p>
        </w:tc>
        <w:tc>
          <w:tcPr>
            <w:tcW w:type="dxa" w:w="5760"/>
            <w:vAlign w:val="top"/>
            <w:tcBorders>
              <w:top w:sz="3" w:val="single" w:color="CBD5E1"/>
              <w:left w:sz="3" w:val="single" w:color="CBD5E1"/>
              <w:bottom w:sz="3" w:val="single" w:color="CBD5E1"/>
              <w:right w:sz="3" w:val="single" w:color="CBD5E1"/>
            </w:tcBorders>
          </w:tcPr>
          <w:p>
            <w:pPr>
              <w:spacing w:after="20"/>
            </w:pPr>
            <w:r>
              <w:rPr>
                <w:sz w:val="16"/>
              </w:rPr>
              <w:t>Choice confidence meets threshold.</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SCORE_GTE / SCORE_LTE</w:t>
            </w:r>
          </w:p>
        </w:tc>
        <w:tc>
          <w:tcPr>
            <w:tcW w:type="dxa" w:w="1440"/>
            <w:vAlign w:val="top"/>
            <w:tcBorders>
              <w:top w:sz="3" w:val="single" w:color="CBD5E1"/>
              <w:left w:sz="3" w:val="single" w:color="CBD5E1"/>
              <w:bottom w:sz="3" w:val="single" w:color="CBD5E1"/>
              <w:right w:sz="3" w:val="single" w:color="CBD5E1"/>
            </w:tcBorders>
          </w:tcPr>
          <w:p>
            <w:pPr>
              <w:spacing w:after="20"/>
            </w:pPr>
            <w:r>
              <w:rPr>
                <w:sz w:val="16"/>
              </w:rPr>
              <w:t>Score</w:t>
            </w:r>
          </w:p>
        </w:tc>
        <w:tc>
          <w:tcPr>
            <w:tcW w:type="dxa" w:w="5760"/>
            <w:vAlign w:val="top"/>
            <w:tcBorders>
              <w:top w:sz="3" w:val="single" w:color="CBD5E1"/>
              <w:left w:sz="3" w:val="single" w:color="CBD5E1"/>
              <w:bottom w:sz="3" w:val="single" w:color="CBD5E1"/>
              <w:right w:sz="3" w:val="single" w:color="CBD5E1"/>
            </w:tcBorders>
          </w:tcPr>
          <w:p>
            <w:pPr>
              <w:spacing w:after="20"/>
            </w:pPr>
            <w:r>
              <w:rPr>
                <w:sz w:val="16"/>
              </w:rPr>
              <w:t>Compare numeric score.</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EXISTS</w:t>
            </w:r>
          </w:p>
        </w:tc>
        <w:tc>
          <w:tcPr>
            <w:tcW w:type="dxa" w:w="1440"/>
            <w:vAlign w:val="top"/>
            <w:tcBorders>
              <w:top w:sz="3" w:val="single" w:color="CBD5E1"/>
              <w:left w:sz="3" w:val="single" w:color="CBD5E1"/>
              <w:bottom w:sz="3" w:val="single" w:color="CBD5E1"/>
              <w:right w:sz="3" w:val="single" w:color="CBD5E1"/>
            </w:tcBorders>
          </w:tcPr>
          <w:p>
            <w:pPr>
              <w:spacing w:after="20"/>
            </w:pPr>
            <w:r>
              <w:rPr>
                <w:sz w:val="16"/>
              </w:rPr>
              <w:t>Any</w:t>
            </w:r>
          </w:p>
        </w:tc>
        <w:tc>
          <w:tcPr>
            <w:tcW w:type="dxa" w:w="5760"/>
            <w:vAlign w:val="top"/>
            <w:tcBorders>
              <w:top w:sz="3" w:val="single" w:color="CBD5E1"/>
              <w:left w:sz="3" w:val="single" w:color="CBD5E1"/>
              <w:bottom w:sz="3" w:val="single" w:color="CBD5E1"/>
              <w:right w:sz="3" w:val="single" w:color="CBD5E1"/>
            </w:tcBorders>
          </w:tcPr>
          <w:p>
            <w:pPr>
              <w:spacing w:after="20"/>
            </w:pPr>
            <w:r>
              <w:rPr>
                <w:sz w:val="16"/>
              </w:rPr>
              <w:t>Signal is present and valid.</w:t>
            </w:r>
          </w:p>
        </w:tc>
      </w:tr>
    </w:tbl>
    <w:p>
      <w:pPr>
        <w:spacing w:after="20"/>
      </w:pPr>
    </w:p>
    <w:p>
      <w:pPr>
        <w:pStyle w:val="CodeBlock"/>
        <w:shd w:fill="F8FAFC"/>
        <w:pBdr>
          <w:bottom w:val="single" w:sz="4" w:space="1" w:color="CBD5E1"/>
        </w:pBdr>
      </w:pPr>
      <w:r>
        <w:t>{</w:t>
        <w:br/>
        <w:t xml:space="preserve">  "id": "RULE_COMMITMENT",</w:t>
        <w:br/>
        <w:t xml:space="preserve">  "priority": 100,</w:t>
        <w:br/>
        <w:t xml:space="preserve">  "when": {</w:t>
        <w:br/>
        <w:t xml:space="preserve">    "all": [</w:t>
        <w:br/>
        <w:t xml:space="preserve">      {"signal": "positive_commitment", "operator": "NOUL_GTE", "value": 0.70},</w:t>
        <w:br/>
        <w:t xml:space="preserve">      {"signal": "commitment_state", "operator": "CHOICE_EQ", "value": "COMPLETED"}</w:t>
        <w:br/>
        <w:t xml:space="preserve">    ]</w:t>
        <w:br/>
        <w:t xml:space="preserve">  },</w:t>
        <w:br/>
        <w:t xml:space="preserve">  "emit": "COMMITTED"</w:t>
        <w:br/>
        <w:t>}</w:t>
      </w:r>
    </w:p>
    <w:tbl>
      <w:tblPr>
        <w:tblW w:type="auto" w:w="0"/>
        <w:jc w:val="center"/>
        <w:tblLook w:firstColumn="1" w:firstRow="1" w:lastColumn="0" w:lastRow="0" w:noHBand="0" w:noVBand="1" w:val="04A0"/>
      </w:tblPr>
      <w:tblGrid>
        <w:gridCol w:w="8640"/>
      </w:tblGrid>
      <w:tr>
        <w:tc>
          <w:tcPr>
            <w:tcW w:type="dxa" w:w="8640"/>
            <w:shd w:fill="EEF2FF"/>
            <w:tcBorders>
              <w:top w:sz="0" w:val="nil" w:color="EEF2FF"/>
              <w:left w:sz="18" w:val="single" w:color="2457C5"/>
              <w:bottom w:sz="0" w:val="nil" w:color="EEF2FF"/>
              <w:right w:sz="0" w:val="nil" w:color="EEF2FF"/>
            </w:tcBorders>
          </w:tcPr>
          <w:p>
            <w:r>
              <w:rPr>
                <w:b/>
                <w:color w:val="2457C5"/>
              </w:rPr>
              <w:t xml:space="preserve">Important  </w:t>
            </w:r>
            <w:r>
              <w:t>Rule priority is business policy. Model confidence does not implicitly override priority; confidence only determines whether a predicate is satisfied or whether the final result may auto-commit.</w:t>
            </w:r>
          </w:p>
        </w:tc>
      </w:tr>
    </w:tbl>
    <w:p>
      <w:pPr>
        <w:spacing w:after="20"/>
      </w:pPr>
    </w:p>
    <w:p>
      <w:pPr>
        <w:pStyle w:val="Heading1"/>
      </w:pPr>
      <w:r>
        <w:t>8. Data Model</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160"/>
            <w:shd w:fill="EEF2FF"/>
          </w:tcPr>
          <w:p>
            <w:r>
              <w:rPr>
                <w:b/>
                <w:color w:val="1E293B"/>
                <w:sz w:val="16"/>
              </w:rPr>
              <w:t>Entity</w:t>
            </w:r>
          </w:p>
        </w:tc>
        <w:tc>
          <w:tcPr>
            <w:tcW w:type="dxa" w:w="4752"/>
            <w:shd w:fill="EEF2FF"/>
          </w:tcPr>
          <w:p>
            <w:r>
              <w:rPr>
                <w:b/>
                <w:color w:val="1E293B"/>
                <w:sz w:val="16"/>
              </w:rPr>
              <w:t>Key fields</w:t>
            </w:r>
          </w:p>
        </w:tc>
        <w:tc>
          <w:tcPr>
            <w:tcW w:type="dxa" w:w="2880"/>
            <w:shd w:fill="EEF2FF"/>
          </w:tcPr>
          <w:p>
            <w:r>
              <w:rPr>
                <w:b/>
                <w:color w:val="1E293B"/>
                <w:sz w:val="16"/>
              </w:rPr>
              <w:t>Persistence</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ConfigVersion</w:t>
            </w:r>
          </w:p>
        </w:tc>
        <w:tc>
          <w:tcPr>
            <w:tcW w:type="dxa" w:w="4752"/>
            <w:vAlign w:val="top"/>
            <w:tcBorders>
              <w:top w:sz="3" w:val="single" w:color="CBD5E1"/>
              <w:left w:sz="3" w:val="single" w:color="CBD5E1"/>
              <w:bottom w:sz="3" w:val="single" w:color="CBD5E1"/>
              <w:right w:sz="3" w:val="single" w:color="CBD5E1"/>
            </w:tcBorders>
          </w:tcPr>
          <w:p>
            <w:pPr>
              <w:spacing w:after="20"/>
            </w:pPr>
            <w:r>
              <w:rPr>
                <w:sz w:val="16"/>
              </w:rPr>
              <w:t>config_id, version, status, content_hash, raw_json, compiled_blob</w:t>
            </w:r>
          </w:p>
        </w:tc>
        <w:tc>
          <w:tcPr>
            <w:tcW w:type="dxa" w:w="2880"/>
            <w:vAlign w:val="top"/>
            <w:tcBorders>
              <w:top w:sz="3" w:val="single" w:color="CBD5E1"/>
              <w:left w:sz="3" w:val="single" w:color="CBD5E1"/>
              <w:bottom w:sz="3" w:val="single" w:color="CBD5E1"/>
              <w:right w:sz="3" w:val="single" w:color="CBD5E1"/>
            </w:tcBorders>
          </w:tcPr>
          <w:p>
            <w:pPr>
              <w:spacing w:after="20"/>
            </w:pPr>
            <w:r>
              <w:rPr>
                <w:sz w:val="16"/>
              </w:rPr>
              <w:t>Durable</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ActiveConfigPointer</w:t>
            </w:r>
          </w:p>
        </w:tc>
        <w:tc>
          <w:tcPr>
            <w:tcW w:type="dxa" w:w="4752"/>
            <w:vAlign w:val="top"/>
            <w:tcBorders>
              <w:top w:sz="3" w:val="single" w:color="CBD5E1"/>
              <w:left w:sz="3" w:val="single" w:color="CBD5E1"/>
              <w:bottom w:sz="3" w:val="single" w:color="CBD5E1"/>
              <w:right w:sz="3" w:val="single" w:color="CBD5E1"/>
            </w:tcBorders>
          </w:tcPr>
          <w:p>
            <w:pPr>
              <w:spacing w:after="20"/>
            </w:pPr>
            <w:r>
              <w:rPr>
                <w:sz w:val="16"/>
              </w:rPr>
              <w:t>tenant_id, use_case_id, active_version</w:t>
            </w:r>
          </w:p>
        </w:tc>
        <w:tc>
          <w:tcPr>
            <w:tcW w:type="dxa" w:w="2880"/>
            <w:vAlign w:val="top"/>
            <w:tcBorders>
              <w:top w:sz="3" w:val="single" w:color="CBD5E1"/>
              <w:left w:sz="3" w:val="single" w:color="CBD5E1"/>
              <w:bottom w:sz="3" w:val="single" w:color="CBD5E1"/>
              <w:right w:sz="3" w:val="single" w:color="CBD5E1"/>
            </w:tcBorders>
          </w:tcPr>
          <w:p>
            <w:pPr>
              <w:spacing w:after="20"/>
            </w:pPr>
            <w:r>
              <w:rPr>
                <w:sz w:val="16"/>
              </w:rPr>
              <w:t>Durable + cached</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ClassificationRequest</w:t>
            </w:r>
          </w:p>
        </w:tc>
        <w:tc>
          <w:tcPr>
            <w:tcW w:type="dxa" w:w="4752"/>
            <w:vAlign w:val="top"/>
            <w:tcBorders>
              <w:top w:sz="3" w:val="single" w:color="CBD5E1"/>
              <w:left w:sz="3" w:val="single" w:color="CBD5E1"/>
              <w:bottom w:sz="3" w:val="single" w:color="CBD5E1"/>
              <w:right w:sz="3" w:val="single" w:color="CBD5E1"/>
            </w:tcBorders>
          </w:tcPr>
          <w:p>
            <w:pPr>
              <w:spacing w:after="20"/>
            </w:pPr>
            <w:r>
              <w:rPr>
                <w:sz w:val="16"/>
              </w:rPr>
              <w:t>request_id, call_id, idempotency_key, tenant/use_case</w:t>
            </w:r>
          </w:p>
        </w:tc>
        <w:tc>
          <w:tcPr>
            <w:tcW w:type="dxa" w:w="2880"/>
            <w:vAlign w:val="top"/>
            <w:tcBorders>
              <w:top w:sz="3" w:val="single" w:color="CBD5E1"/>
              <w:left w:sz="3" w:val="single" w:color="CBD5E1"/>
              <w:bottom w:sz="3" w:val="single" w:color="CBD5E1"/>
              <w:right w:sz="3" w:val="single" w:color="CBD5E1"/>
            </w:tcBorders>
          </w:tcPr>
          <w:p>
            <w:pPr>
              <w:spacing w:after="20"/>
            </w:pPr>
            <w:r>
              <w:rPr>
                <w:sz w:val="16"/>
              </w:rPr>
              <w:t>Optional durable / event log</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ClassificationResult</w:t>
            </w:r>
          </w:p>
        </w:tc>
        <w:tc>
          <w:tcPr>
            <w:tcW w:type="dxa" w:w="4752"/>
            <w:vAlign w:val="top"/>
            <w:tcBorders>
              <w:top w:sz="3" w:val="single" w:color="CBD5E1"/>
              <w:left w:sz="3" w:val="single" w:color="CBD5E1"/>
              <w:bottom w:sz="3" w:val="single" w:color="CBD5E1"/>
              <w:right w:sz="3" w:val="single" w:color="CBD5E1"/>
            </w:tcBorders>
          </w:tcPr>
          <w:p>
            <w:pPr>
              <w:spacing w:after="20"/>
            </w:pPr>
            <w:r>
              <w:rPr>
                <w:sz w:val="16"/>
              </w:rPr>
              <w:t>final code, confidence, rule, config/model/path, usage</w:t>
            </w:r>
          </w:p>
        </w:tc>
        <w:tc>
          <w:tcPr>
            <w:tcW w:type="dxa" w:w="2880"/>
            <w:vAlign w:val="top"/>
            <w:tcBorders>
              <w:top w:sz="3" w:val="single" w:color="CBD5E1"/>
              <w:left w:sz="3" w:val="single" w:color="CBD5E1"/>
              <w:bottom w:sz="3" w:val="single" w:color="CBD5E1"/>
              <w:right w:sz="3" w:val="single" w:color="CBD5E1"/>
            </w:tcBorders>
          </w:tcPr>
          <w:p>
            <w:pPr>
              <w:spacing w:after="20"/>
            </w:pPr>
            <w:r>
              <w:rPr>
                <w:sz w:val="16"/>
              </w:rPr>
              <w:t>Durable</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SignalSnapshot</w:t>
            </w:r>
          </w:p>
        </w:tc>
        <w:tc>
          <w:tcPr>
            <w:tcW w:type="dxa" w:w="4752"/>
            <w:vAlign w:val="top"/>
            <w:tcBorders>
              <w:top w:sz="3" w:val="single" w:color="CBD5E1"/>
              <w:left w:sz="3" w:val="single" w:color="CBD5E1"/>
              <w:bottom w:sz="3" w:val="single" w:color="CBD5E1"/>
              <w:right w:sz="3" w:val="single" w:color="CBD5E1"/>
            </w:tcBorders>
          </w:tcPr>
          <w:p>
            <w:pPr>
              <w:spacing w:after="20"/>
            </w:pPr>
            <w:r>
              <w:rPr>
                <w:sz w:val="16"/>
              </w:rPr>
              <w:t>question_id, primitive, value/probabilities/confidence</w:t>
            </w:r>
          </w:p>
        </w:tc>
        <w:tc>
          <w:tcPr>
            <w:tcW w:type="dxa" w:w="2880"/>
            <w:vAlign w:val="top"/>
            <w:tcBorders>
              <w:top w:sz="3" w:val="single" w:color="CBD5E1"/>
              <w:left w:sz="3" w:val="single" w:color="CBD5E1"/>
              <w:bottom w:sz="3" w:val="single" w:color="CBD5E1"/>
              <w:right w:sz="3" w:val="single" w:color="CBD5E1"/>
            </w:tcBorders>
          </w:tcPr>
          <w:p>
            <w:pPr>
              <w:spacing w:after="20"/>
            </w:pPr>
            <w:r>
              <w:rPr>
                <w:sz w:val="16"/>
              </w:rPr>
              <w:t>Configurable retention</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ReplayRun</w:t>
            </w:r>
          </w:p>
        </w:tc>
        <w:tc>
          <w:tcPr>
            <w:tcW w:type="dxa" w:w="4752"/>
            <w:vAlign w:val="top"/>
            <w:tcBorders>
              <w:top w:sz="3" w:val="single" w:color="CBD5E1"/>
              <w:left w:sz="3" w:val="single" w:color="CBD5E1"/>
              <w:bottom w:sz="3" w:val="single" w:color="CBD5E1"/>
              <w:right w:sz="3" w:val="single" w:color="CBD5E1"/>
            </w:tcBorders>
          </w:tcPr>
          <w:p>
            <w:pPr>
              <w:spacing w:after="20"/>
            </w:pPr>
            <w:r>
              <w:rPr>
                <w:sz w:val="16"/>
              </w:rPr>
              <w:t>config version, fixture set, metrics, mismatches</w:t>
            </w:r>
          </w:p>
        </w:tc>
        <w:tc>
          <w:tcPr>
            <w:tcW w:type="dxa" w:w="2880"/>
            <w:vAlign w:val="top"/>
            <w:tcBorders>
              <w:top w:sz="3" w:val="single" w:color="CBD5E1"/>
              <w:left w:sz="3" w:val="single" w:color="CBD5E1"/>
              <w:bottom w:sz="3" w:val="single" w:color="CBD5E1"/>
              <w:right w:sz="3" w:val="single" w:color="CBD5E1"/>
            </w:tcBorders>
          </w:tcPr>
          <w:p>
            <w:pPr>
              <w:spacing w:after="20"/>
            </w:pPr>
            <w:r>
              <w:rPr>
                <w:sz w:val="16"/>
              </w:rPr>
              <w:t>Durable QA store</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AuditEvent</w:t>
            </w:r>
          </w:p>
        </w:tc>
        <w:tc>
          <w:tcPr>
            <w:tcW w:type="dxa" w:w="4752"/>
            <w:vAlign w:val="top"/>
            <w:tcBorders>
              <w:top w:sz="3" w:val="single" w:color="CBD5E1"/>
              <w:left w:sz="3" w:val="single" w:color="CBD5E1"/>
              <w:bottom w:sz="3" w:val="single" w:color="CBD5E1"/>
              <w:right w:sz="3" w:val="single" w:color="CBD5E1"/>
            </w:tcBorders>
          </w:tcPr>
          <w:p>
            <w:pPr>
              <w:spacing w:after="20"/>
            </w:pPr>
            <w:r>
              <w:rPr>
                <w:sz w:val="16"/>
              </w:rPr>
              <w:t>actor, action, version, timestamp, diff metadata</w:t>
            </w:r>
          </w:p>
        </w:tc>
        <w:tc>
          <w:tcPr>
            <w:tcW w:type="dxa" w:w="2880"/>
            <w:vAlign w:val="top"/>
            <w:tcBorders>
              <w:top w:sz="3" w:val="single" w:color="CBD5E1"/>
              <w:left w:sz="3" w:val="single" w:color="CBD5E1"/>
              <w:bottom w:sz="3" w:val="single" w:color="CBD5E1"/>
              <w:right w:sz="3" w:val="single" w:color="CBD5E1"/>
            </w:tcBorders>
          </w:tcPr>
          <w:p>
            <w:pPr>
              <w:spacing w:after="20"/>
            </w:pPr>
            <w:r>
              <w:rPr>
                <w:sz w:val="16"/>
              </w:rPr>
              <w:t>Durable append-only</w:t>
            </w:r>
          </w:p>
        </w:tc>
      </w:tr>
    </w:tbl>
    <w:p>
      <w:pPr>
        <w:spacing w:after="20"/>
      </w:pPr>
    </w:p>
    <w:p>
      <w:pPr>
        <w:pStyle w:val="Heading1"/>
      </w:pPr>
      <w:r>
        <w:t>9. Service APIs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152"/>
            <w:shd w:fill="EEF2FF"/>
          </w:tcPr>
          <w:p>
            <w:r>
              <w:rPr>
                <w:b/>
                <w:color w:val="1E293B"/>
                <w:sz w:val="16"/>
              </w:rPr>
              <w:t>Method</w:t>
            </w:r>
          </w:p>
        </w:tc>
        <w:tc>
          <w:tcPr>
            <w:tcW w:type="dxa" w:w="3744"/>
            <w:shd w:fill="EEF2FF"/>
          </w:tcPr>
          <w:p>
            <w:r>
              <w:rPr>
                <w:b/>
                <w:color w:val="1E293B"/>
                <w:sz w:val="16"/>
              </w:rPr>
              <w:t>Path</w:t>
            </w:r>
          </w:p>
        </w:tc>
        <w:tc>
          <w:tcPr>
            <w:tcW w:type="dxa" w:w="5184"/>
            <w:shd w:fill="EEF2FF"/>
          </w:tcPr>
          <w:p>
            <w:r>
              <w:rPr>
                <w:b/>
                <w:color w:val="1E293B"/>
                <w:sz w:val="16"/>
              </w:rPr>
              <w:t>Purpose</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POST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/v1/classifications</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Classify one event using active or explicitly requested config version.</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POST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/v1/configs/validate</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Schema + semantic validation without saving.</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POST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/v1/configs</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Create a new draft version.</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POST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/v1/configs/{id}/{version}/stage</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Compile and stage an immutable version.</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POST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/v1/configs/{id}/{version}/activate</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Atomically set active version after policy checks.</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POST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/v1/configs/{id}/{version}/replay</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Run a labeled fixture set and return metrics.</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GET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/v1/configs/{id}/versions</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List versions and statuses.</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GET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/v1/classifications/{request_id}</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Retrieve trace/result if persisted.</w:t>
            </w:r>
          </w:p>
        </w:tc>
      </w:tr>
      <w:tr>
        <w:trPr>
          <w:cantSplit/>
        </w:trPr>
        <w:tc>
          <w:tcPr>
            <w:tcW w:type="dxa" w:w="1152"/>
            <w:vAlign w:val="top"/>
            <w:tcBorders>
              <w:top w:sz="3" w:val="single" w:color="CBD5E1"/>
              <w:left w:sz="3" w:val="single" w:color="CBD5E1"/>
              <w:bottom w:sz="3" w:val="single" w:color="CBD5E1"/>
              <w:right w:sz="3" w:val="single" w:color="CBD5E1"/>
            </w:tcBorders>
          </w:tcPr>
          <w:p>
            <w:pPr>
              <w:spacing w:after="20"/>
            </w:pPr>
            <w:r>
              <w:rPr>
                <w:sz w:val="16"/>
              </w:rPr>
              <w:t>POST</w:t>
            </w:r>
          </w:p>
        </w:tc>
        <w:tc>
          <w:tcPr>
            <w:tcW w:type="dxa" w:w="3744"/>
            <w:vAlign w:val="top"/>
            <w:tcBorders>
              <w:top w:sz="3" w:val="single" w:color="CBD5E1"/>
              <w:left w:sz="3" w:val="single" w:color="CBD5E1"/>
              <w:bottom w:sz="3" w:val="single" w:color="CBD5E1"/>
              <w:right w:sz="3" w:val="single" w:color="CBD5E1"/>
            </w:tcBorders>
          </w:tcPr>
          <w:p>
            <w:pPr>
              <w:spacing w:after="20"/>
            </w:pPr>
            <w:r>
              <w:rPr>
                <w:sz w:val="16"/>
              </w:rPr>
              <w:t>/v1/configs/{id}/rollback</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Restore a previous approved version by pointer update.</w:t>
            </w:r>
          </w:p>
        </w:tc>
      </w:tr>
    </w:tbl>
    <w:p>
      <w:pPr>
        <w:spacing w:after="20"/>
      </w:pPr>
    </w:p>
    <w:p>
      <w:pPr>
        <w:pStyle w:val="Heading1"/>
      </w:pPr>
      <w:r>
        <w:t>10. Reliability and Failure Handling</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592"/>
            <w:shd w:fill="EEF2FF"/>
          </w:tcPr>
          <w:p>
            <w:r>
              <w:rPr>
                <w:b/>
                <w:color w:val="1E293B"/>
                <w:sz w:val="16"/>
              </w:rPr>
              <w:t>Failure</w:t>
            </w:r>
          </w:p>
        </w:tc>
        <w:tc>
          <w:tcPr>
            <w:tcW w:type="dxa" w:w="7200"/>
            <w:shd w:fill="EEF2FF"/>
          </w:tcPr>
          <w:p>
            <w:r>
              <w:rPr>
                <w:b/>
                <w:color w:val="1E293B"/>
                <w:sz w:val="16"/>
              </w:rPr>
              <w:t>Required behavior</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Invalid request</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Return 4xx with field-level validation errors; do not invoke model.</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Unknown config</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Return explicit config resolution error; never fall back to another tenant.</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Provider timeout</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Retry only per adapter policy with bounded exponential backoff and request deadline.</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Provider 4xx/schema error</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Do not blindly retry; surface provider/config error and telemetry.</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Provider unavailable after retries</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Return configured review/failure behavior; preserve idempotency state.</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Chunk partial failure</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Retry failed chunks; if unresolved, apply configured incomplete-input policy.</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Aggregation conflict</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Run optional confirmation path or require review.</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Resolver no match</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Emit `default_emit` and mark trace as default path.</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Persistence failure after inference</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Use outbox/transactional pattern or mark response uncommitted; avoid silent success.</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Duplicate request</w:t>
            </w:r>
          </w:p>
        </w:tc>
        <w:tc>
          <w:tcPr>
            <w:tcW w:type="dxa" w:w="7200"/>
            <w:vAlign w:val="top"/>
            <w:tcBorders>
              <w:top w:sz="3" w:val="single" w:color="CBD5E1"/>
              <w:left w:sz="3" w:val="single" w:color="CBD5E1"/>
              <w:bottom w:sz="3" w:val="single" w:color="CBD5E1"/>
              <w:right w:sz="3" w:val="single" w:color="CBD5E1"/>
            </w:tcBorders>
          </w:tcPr>
          <w:p>
            <w:pPr>
              <w:spacing w:after="20"/>
            </w:pPr>
            <w:r>
              <w:rPr>
                <w:sz w:val="16"/>
              </w:rPr>
              <w:t>Return prior committed result when idempotency key/config version match.</w:t>
            </w:r>
          </w:p>
        </w:tc>
      </w:tr>
    </w:tbl>
    <w:p>
      <w:pPr>
        <w:spacing w:after="20"/>
      </w:pPr>
    </w:p>
    <w:p>
      <w:pPr>
        <w:pStyle w:val="Heading1"/>
      </w:pPr>
      <w:r>
        <w:t>11. Performance and Scale</w:t>
      </w:r>
    </w:p>
    <w:p>
      <w:pPr>
        <w:pStyle w:val="ListBullet"/>
        <w:spacing w:after="40"/>
      </w:pPr>
      <w:r>
        <w:t>Runtime instances are stateless and horizontally scalable.</w:t>
      </w:r>
    </w:p>
    <w:p>
      <w:pPr>
        <w:pStyle w:val="ListBullet"/>
        <w:spacing w:after="40"/>
      </w:pPr>
      <w:r>
        <w:t>Compiled configs are cached locally; raw configuration lookup must not be on every hot-path request.</w:t>
      </w:r>
    </w:p>
    <w:p>
      <w:pPr>
        <w:pStyle w:val="ListBullet"/>
        <w:spacing w:after="40"/>
      </w:pPr>
      <w:r>
        <w:t>Long-call chunks use bounded parallelism; tenant-level and global concurrency controls prevent fan-out storms.</w:t>
      </w:r>
    </w:p>
    <w:p>
      <w:pPr>
        <w:pStyle w:val="ListBullet"/>
        <w:spacing w:after="40"/>
      </w:pPr>
      <w:r>
        <w:t>Separate control-plane APIs from data-plane classification traffic.</w:t>
      </w:r>
    </w:p>
    <w:p>
      <w:pPr>
        <w:pStyle w:val="ListBullet"/>
        <w:spacing w:after="40"/>
      </w:pPr>
      <w:r>
        <w:t>Use asynchronous telemetry/event export so analytics sinks do not block classification responses.</w:t>
      </w:r>
    </w:p>
    <w:p>
      <w:pPr>
        <w:pStyle w:val="ListBullet"/>
        <w:spacing w:after="40"/>
      </w:pPr>
      <w:r>
        <w:t>Define platform hard caps for transcript bytes, turn count, chunk count, and total model input tokens per request.</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304"/>
            <w:shd w:fill="EEF2FF"/>
          </w:tcPr>
          <w:p>
            <w:r>
              <w:rPr>
                <w:b/>
                <w:color w:val="1E293B"/>
                <w:sz w:val="16"/>
              </w:rPr>
              <w:t>SLO area</w:t>
            </w:r>
          </w:p>
        </w:tc>
        <w:tc>
          <w:tcPr>
            <w:tcW w:type="dxa" w:w="7488"/>
            <w:shd w:fill="EEF2FF"/>
          </w:tcPr>
          <w:p>
            <w:r>
              <w:rPr>
                <w:b/>
                <w:color w:val="1E293B"/>
                <w:sz w:val="16"/>
              </w:rPr>
              <w:t>Suggested engineering objective</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Availability</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 99.9% monthly for classification API, excluding upstream transcript/provider outage where contract allows.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Normal-path latency</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Target p95 ≤ 2 seconds inside the classification service after request receipt; validate against real provider/network conditions.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Config activation</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Atomic pointer change and cache invalidation within 60 seconds.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Data integrity</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100% committed results include config/model/path provenance.</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Rollback</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Previous approved config restorable without application deployment.</w:t>
            </w:r>
          </w:p>
        </w:tc>
      </w:tr>
    </w:tbl>
    <w:p>
      <w:pPr>
        <w:spacing w:after="20"/>
      </w:pPr>
    </w:p>
    <w:p>
      <w:pPr>
        <w:pStyle w:val="Heading1"/>
      </w:pPr>
      <w:r>
        <w:t>12. Security and Privacy</w:t>
      </w:r>
    </w:p>
    <w:p>
      <w:pPr>
        <w:pStyle w:val="ListBullet"/>
        <w:spacing w:after="40"/>
      </w:pPr>
      <w:r>
        <w:t>TLS in transit and encryption at rest for durable stores.</w:t>
      </w:r>
    </w:p>
    <w:p>
      <w:pPr>
        <w:pStyle w:val="ListBullet"/>
        <w:spacing w:after="40"/>
      </w:pPr>
      <w:r>
        <w:t>Secrets stored in a secret manager; no provider keys in tenant JSON.</w:t>
      </w:r>
    </w:p>
    <w:p>
      <w:pPr>
        <w:pStyle w:val="ListBullet"/>
        <w:spacing w:after="40"/>
      </w:pPr>
      <w:r>
        <w:t>RBAC separating configuration author, approver, operator, and read-only auditor roles.</w:t>
      </w:r>
    </w:p>
    <w:p>
      <w:pPr>
        <w:pStyle w:val="ListBullet"/>
        <w:spacing w:after="40"/>
      </w:pPr>
      <w:r>
        <w:t>PII-minimized logs; transcript content excluded from standard application logs.</w:t>
      </w:r>
    </w:p>
    <w:p>
      <w:pPr>
        <w:pStyle w:val="ListBullet"/>
        <w:spacing w:after="40"/>
      </w:pPr>
      <w:r>
        <w:t>Configurable raw transcript persistence, with a default of not storing transcript in this service when downstream audit does not require it.</w:t>
      </w:r>
    </w:p>
    <w:p>
      <w:pPr>
        <w:pStyle w:val="ListBullet"/>
        <w:spacing w:after="40"/>
      </w:pPr>
      <w:r>
        <w:t>Append-only audit events for config creation, validation, staging, activation, retirement, and rollback.</w:t>
      </w:r>
    </w:p>
    <w:p>
      <w:pPr>
        <w:pStyle w:val="ListBullet"/>
        <w:spacing w:after="40"/>
      </w:pPr>
      <w:r>
        <w:t>Strict tenant isolation on every key and query; no implicit default tenant.</w:t>
      </w:r>
    </w:p>
    <w:p>
      <w:pPr>
        <w:pStyle w:val="ListBullet"/>
        <w:spacing w:after="40"/>
      </w:pPr>
      <w:r>
        <w:t>Rate limits and quotas at tenant/use-case and platform level.</w:t>
      </w:r>
    </w:p>
    <w:p>
      <w:pPr>
        <w:pStyle w:val="Heading1"/>
      </w:pPr>
      <w:r>
        <w:t>13. Observability</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304"/>
            <w:shd w:fill="EEF2FF"/>
          </w:tcPr>
          <w:p>
            <w:r>
              <w:rPr>
                <w:b/>
                <w:color w:val="1E293B"/>
                <w:sz w:val="16"/>
              </w:rPr>
              <w:t>Telemetry</w:t>
            </w:r>
          </w:p>
        </w:tc>
        <w:tc>
          <w:tcPr>
            <w:tcW w:type="dxa" w:w="7488"/>
            <w:shd w:fill="EEF2FF"/>
          </w:tcPr>
          <w:p>
            <w:r>
              <w:rPr>
                <w:b/>
                <w:color w:val="1E293B"/>
                <w:sz w:val="16"/>
              </w:rPr>
              <w:t>Examples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Request metrics</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QPS, latency, errors, token count, transcript turns, provider retries.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Routing metrics</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front-gate rate, single-pass rate, chunked rate, chunk count, confirmation rate.</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Model metrics</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per-signal distributions, confidence histograms, missing/invalid answers, usage.</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Resolver metrics</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matched rule frequency, default-rule rate, per-code frequency, review rate.</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Config metrics</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active version, validation failures, replay accuracy, shadow disagreement.</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Drift metrics</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changes in code distribution/confidence relative to approved baseline.</w:t>
            </w:r>
          </w:p>
        </w:tc>
      </w:tr>
    </w:tbl>
    <w:p>
      <w:pPr>
        <w:spacing w:after="20"/>
      </w:pPr>
    </w:p>
    <w:p>
      <w:pPr>
        <w:pStyle w:val="Heading1"/>
      </w:pPr>
      <w:r>
        <w:t>14. Testing and Validation</w:t>
      </w:r>
    </w:p>
    <w:p>
      <w:pPr>
        <w:pStyle w:val="ListBullet"/>
        <w:spacing w:after="40"/>
      </w:pPr>
      <w:r>
        <w:t>Unit tests: normalizer, token estimator, front gates, rule DSL, hierarchy, confidence policy, output mapper.</w:t>
      </w:r>
    </w:p>
    <w:p>
      <w:pPr>
        <w:pStyle w:val="ListBullet"/>
        <w:spacing w:after="40"/>
      </w:pPr>
      <w:r>
        <w:t>Contract tests: provider adapter request/response mapping for all primitive types.</w:t>
      </w:r>
    </w:p>
    <w:p>
      <w:pPr>
        <w:pStyle w:val="ListBullet"/>
        <w:spacing w:after="40"/>
      </w:pPr>
      <w:r>
        <w:t>Property tests: rule ordering determinism, acyclic taxonomy validation, idempotency.</w:t>
      </w:r>
    </w:p>
    <w:p>
      <w:pPr>
        <w:pStyle w:val="ListBullet"/>
        <w:spacing w:after="40"/>
      </w:pPr>
      <w:r>
        <w:t>Golden fixtures: labeled transcripts covering each disposition and boundary pair.</w:t>
      </w:r>
    </w:p>
    <w:p>
      <w:pPr>
        <w:pStyle w:val="ListBullet"/>
        <w:spacing w:after="40"/>
      </w:pPr>
      <w:r>
        <w:t>Long-input tests: identical outcome across single-pass and chunk path for transcripts that can be run both ways.</w:t>
      </w:r>
    </w:p>
    <w:p>
      <w:pPr>
        <w:pStyle w:val="ListBullet"/>
        <w:spacing w:after="40"/>
      </w:pPr>
      <w:r>
        <w:t>Mutation tests: remove or flip key evidence to confirm rules/questions discriminate as expected.</w:t>
      </w:r>
    </w:p>
    <w:p>
      <w:pPr>
        <w:pStyle w:val="ListBullet"/>
        <w:spacing w:after="40"/>
      </w:pPr>
      <w:r>
        <w:t>Load tests: normal QPS plus rare high-fan-out long-call bursts.</w:t>
      </w:r>
    </w:p>
    <w:p>
      <w:pPr>
        <w:pStyle w:val="ListBullet"/>
        <w:spacing w:after="40"/>
      </w:pPr>
      <w:r>
        <w:t>Failure-injection tests: provider timeout, partial chunk failure, cache miss, config rollback.</w:t>
      </w:r>
    </w:p>
    <w:p>
      <w:pPr>
        <w:pStyle w:val="Heading1"/>
      </w:pPr>
      <w:r>
        <w:t>15. Deployment and Operations</w:t>
      </w:r>
    </w:p>
    <w:p>
      <w:pPr>
        <w:pStyle w:val="ListBullet"/>
        <w:spacing w:after="40"/>
      </w:pPr>
      <w:r>
        <w:t>Deploy data plane separately from config control plane.</w:t>
      </w:r>
    </w:p>
    <w:p>
      <w:pPr>
        <w:pStyle w:val="ListBullet"/>
        <w:spacing w:after="40"/>
      </w:pPr>
      <w:r>
        <w:t>Use rolling/canary application deploys independent of config activation.</w:t>
      </w:r>
    </w:p>
    <w:p>
      <w:pPr>
        <w:pStyle w:val="ListBullet"/>
        <w:spacing w:after="40"/>
      </w:pPr>
      <w:r>
        <w:t>Use immutable config artifacts identified by content hash.</w:t>
      </w:r>
    </w:p>
    <w:p>
      <w:pPr>
        <w:pStyle w:val="ListBullet"/>
        <w:spacing w:after="40"/>
      </w:pPr>
      <w:r>
        <w:t>Pin a tested provider model for production where reproducibility is required; upgrade via replay and shadow validation.</w:t>
      </w:r>
    </w:p>
    <w:p>
      <w:pPr>
        <w:pStyle w:val="ListBullet"/>
        <w:spacing w:after="40"/>
      </w:pPr>
      <w:r>
        <w:t>Keep schema migrations backward-compatible for at least one prior schema major/minor during transition.</w:t>
      </w:r>
    </w:p>
    <w:p>
      <w:pPr>
        <w:pStyle w:val="ListBullet"/>
        <w:spacing w:after="40"/>
      </w:pPr>
      <w:r>
        <w:t>Use feature flags only for platform capabilities, not tenant business policy.</w:t>
      </w:r>
    </w:p>
    <w:p>
      <w:pPr>
        <w:pStyle w:val="Heading1"/>
      </w:pPr>
      <w:r>
        <w:t>16. Technical Acceptance Criteria</w:t>
      </w:r>
    </w:p>
    <w:p>
      <w:pPr>
        <w:pStyle w:val="ListBullet"/>
        <w:spacing w:after="40"/>
      </w:pPr>
      <w:r>
        <w:t>The provided `config.template.json` passes the provided JSON Schema.</w:t>
      </w:r>
    </w:p>
    <w:p>
      <w:pPr>
        <w:pStyle w:val="ListBullet"/>
        <w:spacing w:after="40"/>
      </w:pPr>
      <w:r>
        <w:t>A config referencing a nonexistent signal or taxonomy code fails semantic validation.</w:t>
      </w:r>
    </w:p>
    <w:p>
      <w:pPr>
        <w:pStyle w:val="ListBullet"/>
        <w:spacing w:after="40"/>
      </w:pPr>
      <w:r>
        <w:t>A normal transcript executes one provider request containing all configured questions.</w:t>
      </w:r>
    </w:p>
    <w:p>
      <w:pPr>
        <w:pStyle w:val="ListBullet"/>
        <w:spacing w:after="40"/>
      </w:pPr>
      <w:r>
        <w:t>An oversized transcript automatically executes chunk evaluation with bounded concurrency.</w:t>
      </w:r>
    </w:p>
    <w:p>
      <w:pPr>
        <w:pStyle w:val="ListBullet"/>
        <w:spacing w:after="40"/>
      </w:pPr>
      <w:r>
        <w:t>Both paths produce the same canonical signal and response shape.</w:t>
      </w:r>
    </w:p>
    <w:p>
      <w:pPr>
        <w:pStyle w:val="ListBullet"/>
        <w:spacing w:after="40"/>
      </w:pPr>
      <w:r>
        <w:t>Rule evaluation is deterministic across repeated runs given the same signals/config.</w:t>
      </w:r>
    </w:p>
    <w:p>
      <w:pPr>
        <w:pStyle w:val="ListBullet"/>
        <w:spacing w:after="40"/>
      </w:pPr>
      <w:r>
        <w:t>Activation and rollback do not require data-plane restart.</w:t>
      </w:r>
    </w:p>
    <w:p>
      <w:pPr>
        <w:pStyle w:val="ListBullet"/>
        <w:spacing w:after="40"/>
      </w:pPr>
      <w:r>
        <w:t>No tenant config contains provider credentials or executable code.</w:t>
      </w:r>
    </w:p>
    <w:p>
      <w:pPr>
        <w:pStyle w:val="Heading1"/>
      </w:pPr>
      <w:r>
        <w:t>References</w:t>
      </w:r>
    </w:p>
    <w:p>
      <w:r>
        <w:rPr>
          <w:i/>
        </w:rPr>
        <w:t>Technical facts about Jev/System One are based on the following public documentation available at the time this baseline was authored. Runtime model names and limits should be discovered or pinned during deployment rather than assumed permanently.</w:t>
      </w:r>
    </w:p>
    <w:p>
      <w:pPr>
        <w:pStyle w:val="ListBullet"/>
      </w:pPr>
      <w:hyperlink r:id="rId11">
        <w:r>
          <w:rPr>
            <w:color w:val="2457C5"/>
            <w:u w:val="single"/>
          </w:rPr>
          <w:t>TypeSafe AI - Introducing System One Models &amp; Jev (2026-09-15)</w:t>
        </w:r>
      </w:hyperlink>
    </w:p>
    <w:p>
      <w:pPr>
        <w:pStyle w:val="ListBullet"/>
      </w:pPr>
      <w:hyperlink r:id="rId12">
        <w:r>
          <w:rPr>
            <w:color w:val="2457C5"/>
            <w:u w:val="single"/>
          </w:rPr>
          <w:t>TypeSafe API - System One API documentation</w:t>
        </w:r>
      </w:hyperlink>
    </w:p>
    <w:p>
      <w:pPr>
        <w:pStyle w:val="ListBullet"/>
      </w:pPr>
      <w:hyperlink r:id="rId13">
        <w:r>
          <w:rPr>
            <w:color w:val="2457C5"/>
            <w:u w:val="single"/>
          </w:rPr>
          <w:t>Cloudflare AI - typesafe/jev model documentation</w:t>
        </w:r>
      </w:hyperlink>
    </w:p>
    <w:p>
      <w:pPr>
        <w:pStyle w:val="ListBullet"/>
      </w:pPr>
      <w:hyperlink r:id="rId14">
        <w:r>
          <w:rPr>
            <w:color w:val="2457C5"/>
            <w:u w:val="single"/>
          </w:rPr>
          <w:t>TypeSafe - Workflow evaluations and primitive descriptions</w:t>
        </w:r>
      </w:hyperlink>
    </w:p>
    <w:sectPr w:rsidR="00FC693F" w:rsidRPr="0006063C" w:rsidSect="00034616">
      <w:headerReference w:type="default" r:id="rId15"/>
      <w:footerReference w:type="default" r:id="rId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rPr>
              <w:color w:val="64748B"/>
              <w:sz w:val="14"/>
            </w:rPr>
            <w:t>Configurable Disposition Intelligence Platform</w:t>
          </w:r>
        </w:p>
      </w:tc>
      <w:tc>
        <w:tcPr>
          <w:tcW w:type="dxa" w:w="4968"/>
        </w:tcPr>
        <w:p>
          <w:pPr>
            <w:jc w:val="right"/>
          </w:pPr>
          <w:r>
            <w:rPr>
              <w:color w:val="64748B"/>
              <w:sz w:val="14"/>
            </w:rPr>
            <w:t>Confidential - Engineering Specification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5"/>
      </w:rPr>
      <w:t>TRD_CONFIGURABLE_DISPOSITION_PLATFORM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57C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DejaVu Sans Mono" w:hAnsi="DejaVu Sans Mono"/>
      <w:color w:val="1E293B"/>
      <w:sz w:val="15"/>
    </w:rPr>
  </w:style>
  <w:style w:type="paragraph" w:customStyle="1" w:styleId="SmallNote">
    <w:name w:val="Small Note"/>
    <w:pPr>
      <w:spacing w:after="80"/>
    </w:pPr>
    <w:rPr>
      <w:rFonts w:ascii="Aptos" w:hAnsi="Aptos"/>
      <w:color w:val="64748B"/>
      <w:sz w:val="16"/>
    </w:rPr>
  </w:style>
  <w:style w:type="paragraph" w:customStyle="1" w:styleId="Requirement">
    <w:name w:val="Requirement"/>
    <w:pPr>
      <w:spacing w:after="60"/>
      <w:ind w:left="216" w:hanging="216"/>
    </w:pPr>
    <w:rPr>
      <w:rFonts w:ascii="Aptos" w:hAnsi="Aptos"/>
      <w:color w:val="1E29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ypesafe.ai/blog/introducing-system-one-models-and-jev" TargetMode="External"/><Relationship Id="rId12" Type="http://schemas.openxmlformats.org/officeDocument/2006/relationships/hyperlink" Target="https://api.typesafe.ai/docs" TargetMode="External"/><Relationship Id="rId13" Type="http://schemas.openxmlformats.org/officeDocument/2006/relationships/hyperlink" Target="https://developers.cloudflare.com/ai/models/typesafe/jev/" TargetMode="External"/><Relationship Id="rId14" Type="http://schemas.openxmlformats.org/officeDocument/2006/relationships/hyperlink" Target="https://evals.typesafe.ai/" TargetMode="Externa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