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6E0A6" w14:textId="77777777" w:rsidR="000A02D3" w:rsidRPr="000A02D3" w:rsidRDefault="000A02D3" w:rsidP="000A02D3">
      <w:pPr>
        <w:spacing w:line="240" w:lineRule="auto"/>
        <w:jc w:val="both"/>
        <w:rPr>
          <w:rFonts w:cstheme="minorHAnsi"/>
          <w:b/>
          <w:bCs/>
          <w:sz w:val="24"/>
          <w:szCs w:val="24"/>
        </w:rPr>
      </w:pPr>
      <w:r w:rsidRPr="000A02D3">
        <w:rPr>
          <w:rFonts w:cstheme="minorHAnsi"/>
          <w:b/>
          <w:bCs/>
          <w:sz w:val="24"/>
          <w:szCs w:val="24"/>
        </w:rPr>
        <w:t xml:space="preserve">Evaluation of rotavirus vaccine shedding in nasal swabs from children concurrently shedding rotavirus vaccine in stool in the PREVAIL birth </w:t>
      </w:r>
      <w:proofErr w:type="gramStart"/>
      <w:r w:rsidRPr="000A02D3">
        <w:rPr>
          <w:rFonts w:cstheme="minorHAnsi"/>
          <w:b/>
          <w:bCs/>
          <w:sz w:val="24"/>
          <w:szCs w:val="24"/>
        </w:rPr>
        <w:t>cohort</w:t>
      </w:r>
      <w:proofErr w:type="gramEnd"/>
    </w:p>
    <w:p w14:paraId="7C853C9B" w14:textId="77777777" w:rsidR="000A02D3" w:rsidRPr="000A02D3" w:rsidRDefault="000A02D3" w:rsidP="000A02D3">
      <w:pPr>
        <w:spacing w:line="240" w:lineRule="auto"/>
        <w:jc w:val="both"/>
        <w:rPr>
          <w:rFonts w:cstheme="minorHAnsi"/>
          <w:sz w:val="24"/>
          <w:szCs w:val="24"/>
        </w:rPr>
      </w:pPr>
      <w:r w:rsidRPr="000A02D3">
        <w:rPr>
          <w:rFonts w:cstheme="minorHAnsi"/>
          <w:sz w:val="24"/>
          <w:szCs w:val="24"/>
          <w:u w:val="single"/>
        </w:rPr>
        <w:t>Slavica Mijatovic-Rustempasic</w:t>
      </w:r>
      <w:r w:rsidRPr="000A02D3">
        <w:rPr>
          <w:rFonts w:cstheme="minorHAnsi"/>
          <w:sz w:val="24"/>
          <w:szCs w:val="24"/>
          <w:u w:val="single"/>
          <w:vertAlign w:val="superscript"/>
        </w:rPr>
        <w:t>1</w:t>
      </w:r>
      <w:r w:rsidRPr="000A02D3">
        <w:rPr>
          <w:rFonts w:cstheme="minorHAnsi"/>
          <w:sz w:val="24"/>
          <w:szCs w:val="24"/>
        </w:rPr>
        <w:t>, Julia M. Baker</w:t>
      </w:r>
      <w:r w:rsidRPr="000A02D3">
        <w:rPr>
          <w:rFonts w:cstheme="minorHAnsi"/>
          <w:sz w:val="24"/>
          <w:szCs w:val="24"/>
          <w:vertAlign w:val="superscript"/>
        </w:rPr>
        <w:t>1</w:t>
      </w:r>
      <w:r w:rsidRPr="000A02D3">
        <w:rPr>
          <w:rFonts w:cstheme="minorHAnsi"/>
          <w:sz w:val="24"/>
          <w:szCs w:val="24"/>
        </w:rPr>
        <w:t>, Claire P. Mattison</w:t>
      </w:r>
      <w:r w:rsidRPr="000A02D3">
        <w:rPr>
          <w:rFonts w:cstheme="minorHAnsi"/>
          <w:sz w:val="24"/>
          <w:szCs w:val="24"/>
          <w:vertAlign w:val="superscript"/>
        </w:rPr>
        <w:t>1,2</w:t>
      </w:r>
      <w:r w:rsidRPr="000A02D3">
        <w:rPr>
          <w:rFonts w:cstheme="minorHAnsi"/>
          <w:sz w:val="24"/>
          <w:szCs w:val="24"/>
        </w:rPr>
        <w:t>, Mary C. Casey-Moore</w:t>
      </w:r>
      <w:r w:rsidRPr="000A02D3">
        <w:rPr>
          <w:rFonts w:cstheme="minorHAnsi"/>
          <w:sz w:val="24"/>
          <w:szCs w:val="24"/>
          <w:vertAlign w:val="superscript"/>
        </w:rPr>
        <w:t>1</w:t>
      </w:r>
      <w:r w:rsidRPr="000A02D3">
        <w:rPr>
          <w:rFonts w:cstheme="minorHAnsi"/>
          <w:sz w:val="24"/>
          <w:szCs w:val="24"/>
        </w:rPr>
        <w:t>, Rachel M. Burke</w:t>
      </w:r>
      <w:r w:rsidRPr="000A02D3">
        <w:rPr>
          <w:rFonts w:cstheme="minorHAnsi"/>
          <w:sz w:val="24"/>
          <w:szCs w:val="24"/>
          <w:vertAlign w:val="superscript"/>
        </w:rPr>
        <w:t>1</w:t>
      </w:r>
      <w:r w:rsidRPr="000A02D3">
        <w:rPr>
          <w:rFonts w:cstheme="minorHAnsi"/>
          <w:sz w:val="24"/>
          <w:szCs w:val="24"/>
        </w:rPr>
        <w:t>, Daniel C. Payne</w:t>
      </w:r>
      <w:r w:rsidRPr="000A02D3">
        <w:rPr>
          <w:rFonts w:cstheme="minorHAnsi"/>
          <w:sz w:val="24"/>
          <w:szCs w:val="24"/>
          <w:vertAlign w:val="superscript"/>
        </w:rPr>
        <w:t>5</w:t>
      </w:r>
      <w:r w:rsidRPr="000A02D3">
        <w:rPr>
          <w:rFonts w:cstheme="minorHAnsi"/>
          <w:sz w:val="24"/>
          <w:szCs w:val="24"/>
        </w:rPr>
        <w:t>, Ardythe Morrow</w:t>
      </w:r>
      <w:r w:rsidRPr="000A02D3">
        <w:rPr>
          <w:rFonts w:cstheme="minorHAnsi"/>
          <w:sz w:val="24"/>
          <w:szCs w:val="24"/>
          <w:vertAlign w:val="superscript"/>
        </w:rPr>
        <w:t>4,6</w:t>
      </w:r>
      <w:r w:rsidRPr="000A02D3">
        <w:rPr>
          <w:rFonts w:cstheme="minorHAnsi"/>
          <w:sz w:val="24"/>
          <w:szCs w:val="24"/>
        </w:rPr>
        <w:t>, Shannon Conrey</w:t>
      </w:r>
      <w:r w:rsidRPr="000A02D3">
        <w:rPr>
          <w:rFonts w:cstheme="minorHAnsi"/>
          <w:sz w:val="24"/>
          <w:szCs w:val="24"/>
          <w:vertAlign w:val="superscript"/>
        </w:rPr>
        <w:t>4,6</w:t>
      </w:r>
      <w:r w:rsidRPr="000A02D3">
        <w:rPr>
          <w:rFonts w:cstheme="minorHAnsi"/>
          <w:sz w:val="24"/>
          <w:szCs w:val="24"/>
        </w:rPr>
        <w:t>, Mary Allen Staat</w:t>
      </w:r>
      <w:r w:rsidRPr="000A02D3">
        <w:rPr>
          <w:rFonts w:cstheme="minorHAnsi"/>
          <w:sz w:val="24"/>
          <w:szCs w:val="24"/>
          <w:vertAlign w:val="superscript"/>
        </w:rPr>
        <w:t>3,4</w:t>
      </w:r>
      <w:r w:rsidRPr="000A02D3">
        <w:rPr>
          <w:rFonts w:cstheme="minorHAnsi"/>
          <w:sz w:val="24"/>
          <w:szCs w:val="24"/>
        </w:rPr>
        <w:t>, Monica McNeal</w:t>
      </w:r>
      <w:r w:rsidRPr="000A02D3">
        <w:rPr>
          <w:rFonts w:cstheme="minorHAnsi"/>
          <w:sz w:val="24"/>
          <w:szCs w:val="24"/>
          <w:vertAlign w:val="superscript"/>
        </w:rPr>
        <w:t>3,4</w:t>
      </w:r>
      <w:r w:rsidRPr="000A02D3">
        <w:rPr>
          <w:rFonts w:cstheme="minorHAnsi"/>
          <w:sz w:val="24"/>
          <w:szCs w:val="24"/>
        </w:rPr>
        <w:t>, Umesh Parashar</w:t>
      </w:r>
      <w:r w:rsidRPr="000A02D3">
        <w:rPr>
          <w:rFonts w:cstheme="minorHAnsi"/>
          <w:sz w:val="24"/>
          <w:szCs w:val="24"/>
          <w:vertAlign w:val="superscript"/>
        </w:rPr>
        <w:t>1</w:t>
      </w:r>
      <w:r w:rsidRPr="000A02D3">
        <w:rPr>
          <w:rFonts w:cstheme="minorHAnsi"/>
          <w:sz w:val="24"/>
          <w:szCs w:val="24"/>
        </w:rPr>
        <w:t>, Rashi Gautam</w:t>
      </w:r>
      <w:r w:rsidRPr="000A02D3">
        <w:rPr>
          <w:rFonts w:cstheme="minorHAnsi"/>
          <w:sz w:val="24"/>
          <w:szCs w:val="24"/>
          <w:vertAlign w:val="superscript"/>
        </w:rPr>
        <w:t xml:space="preserve">1 </w:t>
      </w:r>
      <w:r w:rsidRPr="000A02D3">
        <w:rPr>
          <w:rFonts w:cstheme="minorHAnsi"/>
          <w:sz w:val="24"/>
          <w:szCs w:val="24"/>
        </w:rPr>
        <w:t>and</w:t>
      </w:r>
      <w:r w:rsidRPr="000A02D3">
        <w:rPr>
          <w:rFonts w:cstheme="minorHAnsi"/>
          <w:sz w:val="24"/>
          <w:szCs w:val="24"/>
          <w:vertAlign w:val="superscript"/>
        </w:rPr>
        <w:t xml:space="preserve"> </w:t>
      </w:r>
      <w:r w:rsidRPr="000A02D3">
        <w:rPr>
          <w:rFonts w:cstheme="minorHAnsi"/>
          <w:sz w:val="24"/>
          <w:szCs w:val="24"/>
        </w:rPr>
        <w:t>Michael D. Bowen</w:t>
      </w:r>
      <w:r w:rsidRPr="000A02D3">
        <w:rPr>
          <w:rFonts w:cstheme="minorHAnsi"/>
          <w:sz w:val="24"/>
          <w:szCs w:val="24"/>
          <w:vertAlign w:val="superscript"/>
        </w:rPr>
        <w:t>1</w:t>
      </w:r>
      <w:r w:rsidRPr="000A02D3">
        <w:rPr>
          <w:rFonts w:cstheme="minorHAnsi"/>
          <w:sz w:val="24"/>
          <w:szCs w:val="24"/>
        </w:rPr>
        <w:t xml:space="preserve">  </w:t>
      </w:r>
    </w:p>
    <w:p w14:paraId="41631B6E" w14:textId="05673CB9" w:rsidR="000A02D3" w:rsidRPr="000A02D3" w:rsidRDefault="000A02D3" w:rsidP="000A02D3">
      <w:pPr>
        <w:pStyle w:val="ListParagraph"/>
        <w:ind w:left="360"/>
        <w:rPr>
          <w:rFonts w:eastAsia="Times New Roman" w:cstheme="minorHAnsi"/>
          <w:color w:val="000000"/>
          <w:sz w:val="22"/>
          <w:szCs w:val="22"/>
        </w:rPr>
      </w:pPr>
      <w:r w:rsidRPr="000A02D3">
        <w:rPr>
          <w:rFonts w:eastAsia="Times New Roman" w:cstheme="minorHAnsi"/>
          <w:color w:val="000000"/>
          <w:sz w:val="22"/>
          <w:szCs w:val="22"/>
        </w:rPr>
        <w:t>1</w:t>
      </w:r>
      <w:r>
        <w:rPr>
          <w:rFonts w:eastAsia="Times New Roman" w:cstheme="minorHAnsi"/>
          <w:color w:val="000000"/>
          <w:sz w:val="22"/>
          <w:szCs w:val="22"/>
        </w:rPr>
        <w:t xml:space="preserve"> </w:t>
      </w:r>
      <w:r w:rsidRPr="000A02D3">
        <w:rPr>
          <w:rFonts w:eastAsia="Times New Roman" w:cstheme="minorHAnsi"/>
          <w:color w:val="000000"/>
          <w:sz w:val="22"/>
          <w:szCs w:val="22"/>
        </w:rPr>
        <w:t>Division of Viral Diseases, US Centers for Disease Control and Prevention</w:t>
      </w:r>
    </w:p>
    <w:p w14:paraId="12203211" w14:textId="62AE2B8B" w:rsidR="000A02D3" w:rsidRPr="000A02D3" w:rsidRDefault="000A02D3" w:rsidP="000A02D3">
      <w:pPr>
        <w:pStyle w:val="ListParagraph"/>
        <w:ind w:left="360"/>
        <w:rPr>
          <w:rFonts w:eastAsia="Times New Roman" w:cstheme="minorHAnsi"/>
          <w:color w:val="000000"/>
          <w:sz w:val="22"/>
          <w:szCs w:val="22"/>
        </w:rPr>
      </w:pPr>
      <w:r w:rsidRPr="000A02D3">
        <w:rPr>
          <w:rFonts w:eastAsia="Times New Roman" w:cstheme="minorHAnsi"/>
          <w:color w:val="000000"/>
          <w:sz w:val="22"/>
          <w:szCs w:val="22"/>
        </w:rPr>
        <w:t>2</w:t>
      </w:r>
      <w:r>
        <w:rPr>
          <w:rFonts w:eastAsia="Times New Roman" w:cstheme="minorHAnsi"/>
          <w:color w:val="000000"/>
          <w:sz w:val="22"/>
          <w:szCs w:val="22"/>
        </w:rPr>
        <w:t xml:space="preserve"> </w:t>
      </w:r>
      <w:r w:rsidRPr="000A02D3">
        <w:rPr>
          <w:rFonts w:eastAsia="Times New Roman" w:cstheme="minorHAnsi"/>
          <w:color w:val="000000"/>
          <w:sz w:val="22"/>
          <w:szCs w:val="22"/>
        </w:rPr>
        <w:t>Cherokee Nation Operational Solutions</w:t>
      </w:r>
    </w:p>
    <w:p w14:paraId="782D6740" w14:textId="0FFC2C4D" w:rsidR="000A02D3" w:rsidRPr="000A02D3" w:rsidRDefault="000A02D3" w:rsidP="000A02D3">
      <w:pPr>
        <w:pStyle w:val="ListParagraph"/>
        <w:ind w:left="360"/>
        <w:rPr>
          <w:rFonts w:eastAsia="Times New Roman" w:cstheme="minorHAnsi"/>
          <w:color w:val="000000"/>
          <w:sz w:val="22"/>
          <w:szCs w:val="22"/>
        </w:rPr>
      </w:pPr>
      <w:r w:rsidRPr="000A02D3">
        <w:rPr>
          <w:rFonts w:eastAsia="Times New Roman" w:cstheme="minorHAnsi"/>
          <w:color w:val="000000"/>
          <w:sz w:val="22"/>
          <w:szCs w:val="22"/>
        </w:rPr>
        <w:t>3</w:t>
      </w:r>
      <w:r>
        <w:rPr>
          <w:rFonts w:eastAsia="Times New Roman" w:cstheme="minorHAnsi"/>
          <w:color w:val="000000"/>
          <w:sz w:val="22"/>
          <w:szCs w:val="22"/>
        </w:rPr>
        <w:t xml:space="preserve"> </w:t>
      </w:r>
      <w:r w:rsidRPr="000A02D3">
        <w:rPr>
          <w:rFonts w:eastAsia="Times New Roman" w:cstheme="minorHAnsi"/>
          <w:color w:val="000000"/>
          <w:sz w:val="22"/>
          <w:szCs w:val="22"/>
        </w:rPr>
        <w:t xml:space="preserve">Department of Pediatrics, University of Cincinnati College of Medicine </w:t>
      </w:r>
    </w:p>
    <w:p w14:paraId="00DF017C" w14:textId="760ACECF" w:rsidR="000A02D3" w:rsidRPr="000A02D3" w:rsidRDefault="000A02D3" w:rsidP="000A02D3">
      <w:pPr>
        <w:pStyle w:val="ListParagraph"/>
        <w:ind w:left="360"/>
        <w:rPr>
          <w:rFonts w:eastAsia="Times New Roman" w:cstheme="minorHAnsi"/>
          <w:color w:val="000000"/>
          <w:sz w:val="22"/>
          <w:szCs w:val="22"/>
        </w:rPr>
      </w:pPr>
      <w:r w:rsidRPr="000A02D3">
        <w:rPr>
          <w:rFonts w:eastAsia="Times New Roman" w:cstheme="minorHAnsi"/>
          <w:color w:val="000000"/>
          <w:sz w:val="22"/>
          <w:szCs w:val="22"/>
        </w:rPr>
        <w:t>4</w:t>
      </w:r>
      <w:r>
        <w:rPr>
          <w:rFonts w:eastAsia="Times New Roman" w:cstheme="minorHAnsi"/>
          <w:color w:val="000000"/>
          <w:sz w:val="22"/>
          <w:szCs w:val="22"/>
        </w:rPr>
        <w:t xml:space="preserve"> </w:t>
      </w:r>
      <w:r w:rsidRPr="000A02D3">
        <w:rPr>
          <w:rFonts w:eastAsia="Times New Roman" w:cstheme="minorHAnsi"/>
          <w:color w:val="000000"/>
          <w:sz w:val="22"/>
          <w:szCs w:val="22"/>
        </w:rPr>
        <w:t xml:space="preserve">Division of Infectious Diseases, Cincinnati Children’s Hospital Medical Center </w:t>
      </w:r>
    </w:p>
    <w:p w14:paraId="06488FA6" w14:textId="06B28B8C" w:rsidR="000A02D3" w:rsidRPr="000A02D3" w:rsidRDefault="000A02D3" w:rsidP="000A02D3">
      <w:pPr>
        <w:pStyle w:val="ListParagraph"/>
        <w:ind w:left="360"/>
        <w:rPr>
          <w:rFonts w:eastAsia="Times New Roman" w:cstheme="minorHAnsi"/>
          <w:color w:val="000000"/>
          <w:sz w:val="22"/>
          <w:szCs w:val="22"/>
        </w:rPr>
      </w:pPr>
      <w:r w:rsidRPr="000A02D3">
        <w:rPr>
          <w:rFonts w:eastAsia="Times New Roman" w:cstheme="minorHAnsi"/>
          <w:color w:val="000000"/>
          <w:sz w:val="22"/>
          <w:szCs w:val="22"/>
        </w:rPr>
        <w:t>5</w:t>
      </w:r>
      <w:r>
        <w:rPr>
          <w:rFonts w:eastAsia="Times New Roman" w:cstheme="minorHAnsi"/>
          <w:color w:val="000000"/>
          <w:sz w:val="22"/>
          <w:szCs w:val="22"/>
        </w:rPr>
        <w:t xml:space="preserve"> </w:t>
      </w:r>
      <w:r w:rsidRPr="000A02D3">
        <w:rPr>
          <w:rFonts w:eastAsia="Times New Roman" w:cstheme="minorHAnsi"/>
          <w:color w:val="000000"/>
          <w:sz w:val="22"/>
          <w:szCs w:val="22"/>
        </w:rPr>
        <w:t>Division of Foodborne, Waterborne, and Environmental Diseases, US Centers for Disease Control and Prevention</w:t>
      </w:r>
    </w:p>
    <w:p w14:paraId="28BB7D1E" w14:textId="3E5B704D" w:rsidR="000A02D3" w:rsidRPr="000A02D3" w:rsidRDefault="000A02D3" w:rsidP="000A02D3">
      <w:pPr>
        <w:pStyle w:val="ListParagraph"/>
        <w:ind w:left="360"/>
        <w:rPr>
          <w:rFonts w:eastAsia="Times New Roman" w:cstheme="minorHAnsi"/>
          <w:color w:val="000000"/>
          <w:sz w:val="22"/>
          <w:szCs w:val="22"/>
        </w:rPr>
      </w:pPr>
      <w:r w:rsidRPr="000A02D3">
        <w:rPr>
          <w:rFonts w:eastAsia="Times New Roman" w:cstheme="minorHAnsi"/>
          <w:color w:val="000000"/>
          <w:sz w:val="22"/>
          <w:szCs w:val="22"/>
        </w:rPr>
        <w:t>6</w:t>
      </w:r>
      <w:r>
        <w:rPr>
          <w:rFonts w:eastAsia="Times New Roman" w:cstheme="minorHAnsi"/>
          <w:color w:val="000000"/>
          <w:sz w:val="22"/>
          <w:szCs w:val="22"/>
        </w:rPr>
        <w:t xml:space="preserve"> </w:t>
      </w:r>
      <w:r w:rsidRPr="000A02D3">
        <w:rPr>
          <w:rFonts w:eastAsia="Times New Roman" w:cstheme="minorHAnsi"/>
          <w:color w:val="000000"/>
          <w:sz w:val="22"/>
          <w:szCs w:val="22"/>
        </w:rPr>
        <w:t>Department of Environmental and Public Health Sciences, University of Cincinnati College of Medicine</w:t>
      </w:r>
    </w:p>
    <w:p w14:paraId="3BBBB482" w14:textId="77777777" w:rsidR="000A02D3" w:rsidRPr="000A02D3" w:rsidRDefault="000A02D3" w:rsidP="000A02D3">
      <w:pPr>
        <w:pStyle w:val="ListParagraph"/>
        <w:ind w:left="360"/>
        <w:rPr>
          <w:rFonts w:eastAsia="Times New Roman" w:cstheme="minorHAnsi"/>
          <w:color w:val="000000"/>
        </w:rPr>
      </w:pPr>
      <w:r w:rsidRPr="000A02D3">
        <w:rPr>
          <w:rFonts w:eastAsia="Times New Roman" w:cstheme="minorHAnsi"/>
          <w:color w:val="000000"/>
        </w:rPr>
        <w:t> </w:t>
      </w:r>
    </w:p>
    <w:p w14:paraId="3D2B6ED6" w14:textId="35A26E10" w:rsidR="005149D0" w:rsidRPr="000A02D3" w:rsidRDefault="005149D0" w:rsidP="00B45757">
      <w:pPr>
        <w:spacing w:after="0"/>
        <w:jc w:val="both"/>
        <w:rPr>
          <w:rFonts w:cstheme="minorHAnsi"/>
          <w:sz w:val="24"/>
          <w:szCs w:val="24"/>
          <w:shd w:val="clear" w:color="auto" w:fill="FFFFFF"/>
        </w:rPr>
      </w:pPr>
      <w:r w:rsidRPr="000A02D3">
        <w:rPr>
          <w:rFonts w:cstheme="minorHAnsi"/>
          <w:sz w:val="24"/>
          <w:szCs w:val="24"/>
          <w:shd w:val="clear" w:color="auto" w:fill="FFFFFF"/>
        </w:rPr>
        <w:t xml:space="preserve">Word count: </w:t>
      </w:r>
      <w:r w:rsidR="00CD1AD6" w:rsidRPr="000A02D3">
        <w:rPr>
          <w:rFonts w:cstheme="minorHAnsi"/>
          <w:sz w:val="24"/>
          <w:szCs w:val="24"/>
          <w:shd w:val="clear" w:color="auto" w:fill="FFFFFF"/>
        </w:rPr>
        <w:t>3</w:t>
      </w:r>
      <w:r w:rsidR="00277A7D" w:rsidRPr="000A02D3">
        <w:rPr>
          <w:rFonts w:cstheme="minorHAnsi"/>
          <w:sz w:val="24"/>
          <w:szCs w:val="24"/>
          <w:shd w:val="clear" w:color="auto" w:fill="FFFFFF"/>
        </w:rPr>
        <w:t>4</w:t>
      </w:r>
      <w:r w:rsidR="00D97114" w:rsidRPr="000A02D3">
        <w:rPr>
          <w:rFonts w:cstheme="minorHAnsi"/>
          <w:sz w:val="24"/>
          <w:szCs w:val="24"/>
          <w:shd w:val="clear" w:color="auto" w:fill="FFFFFF"/>
        </w:rPr>
        <w:t>6</w:t>
      </w:r>
      <w:r w:rsidRPr="000A02D3">
        <w:rPr>
          <w:rFonts w:cstheme="minorHAnsi"/>
          <w:sz w:val="24"/>
          <w:szCs w:val="24"/>
          <w:shd w:val="clear" w:color="auto" w:fill="FFFFFF"/>
        </w:rPr>
        <w:t xml:space="preserve"> (350 max)</w:t>
      </w:r>
    </w:p>
    <w:p w14:paraId="0486A9C4" w14:textId="77777777" w:rsidR="005149D0" w:rsidRPr="000A02D3" w:rsidRDefault="005149D0" w:rsidP="00B45757">
      <w:pPr>
        <w:pStyle w:val="ListParagraph"/>
        <w:snapToGrid w:val="0"/>
        <w:spacing w:after="160"/>
        <w:ind w:left="360"/>
        <w:jc w:val="both"/>
        <w:rPr>
          <w:rFonts w:cstheme="minorHAnsi"/>
        </w:rPr>
      </w:pPr>
    </w:p>
    <w:p w14:paraId="1D16F2B0" w14:textId="13EAEB3B" w:rsidR="000A02D3" w:rsidRDefault="000A02D3" w:rsidP="000A02D3">
      <w:pPr>
        <w:spacing w:after="0" w:line="240" w:lineRule="auto"/>
        <w:jc w:val="both"/>
        <w:rPr>
          <w:rFonts w:cstheme="minorHAnsi"/>
          <w:sz w:val="24"/>
          <w:szCs w:val="24"/>
        </w:rPr>
      </w:pPr>
      <w:r w:rsidRPr="000A02D3">
        <w:rPr>
          <w:rFonts w:cstheme="minorHAnsi"/>
          <w:b/>
          <w:bCs/>
          <w:sz w:val="24"/>
          <w:szCs w:val="24"/>
        </w:rPr>
        <w:t>Introduction</w:t>
      </w:r>
      <w:r>
        <w:rPr>
          <w:rFonts w:cstheme="minorHAnsi"/>
          <w:sz w:val="24"/>
          <w:szCs w:val="24"/>
        </w:rPr>
        <w:t xml:space="preserve">. </w:t>
      </w:r>
      <w:r w:rsidRPr="000A02D3">
        <w:rPr>
          <w:rFonts w:cstheme="minorHAnsi"/>
          <w:sz w:val="24"/>
          <w:szCs w:val="24"/>
        </w:rPr>
        <w:t xml:space="preserve">The Pediatric Respiratory and Enteric Virus Acquisition and </w:t>
      </w:r>
      <w:proofErr w:type="spellStart"/>
      <w:r w:rsidRPr="000A02D3">
        <w:rPr>
          <w:rFonts w:cstheme="minorHAnsi"/>
          <w:sz w:val="24"/>
          <w:szCs w:val="24"/>
        </w:rPr>
        <w:t>Immunogenesis</w:t>
      </w:r>
      <w:proofErr w:type="spellEnd"/>
      <w:r w:rsidRPr="000A02D3">
        <w:rPr>
          <w:rFonts w:cstheme="minorHAnsi"/>
          <w:sz w:val="24"/>
          <w:szCs w:val="24"/>
        </w:rPr>
        <w:t xml:space="preserve"> Longitudinal (PREVAIL) Cohort is an endemic respiratory and enteric pathogens surveillance study comprising 245 mother–child pairs residing in Cincinnati, Ohio. The overall aim of the current study was to evaluate the potential for respiratory transmission of Rotavirus A (RVA) vaccine strains. This sub-analysis examined RVA detection in nasal swabs from children shedding rotavirus vaccine strains in stool.</w:t>
      </w:r>
    </w:p>
    <w:p w14:paraId="5FDEDB99" w14:textId="77777777" w:rsidR="000A02D3" w:rsidRPr="000A02D3" w:rsidRDefault="000A02D3" w:rsidP="000A02D3">
      <w:pPr>
        <w:spacing w:after="0" w:line="240" w:lineRule="auto"/>
        <w:jc w:val="both"/>
        <w:rPr>
          <w:rFonts w:cstheme="minorHAnsi"/>
          <w:sz w:val="24"/>
          <w:szCs w:val="24"/>
        </w:rPr>
      </w:pPr>
    </w:p>
    <w:p w14:paraId="1B053ABA" w14:textId="0F95B5DF" w:rsidR="000A02D3" w:rsidRPr="000A02D3" w:rsidRDefault="000A02D3" w:rsidP="000A02D3">
      <w:pPr>
        <w:spacing w:after="0" w:line="240" w:lineRule="auto"/>
        <w:jc w:val="both"/>
        <w:rPr>
          <w:rFonts w:cstheme="minorHAnsi"/>
          <w:sz w:val="24"/>
          <w:szCs w:val="24"/>
        </w:rPr>
      </w:pPr>
      <w:r w:rsidRPr="000A02D3">
        <w:rPr>
          <w:rFonts w:cstheme="minorHAnsi"/>
          <w:b/>
          <w:bCs/>
          <w:sz w:val="24"/>
          <w:szCs w:val="24"/>
        </w:rPr>
        <w:t>Methods</w:t>
      </w:r>
      <w:r>
        <w:rPr>
          <w:rFonts w:cstheme="minorHAnsi"/>
          <w:sz w:val="24"/>
          <w:szCs w:val="24"/>
        </w:rPr>
        <w:t xml:space="preserve">. </w:t>
      </w:r>
      <w:r w:rsidRPr="000A02D3">
        <w:rPr>
          <w:rFonts w:cstheme="minorHAnsi"/>
          <w:sz w:val="24"/>
          <w:szCs w:val="24"/>
        </w:rPr>
        <w:t>Nasal swabs and stool samples were collected from children weekly from birth up to 2 years of age. Nasal swabs were selected for testing if 1) a stool sample was collected from the same child within 1 day of the nasal swab and 2) the matched stool sample was positive for RVA vaccine strain. Specimens were tested with real-time RT-PCR assays for wild-type RVA and vaccine (Rotarix</w:t>
      </w:r>
      <w:r w:rsidRPr="000A02D3">
        <w:rPr>
          <w:rFonts w:cstheme="minorHAnsi"/>
          <w:sz w:val="24"/>
          <w:szCs w:val="24"/>
          <w:vertAlign w:val="superscript"/>
        </w:rPr>
        <w:t>®</w:t>
      </w:r>
      <w:r w:rsidRPr="000A02D3">
        <w:rPr>
          <w:rFonts w:cstheme="minorHAnsi"/>
          <w:sz w:val="24"/>
          <w:szCs w:val="24"/>
        </w:rPr>
        <w:t xml:space="preserve"> and </w:t>
      </w:r>
      <w:proofErr w:type="spellStart"/>
      <w:r w:rsidRPr="000A02D3">
        <w:rPr>
          <w:rFonts w:cstheme="minorHAnsi"/>
          <w:sz w:val="24"/>
          <w:szCs w:val="24"/>
        </w:rPr>
        <w:t>RotaTeq</w:t>
      </w:r>
      <w:proofErr w:type="spellEnd"/>
      <w:r w:rsidRPr="000A02D3">
        <w:rPr>
          <w:rFonts w:cstheme="minorHAnsi"/>
          <w:sz w:val="24"/>
          <w:szCs w:val="24"/>
          <w:vertAlign w:val="superscript"/>
        </w:rPr>
        <w:t>®</w:t>
      </w:r>
      <w:r w:rsidRPr="000A02D3">
        <w:rPr>
          <w:rFonts w:cstheme="minorHAnsi"/>
          <w:sz w:val="24"/>
          <w:szCs w:val="24"/>
        </w:rPr>
        <w:t>) strain detection. Vaccination information was abstracted from state and provider records.</w:t>
      </w:r>
    </w:p>
    <w:p w14:paraId="50F678AC" w14:textId="77777777" w:rsidR="000A02D3" w:rsidRDefault="000A02D3" w:rsidP="000A02D3">
      <w:pPr>
        <w:spacing w:after="0" w:line="240" w:lineRule="auto"/>
        <w:jc w:val="both"/>
        <w:rPr>
          <w:rFonts w:cstheme="minorHAnsi"/>
          <w:b/>
          <w:bCs/>
          <w:sz w:val="24"/>
          <w:szCs w:val="24"/>
        </w:rPr>
      </w:pPr>
    </w:p>
    <w:p w14:paraId="6C6D8078" w14:textId="73BA5FB1" w:rsidR="000A02D3" w:rsidRPr="000A02D3" w:rsidRDefault="000A02D3" w:rsidP="000A02D3">
      <w:pPr>
        <w:spacing w:after="0" w:line="240" w:lineRule="auto"/>
        <w:jc w:val="both"/>
        <w:rPr>
          <w:rFonts w:cstheme="minorHAnsi"/>
          <w:sz w:val="24"/>
          <w:szCs w:val="24"/>
        </w:rPr>
      </w:pPr>
      <w:r w:rsidRPr="000A02D3">
        <w:rPr>
          <w:rFonts w:cstheme="minorHAnsi"/>
          <w:b/>
          <w:bCs/>
          <w:sz w:val="24"/>
          <w:szCs w:val="24"/>
        </w:rPr>
        <w:t>Results</w:t>
      </w:r>
      <w:r>
        <w:rPr>
          <w:rFonts w:cstheme="minorHAnsi"/>
          <w:sz w:val="24"/>
          <w:szCs w:val="24"/>
        </w:rPr>
        <w:t xml:space="preserve">. </w:t>
      </w:r>
      <w:r w:rsidRPr="000A02D3">
        <w:rPr>
          <w:rFonts w:cstheme="minorHAnsi"/>
          <w:sz w:val="24"/>
          <w:szCs w:val="24"/>
        </w:rPr>
        <w:t>A total of 249 nasal swabs were analyzed from 66 infants, comprising 25 Rotarix</w:t>
      </w:r>
      <w:r w:rsidRPr="000A02D3">
        <w:rPr>
          <w:rFonts w:cstheme="minorHAnsi"/>
          <w:sz w:val="24"/>
          <w:szCs w:val="24"/>
          <w:vertAlign w:val="superscript"/>
        </w:rPr>
        <w:t>®</w:t>
      </w:r>
      <w:r w:rsidRPr="000A02D3">
        <w:rPr>
          <w:rFonts w:cstheme="minorHAnsi"/>
          <w:sz w:val="24"/>
          <w:szCs w:val="24"/>
        </w:rPr>
        <w:t xml:space="preserve"> vaccinees, 41 </w:t>
      </w:r>
      <w:proofErr w:type="spellStart"/>
      <w:r w:rsidRPr="000A02D3">
        <w:rPr>
          <w:rFonts w:cstheme="minorHAnsi"/>
          <w:sz w:val="24"/>
          <w:szCs w:val="24"/>
        </w:rPr>
        <w:t>RotaTeq</w:t>
      </w:r>
      <w:proofErr w:type="spellEnd"/>
      <w:r w:rsidRPr="000A02D3">
        <w:rPr>
          <w:rFonts w:cstheme="minorHAnsi"/>
          <w:sz w:val="24"/>
          <w:szCs w:val="24"/>
          <w:vertAlign w:val="superscript"/>
        </w:rPr>
        <w:t>®</w:t>
      </w:r>
      <w:r w:rsidRPr="000A02D3">
        <w:rPr>
          <w:rFonts w:cstheme="minorHAnsi"/>
          <w:sz w:val="24"/>
          <w:szCs w:val="24"/>
        </w:rPr>
        <w:t xml:space="preserve"> vaccinees, and 1 infant with a mixed vaccination series. Most nasal swabs, 170 (68%), were collected after a child received one dose, 44 (18%) after two doses, and 31 (12%) after three doses of either rotavirus vaccine, while 4 (2%) were collected on the date of rotavirus vaccination.</w:t>
      </w:r>
      <w:r>
        <w:rPr>
          <w:rFonts w:cstheme="minorHAnsi"/>
          <w:sz w:val="24"/>
          <w:szCs w:val="24"/>
        </w:rPr>
        <w:t xml:space="preserve"> </w:t>
      </w:r>
      <w:r w:rsidRPr="000A02D3">
        <w:rPr>
          <w:rFonts w:cstheme="minorHAnsi"/>
          <w:sz w:val="24"/>
          <w:szCs w:val="24"/>
        </w:rPr>
        <w:t>Out of 82 Rotarix</w:t>
      </w:r>
      <w:r w:rsidRPr="000A02D3">
        <w:rPr>
          <w:rFonts w:cstheme="minorHAnsi"/>
          <w:sz w:val="24"/>
          <w:szCs w:val="24"/>
          <w:vertAlign w:val="superscript"/>
        </w:rPr>
        <w:t>®</w:t>
      </w:r>
      <w:r w:rsidRPr="000A02D3">
        <w:rPr>
          <w:rFonts w:cstheme="minorHAnsi"/>
          <w:sz w:val="24"/>
          <w:szCs w:val="24"/>
        </w:rPr>
        <w:t xml:space="preserve"> vaccine positive stool samples, 75 (91%) matched nasal swabs were RVA negative, while 7 (9%) were RVA positive but non-typable due to a low viral load in the sample.</w:t>
      </w:r>
      <w:r>
        <w:rPr>
          <w:rFonts w:cstheme="minorHAnsi"/>
          <w:sz w:val="24"/>
          <w:szCs w:val="24"/>
        </w:rPr>
        <w:t xml:space="preserve"> </w:t>
      </w:r>
      <w:r w:rsidRPr="000A02D3">
        <w:rPr>
          <w:rFonts w:cstheme="minorHAnsi"/>
          <w:sz w:val="24"/>
          <w:szCs w:val="24"/>
        </w:rPr>
        <w:t xml:space="preserve">Out of 167 </w:t>
      </w:r>
      <w:proofErr w:type="spellStart"/>
      <w:r w:rsidRPr="000A02D3">
        <w:rPr>
          <w:rFonts w:cstheme="minorHAnsi"/>
          <w:sz w:val="24"/>
          <w:szCs w:val="24"/>
        </w:rPr>
        <w:t>RotaTeq</w:t>
      </w:r>
      <w:proofErr w:type="spellEnd"/>
      <w:r w:rsidRPr="000A02D3">
        <w:rPr>
          <w:rFonts w:cstheme="minorHAnsi"/>
          <w:sz w:val="24"/>
          <w:szCs w:val="24"/>
          <w:vertAlign w:val="superscript"/>
        </w:rPr>
        <w:t>®</w:t>
      </w:r>
      <w:r w:rsidRPr="000A02D3">
        <w:rPr>
          <w:rFonts w:cstheme="minorHAnsi"/>
          <w:sz w:val="24"/>
          <w:szCs w:val="24"/>
        </w:rPr>
        <w:t xml:space="preserve"> vaccine positive stool samples, 160 (96%) matched nasal swabs were RVA negative, while 7 (4%) were RVA positive (2 typed as </w:t>
      </w:r>
      <w:proofErr w:type="spellStart"/>
      <w:r w:rsidRPr="000A02D3">
        <w:rPr>
          <w:rFonts w:cstheme="minorHAnsi"/>
          <w:sz w:val="24"/>
          <w:szCs w:val="24"/>
        </w:rPr>
        <w:t>RotaTeq</w:t>
      </w:r>
      <w:proofErr w:type="spellEnd"/>
      <w:r w:rsidRPr="000A02D3">
        <w:rPr>
          <w:rFonts w:cstheme="minorHAnsi"/>
          <w:sz w:val="24"/>
          <w:szCs w:val="24"/>
          <w:vertAlign w:val="superscript"/>
        </w:rPr>
        <w:t>®</w:t>
      </w:r>
      <w:r w:rsidRPr="000A02D3">
        <w:rPr>
          <w:rFonts w:cstheme="minorHAnsi"/>
          <w:sz w:val="24"/>
          <w:szCs w:val="24"/>
        </w:rPr>
        <w:t xml:space="preserve"> vaccine strain and 5 were non-typable). Combining both Rotarix</w:t>
      </w:r>
      <w:r w:rsidRPr="000A02D3">
        <w:rPr>
          <w:rFonts w:cstheme="minorHAnsi"/>
          <w:sz w:val="24"/>
          <w:szCs w:val="24"/>
          <w:vertAlign w:val="superscript"/>
        </w:rPr>
        <w:t>®</w:t>
      </w:r>
      <w:r w:rsidRPr="000A02D3">
        <w:rPr>
          <w:rFonts w:cstheme="minorHAnsi"/>
          <w:sz w:val="24"/>
          <w:szCs w:val="24"/>
        </w:rPr>
        <w:t xml:space="preserve"> and </w:t>
      </w:r>
      <w:proofErr w:type="spellStart"/>
      <w:r w:rsidRPr="000A02D3">
        <w:rPr>
          <w:rFonts w:cstheme="minorHAnsi"/>
          <w:sz w:val="24"/>
          <w:szCs w:val="24"/>
        </w:rPr>
        <w:t>RotaTeq</w:t>
      </w:r>
      <w:proofErr w:type="spellEnd"/>
      <w:r w:rsidRPr="000A02D3">
        <w:rPr>
          <w:rFonts w:cstheme="minorHAnsi"/>
          <w:sz w:val="24"/>
          <w:szCs w:val="24"/>
          <w:vertAlign w:val="superscript"/>
        </w:rPr>
        <w:t>®</w:t>
      </w:r>
      <w:r w:rsidRPr="000A02D3">
        <w:rPr>
          <w:rFonts w:cstheme="minorHAnsi"/>
          <w:sz w:val="24"/>
          <w:szCs w:val="24"/>
        </w:rPr>
        <w:t xml:space="preserve"> vaccine positive stool samples, 94% of the matched nasal swabs tested RVA negative.</w:t>
      </w:r>
    </w:p>
    <w:p w14:paraId="288787F9" w14:textId="77777777" w:rsidR="000A02D3" w:rsidRDefault="000A02D3" w:rsidP="000A02D3">
      <w:pPr>
        <w:spacing w:after="0" w:line="240" w:lineRule="auto"/>
        <w:jc w:val="both"/>
        <w:rPr>
          <w:rFonts w:cstheme="minorHAnsi"/>
          <w:b/>
          <w:bCs/>
          <w:sz w:val="24"/>
          <w:szCs w:val="24"/>
        </w:rPr>
      </w:pPr>
    </w:p>
    <w:p w14:paraId="041D416B" w14:textId="32294137" w:rsidR="000A02D3" w:rsidRPr="000A02D3" w:rsidRDefault="000A02D3" w:rsidP="000A02D3">
      <w:pPr>
        <w:spacing w:after="0" w:line="240" w:lineRule="auto"/>
        <w:jc w:val="both"/>
        <w:rPr>
          <w:rFonts w:cstheme="minorHAnsi"/>
          <w:sz w:val="24"/>
          <w:szCs w:val="24"/>
        </w:rPr>
      </w:pPr>
      <w:r w:rsidRPr="000A02D3">
        <w:rPr>
          <w:rFonts w:cstheme="minorHAnsi"/>
          <w:b/>
          <w:bCs/>
          <w:sz w:val="24"/>
          <w:szCs w:val="24"/>
        </w:rPr>
        <w:t>Conclusion</w:t>
      </w:r>
      <w:r>
        <w:rPr>
          <w:rFonts w:cstheme="minorHAnsi"/>
          <w:sz w:val="24"/>
          <w:szCs w:val="24"/>
        </w:rPr>
        <w:t xml:space="preserve">. </w:t>
      </w:r>
      <w:r w:rsidRPr="000A02D3">
        <w:rPr>
          <w:rFonts w:cstheme="minorHAnsi"/>
          <w:sz w:val="24"/>
          <w:szCs w:val="24"/>
        </w:rPr>
        <w:t xml:space="preserve">Regardless of the vaccine product or vaccine dose, the results of this study indicate that RVA is not efficiently shed in respiratory secretions among children shedding vaccine strains in stool. Whether this holds true for infants shedding wild-type RVA strains will be the subject of future investigations. </w:t>
      </w:r>
    </w:p>
    <w:p w14:paraId="22D29D17" w14:textId="4DE462BA" w:rsidR="001726E6" w:rsidRPr="000A02D3" w:rsidRDefault="001726E6" w:rsidP="00CD1AD6">
      <w:pPr>
        <w:spacing w:after="160" w:line="259" w:lineRule="auto"/>
        <w:jc w:val="both"/>
        <w:rPr>
          <w:rFonts w:cstheme="minorHAnsi"/>
          <w:sz w:val="24"/>
          <w:szCs w:val="24"/>
        </w:rPr>
      </w:pPr>
    </w:p>
    <w:sectPr w:rsidR="001726E6" w:rsidRPr="000A02D3" w:rsidSect="00C06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166B5"/>
    <w:multiLevelType w:val="hybridMultilevel"/>
    <w:tmpl w:val="154ED4F0"/>
    <w:lvl w:ilvl="0" w:tplc="AF34D98C">
      <w:start w:val="1"/>
      <w:numFmt w:val="bullet"/>
      <w:lvlText w:val=""/>
      <w:lvlJc w:val="left"/>
      <w:pPr>
        <w:tabs>
          <w:tab w:val="num" w:pos="720"/>
        </w:tabs>
        <w:ind w:left="720" w:hanging="360"/>
      </w:pPr>
      <w:rPr>
        <w:rFonts w:ascii="Wingdings" w:hAnsi="Wingdings" w:hint="default"/>
      </w:rPr>
    </w:lvl>
    <w:lvl w:ilvl="1" w:tplc="908E0410" w:tentative="1">
      <w:start w:val="1"/>
      <w:numFmt w:val="bullet"/>
      <w:lvlText w:val=""/>
      <w:lvlJc w:val="left"/>
      <w:pPr>
        <w:tabs>
          <w:tab w:val="num" w:pos="1440"/>
        </w:tabs>
        <w:ind w:left="1440" w:hanging="360"/>
      </w:pPr>
      <w:rPr>
        <w:rFonts w:ascii="Wingdings" w:hAnsi="Wingdings" w:hint="default"/>
      </w:rPr>
    </w:lvl>
    <w:lvl w:ilvl="2" w:tplc="3E8874B6" w:tentative="1">
      <w:start w:val="1"/>
      <w:numFmt w:val="bullet"/>
      <w:lvlText w:val=""/>
      <w:lvlJc w:val="left"/>
      <w:pPr>
        <w:tabs>
          <w:tab w:val="num" w:pos="2160"/>
        </w:tabs>
        <w:ind w:left="2160" w:hanging="360"/>
      </w:pPr>
      <w:rPr>
        <w:rFonts w:ascii="Wingdings" w:hAnsi="Wingdings" w:hint="default"/>
      </w:rPr>
    </w:lvl>
    <w:lvl w:ilvl="3" w:tplc="DAAECDFE" w:tentative="1">
      <w:start w:val="1"/>
      <w:numFmt w:val="bullet"/>
      <w:lvlText w:val=""/>
      <w:lvlJc w:val="left"/>
      <w:pPr>
        <w:tabs>
          <w:tab w:val="num" w:pos="2880"/>
        </w:tabs>
        <w:ind w:left="2880" w:hanging="360"/>
      </w:pPr>
      <w:rPr>
        <w:rFonts w:ascii="Wingdings" w:hAnsi="Wingdings" w:hint="default"/>
      </w:rPr>
    </w:lvl>
    <w:lvl w:ilvl="4" w:tplc="3C6A1BA0" w:tentative="1">
      <w:start w:val="1"/>
      <w:numFmt w:val="bullet"/>
      <w:lvlText w:val=""/>
      <w:lvlJc w:val="left"/>
      <w:pPr>
        <w:tabs>
          <w:tab w:val="num" w:pos="3600"/>
        </w:tabs>
        <w:ind w:left="3600" w:hanging="360"/>
      </w:pPr>
      <w:rPr>
        <w:rFonts w:ascii="Wingdings" w:hAnsi="Wingdings" w:hint="default"/>
      </w:rPr>
    </w:lvl>
    <w:lvl w:ilvl="5" w:tplc="3E2689C8" w:tentative="1">
      <w:start w:val="1"/>
      <w:numFmt w:val="bullet"/>
      <w:lvlText w:val=""/>
      <w:lvlJc w:val="left"/>
      <w:pPr>
        <w:tabs>
          <w:tab w:val="num" w:pos="4320"/>
        </w:tabs>
        <w:ind w:left="4320" w:hanging="360"/>
      </w:pPr>
      <w:rPr>
        <w:rFonts w:ascii="Wingdings" w:hAnsi="Wingdings" w:hint="default"/>
      </w:rPr>
    </w:lvl>
    <w:lvl w:ilvl="6" w:tplc="1F72C0AA" w:tentative="1">
      <w:start w:val="1"/>
      <w:numFmt w:val="bullet"/>
      <w:lvlText w:val=""/>
      <w:lvlJc w:val="left"/>
      <w:pPr>
        <w:tabs>
          <w:tab w:val="num" w:pos="5040"/>
        </w:tabs>
        <w:ind w:left="5040" w:hanging="360"/>
      </w:pPr>
      <w:rPr>
        <w:rFonts w:ascii="Wingdings" w:hAnsi="Wingdings" w:hint="default"/>
      </w:rPr>
    </w:lvl>
    <w:lvl w:ilvl="7" w:tplc="CD5CE954" w:tentative="1">
      <w:start w:val="1"/>
      <w:numFmt w:val="bullet"/>
      <w:lvlText w:val=""/>
      <w:lvlJc w:val="left"/>
      <w:pPr>
        <w:tabs>
          <w:tab w:val="num" w:pos="5760"/>
        </w:tabs>
        <w:ind w:left="5760" w:hanging="360"/>
      </w:pPr>
      <w:rPr>
        <w:rFonts w:ascii="Wingdings" w:hAnsi="Wingdings" w:hint="default"/>
      </w:rPr>
    </w:lvl>
    <w:lvl w:ilvl="8" w:tplc="ED6003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40D4608"/>
    <w:multiLevelType w:val="multilevel"/>
    <w:tmpl w:val="643AA122"/>
    <w:lvl w:ilvl="0">
      <w:start w:val="1"/>
      <w:numFmt w:val="decimal"/>
      <w:lvlText w:val="%1."/>
      <w:lvlJc w:val="left"/>
      <w:pPr>
        <w:ind w:left="360" w:hanging="360"/>
      </w:pPr>
      <w:rPr>
        <w:rFonts w:asciiTheme="minorHAnsi" w:eastAsiaTheme="minorEastAsia" w:hAnsiTheme="minorHAnsi" w:cs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23210904">
    <w:abstractNumId w:val="1"/>
  </w:num>
  <w:num w:numId="2" w16cid:durableId="1711758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35369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7A"/>
    <w:rsid w:val="00021413"/>
    <w:rsid w:val="000238F3"/>
    <w:rsid w:val="00024110"/>
    <w:rsid w:val="000334BD"/>
    <w:rsid w:val="000356BA"/>
    <w:rsid w:val="00040320"/>
    <w:rsid w:val="00045BCE"/>
    <w:rsid w:val="00053EC4"/>
    <w:rsid w:val="00061E6B"/>
    <w:rsid w:val="000717F4"/>
    <w:rsid w:val="00072B0B"/>
    <w:rsid w:val="00091E72"/>
    <w:rsid w:val="00091F67"/>
    <w:rsid w:val="00094199"/>
    <w:rsid w:val="000A02D3"/>
    <w:rsid w:val="000A7433"/>
    <w:rsid w:val="000B0517"/>
    <w:rsid w:val="000B4181"/>
    <w:rsid w:val="000B5A9A"/>
    <w:rsid w:val="000B7BFF"/>
    <w:rsid w:val="000C0219"/>
    <w:rsid w:val="000C24BD"/>
    <w:rsid w:val="000C30B6"/>
    <w:rsid w:val="000D2491"/>
    <w:rsid w:val="000E056C"/>
    <w:rsid w:val="00100182"/>
    <w:rsid w:val="001009F7"/>
    <w:rsid w:val="00103A74"/>
    <w:rsid w:val="001143B3"/>
    <w:rsid w:val="001163BA"/>
    <w:rsid w:val="0012576B"/>
    <w:rsid w:val="001407DA"/>
    <w:rsid w:val="001726E6"/>
    <w:rsid w:val="001A578C"/>
    <w:rsid w:val="001B4957"/>
    <w:rsid w:val="001B593C"/>
    <w:rsid w:val="001C2B8E"/>
    <w:rsid w:val="001C5F91"/>
    <w:rsid w:val="001D39A9"/>
    <w:rsid w:val="001E1E4C"/>
    <w:rsid w:val="001E4B0F"/>
    <w:rsid w:val="001F2725"/>
    <w:rsid w:val="00217A48"/>
    <w:rsid w:val="00223603"/>
    <w:rsid w:val="002323E6"/>
    <w:rsid w:val="00234F37"/>
    <w:rsid w:val="002418D0"/>
    <w:rsid w:val="00254189"/>
    <w:rsid w:val="0026495A"/>
    <w:rsid w:val="00277A7D"/>
    <w:rsid w:val="00280968"/>
    <w:rsid w:val="002909D9"/>
    <w:rsid w:val="00293666"/>
    <w:rsid w:val="002C293C"/>
    <w:rsid w:val="002D0013"/>
    <w:rsid w:val="002D2A2A"/>
    <w:rsid w:val="002D4B5C"/>
    <w:rsid w:val="002F19EF"/>
    <w:rsid w:val="002F4D91"/>
    <w:rsid w:val="002F5E08"/>
    <w:rsid w:val="003016D5"/>
    <w:rsid w:val="00312099"/>
    <w:rsid w:val="00323C17"/>
    <w:rsid w:val="00332FE3"/>
    <w:rsid w:val="003422B4"/>
    <w:rsid w:val="0035174D"/>
    <w:rsid w:val="003528A7"/>
    <w:rsid w:val="00356655"/>
    <w:rsid w:val="00367905"/>
    <w:rsid w:val="003826ED"/>
    <w:rsid w:val="003860FE"/>
    <w:rsid w:val="0039038B"/>
    <w:rsid w:val="003907CA"/>
    <w:rsid w:val="00391206"/>
    <w:rsid w:val="0039387A"/>
    <w:rsid w:val="003A1A37"/>
    <w:rsid w:val="003A22E3"/>
    <w:rsid w:val="003A614D"/>
    <w:rsid w:val="003A7CB6"/>
    <w:rsid w:val="003F08A0"/>
    <w:rsid w:val="003F3669"/>
    <w:rsid w:val="004071B3"/>
    <w:rsid w:val="00412D62"/>
    <w:rsid w:val="00426F01"/>
    <w:rsid w:val="00441556"/>
    <w:rsid w:val="0045359E"/>
    <w:rsid w:val="00457488"/>
    <w:rsid w:val="00474710"/>
    <w:rsid w:val="004907C4"/>
    <w:rsid w:val="00493DBB"/>
    <w:rsid w:val="0049595E"/>
    <w:rsid w:val="00496A5E"/>
    <w:rsid w:val="004B599E"/>
    <w:rsid w:val="004C7BAB"/>
    <w:rsid w:val="004D2420"/>
    <w:rsid w:val="004E334F"/>
    <w:rsid w:val="004E4A27"/>
    <w:rsid w:val="005149D0"/>
    <w:rsid w:val="00521CFA"/>
    <w:rsid w:val="005345ED"/>
    <w:rsid w:val="00541E3D"/>
    <w:rsid w:val="00542F9F"/>
    <w:rsid w:val="005434F5"/>
    <w:rsid w:val="0055625E"/>
    <w:rsid w:val="00576448"/>
    <w:rsid w:val="0059253A"/>
    <w:rsid w:val="0059708F"/>
    <w:rsid w:val="005A07CC"/>
    <w:rsid w:val="005C3E05"/>
    <w:rsid w:val="005D502B"/>
    <w:rsid w:val="00645E4A"/>
    <w:rsid w:val="00647255"/>
    <w:rsid w:val="0066474D"/>
    <w:rsid w:val="00667BFE"/>
    <w:rsid w:val="006702CC"/>
    <w:rsid w:val="0069048C"/>
    <w:rsid w:val="006A1FC5"/>
    <w:rsid w:val="006A3FE9"/>
    <w:rsid w:val="006A72F1"/>
    <w:rsid w:val="006B12FD"/>
    <w:rsid w:val="006C1946"/>
    <w:rsid w:val="006C7944"/>
    <w:rsid w:val="006E2420"/>
    <w:rsid w:val="006F0B4A"/>
    <w:rsid w:val="006F30A7"/>
    <w:rsid w:val="00712581"/>
    <w:rsid w:val="00712A39"/>
    <w:rsid w:val="00726A15"/>
    <w:rsid w:val="00730A28"/>
    <w:rsid w:val="00733B2E"/>
    <w:rsid w:val="007505E8"/>
    <w:rsid w:val="007615F6"/>
    <w:rsid w:val="00764BA7"/>
    <w:rsid w:val="007711F5"/>
    <w:rsid w:val="007759B1"/>
    <w:rsid w:val="00781B53"/>
    <w:rsid w:val="00784B23"/>
    <w:rsid w:val="007B21FB"/>
    <w:rsid w:val="007B3A0A"/>
    <w:rsid w:val="007B75BB"/>
    <w:rsid w:val="007C32F4"/>
    <w:rsid w:val="007C3D03"/>
    <w:rsid w:val="007F4C29"/>
    <w:rsid w:val="008204D7"/>
    <w:rsid w:val="00832355"/>
    <w:rsid w:val="00836BA5"/>
    <w:rsid w:val="008421A8"/>
    <w:rsid w:val="00850928"/>
    <w:rsid w:val="008647E2"/>
    <w:rsid w:val="00870744"/>
    <w:rsid w:val="00881714"/>
    <w:rsid w:val="00893E0F"/>
    <w:rsid w:val="00895F3E"/>
    <w:rsid w:val="00896650"/>
    <w:rsid w:val="008B0527"/>
    <w:rsid w:val="008B3F76"/>
    <w:rsid w:val="008E7B4F"/>
    <w:rsid w:val="008F0429"/>
    <w:rsid w:val="008F26C0"/>
    <w:rsid w:val="008F37FD"/>
    <w:rsid w:val="008F7252"/>
    <w:rsid w:val="0091245B"/>
    <w:rsid w:val="00926A96"/>
    <w:rsid w:val="00943C4F"/>
    <w:rsid w:val="00945AF5"/>
    <w:rsid w:val="0096014A"/>
    <w:rsid w:val="00961CEA"/>
    <w:rsid w:val="00967432"/>
    <w:rsid w:val="009704C3"/>
    <w:rsid w:val="00973B89"/>
    <w:rsid w:val="009866D3"/>
    <w:rsid w:val="00990612"/>
    <w:rsid w:val="009960FA"/>
    <w:rsid w:val="009B029E"/>
    <w:rsid w:val="009B038C"/>
    <w:rsid w:val="009B1460"/>
    <w:rsid w:val="009B2B18"/>
    <w:rsid w:val="009F16E5"/>
    <w:rsid w:val="00A01780"/>
    <w:rsid w:val="00A1309C"/>
    <w:rsid w:val="00A20A9E"/>
    <w:rsid w:val="00A27516"/>
    <w:rsid w:val="00A574B4"/>
    <w:rsid w:val="00A672D7"/>
    <w:rsid w:val="00A75883"/>
    <w:rsid w:val="00A804E1"/>
    <w:rsid w:val="00A8493A"/>
    <w:rsid w:val="00A85A8B"/>
    <w:rsid w:val="00A95325"/>
    <w:rsid w:val="00AB0A40"/>
    <w:rsid w:val="00AB68FF"/>
    <w:rsid w:val="00AD0CB6"/>
    <w:rsid w:val="00AF027C"/>
    <w:rsid w:val="00AF6555"/>
    <w:rsid w:val="00B00409"/>
    <w:rsid w:val="00B03150"/>
    <w:rsid w:val="00B1025C"/>
    <w:rsid w:val="00B213CF"/>
    <w:rsid w:val="00B26C26"/>
    <w:rsid w:val="00B34275"/>
    <w:rsid w:val="00B45757"/>
    <w:rsid w:val="00B50A19"/>
    <w:rsid w:val="00B7094D"/>
    <w:rsid w:val="00B70CCA"/>
    <w:rsid w:val="00B84F58"/>
    <w:rsid w:val="00B9295A"/>
    <w:rsid w:val="00BB1308"/>
    <w:rsid w:val="00BC71C6"/>
    <w:rsid w:val="00BC7C2D"/>
    <w:rsid w:val="00BD10EB"/>
    <w:rsid w:val="00BD2499"/>
    <w:rsid w:val="00BD274F"/>
    <w:rsid w:val="00BD5742"/>
    <w:rsid w:val="00BE21EE"/>
    <w:rsid w:val="00BF7AFE"/>
    <w:rsid w:val="00C012B0"/>
    <w:rsid w:val="00C06AF6"/>
    <w:rsid w:val="00C17762"/>
    <w:rsid w:val="00C304CF"/>
    <w:rsid w:val="00C31950"/>
    <w:rsid w:val="00C36FD5"/>
    <w:rsid w:val="00C427E3"/>
    <w:rsid w:val="00C45E59"/>
    <w:rsid w:val="00C66EFF"/>
    <w:rsid w:val="00C7750C"/>
    <w:rsid w:val="00C84F97"/>
    <w:rsid w:val="00C95327"/>
    <w:rsid w:val="00C962BA"/>
    <w:rsid w:val="00CA368D"/>
    <w:rsid w:val="00CA70DC"/>
    <w:rsid w:val="00CC1E7F"/>
    <w:rsid w:val="00CD1AD6"/>
    <w:rsid w:val="00CD2D7E"/>
    <w:rsid w:val="00CE22D4"/>
    <w:rsid w:val="00D079C7"/>
    <w:rsid w:val="00D26677"/>
    <w:rsid w:val="00D3087A"/>
    <w:rsid w:val="00D6246A"/>
    <w:rsid w:val="00D667B3"/>
    <w:rsid w:val="00D74DD2"/>
    <w:rsid w:val="00D93137"/>
    <w:rsid w:val="00D97114"/>
    <w:rsid w:val="00DB04D1"/>
    <w:rsid w:val="00DB13CF"/>
    <w:rsid w:val="00DB4017"/>
    <w:rsid w:val="00DC4027"/>
    <w:rsid w:val="00DC799B"/>
    <w:rsid w:val="00DD7375"/>
    <w:rsid w:val="00DF1371"/>
    <w:rsid w:val="00DF2E02"/>
    <w:rsid w:val="00DF3488"/>
    <w:rsid w:val="00DF36D1"/>
    <w:rsid w:val="00E177C0"/>
    <w:rsid w:val="00E264EB"/>
    <w:rsid w:val="00E30EB6"/>
    <w:rsid w:val="00E33BB4"/>
    <w:rsid w:val="00E4610D"/>
    <w:rsid w:val="00E53F2A"/>
    <w:rsid w:val="00E74979"/>
    <w:rsid w:val="00E80231"/>
    <w:rsid w:val="00E92D07"/>
    <w:rsid w:val="00E9466F"/>
    <w:rsid w:val="00E94E5D"/>
    <w:rsid w:val="00EA3B40"/>
    <w:rsid w:val="00EA3D57"/>
    <w:rsid w:val="00EC006C"/>
    <w:rsid w:val="00EC67A5"/>
    <w:rsid w:val="00ED42E8"/>
    <w:rsid w:val="00EE0886"/>
    <w:rsid w:val="00EF4E3F"/>
    <w:rsid w:val="00F05626"/>
    <w:rsid w:val="00F30306"/>
    <w:rsid w:val="00F30ECA"/>
    <w:rsid w:val="00F3595E"/>
    <w:rsid w:val="00F36FBF"/>
    <w:rsid w:val="00F612B3"/>
    <w:rsid w:val="00F6222E"/>
    <w:rsid w:val="00F64182"/>
    <w:rsid w:val="00F7071A"/>
    <w:rsid w:val="00F82281"/>
    <w:rsid w:val="00F97EF1"/>
    <w:rsid w:val="00FB02FB"/>
    <w:rsid w:val="00FC4982"/>
    <w:rsid w:val="00FD276B"/>
    <w:rsid w:val="00FD7B6D"/>
    <w:rsid w:val="00FE2B0B"/>
    <w:rsid w:val="00FE4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02A1B"/>
  <w15:chartTrackingRefBased/>
  <w15:docId w15:val="{F04D77F3-E445-4DDA-8AF1-C0100847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87A"/>
    <w:pPr>
      <w:spacing w:after="200" w:line="27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9387A"/>
    <w:rPr>
      <w:sz w:val="16"/>
      <w:szCs w:val="16"/>
    </w:rPr>
  </w:style>
  <w:style w:type="paragraph" w:styleId="CommentText">
    <w:name w:val="annotation text"/>
    <w:basedOn w:val="Normal"/>
    <w:link w:val="CommentTextChar"/>
    <w:uiPriority w:val="99"/>
    <w:unhideWhenUsed/>
    <w:rsid w:val="0039387A"/>
    <w:pPr>
      <w:spacing w:line="240" w:lineRule="auto"/>
    </w:pPr>
    <w:rPr>
      <w:sz w:val="20"/>
      <w:szCs w:val="20"/>
    </w:rPr>
  </w:style>
  <w:style w:type="character" w:customStyle="1" w:styleId="CommentTextChar">
    <w:name w:val="Comment Text Char"/>
    <w:basedOn w:val="DefaultParagraphFont"/>
    <w:link w:val="CommentText"/>
    <w:uiPriority w:val="99"/>
    <w:rsid w:val="0039387A"/>
    <w:rPr>
      <w:rFonts w:eastAsiaTheme="minorEastAsia"/>
      <w:sz w:val="20"/>
      <w:szCs w:val="20"/>
    </w:rPr>
  </w:style>
  <w:style w:type="paragraph" w:styleId="ListParagraph">
    <w:name w:val="List Paragraph"/>
    <w:basedOn w:val="Normal"/>
    <w:uiPriority w:val="34"/>
    <w:qFormat/>
    <w:rsid w:val="00412D62"/>
    <w:pPr>
      <w:spacing w:after="0" w:line="240" w:lineRule="auto"/>
      <w:ind w:left="720"/>
      <w:contextualSpacing/>
    </w:pPr>
    <w:rPr>
      <w:rFonts w:eastAsiaTheme="minorHAnsi"/>
      <w:sz w:val="24"/>
      <w:szCs w:val="24"/>
    </w:rPr>
  </w:style>
  <w:style w:type="paragraph" w:styleId="Revision">
    <w:name w:val="Revision"/>
    <w:hidden/>
    <w:uiPriority w:val="99"/>
    <w:semiHidden/>
    <w:rsid w:val="00F7071A"/>
    <w:pPr>
      <w:spacing w:after="0" w:line="240" w:lineRule="auto"/>
    </w:pPr>
    <w:rPr>
      <w:rFonts w:eastAsiaTheme="minorEastAsia"/>
    </w:rPr>
  </w:style>
  <w:style w:type="paragraph" w:styleId="CommentSubject">
    <w:name w:val="annotation subject"/>
    <w:basedOn w:val="CommentText"/>
    <w:next w:val="CommentText"/>
    <w:link w:val="CommentSubjectChar"/>
    <w:uiPriority w:val="99"/>
    <w:semiHidden/>
    <w:unhideWhenUsed/>
    <w:rsid w:val="00647255"/>
    <w:rPr>
      <w:b/>
      <w:bCs/>
    </w:rPr>
  </w:style>
  <w:style w:type="character" w:customStyle="1" w:styleId="CommentSubjectChar">
    <w:name w:val="Comment Subject Char"/>
    <w:basedOn w:val="CommentTextChar"/>
    <w:link w:val="CommentSubject"/>
    <w:uiPriority w:val="99"/>
    <w:semiHidden/>
    <w:rsid w:val="00647255"/>
    <w:rPr>
      <w:rFonts w:eastAsiaTheme="minorEastAsia"/>
      <w:b/>
      <w:bCs/>
      <w:sz w:val="20"/>
      <w:szCs w:val="20"/>
    </w:rPr>
  </w:style>
  <w:style w:type="paragraph" w:customStyle="1" w:styleId="pf0">
    <w:name w:val="pf0"/>
    <w:basedOn w:val="Normal"/>
    <w:rsid w:val="00114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1143B3"/>
    <w:rPr>
      <w:rFonts w:ascii="Segoe UI" w:hAnsi="Segoe UI" w:cs="Segoe UI" w:hint="default"/>
      <w:sz w:val="18"/>
      <w:szCs w:val="18"/>
    </w:rPr>
  </w:style>
  <w:style w:type="character" w:customStyle="1" w:styleId="ui-provider">
    <w:name w:val="ui-provider"/>
    <w:basedOn w:val="DefaultParagraphFont"/>
    <w:rsid w:val="00645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6797">
      <w:bodyDiv w:val="1"/>
      <w:marLeft w:val="0"/>
      <w:marRight w:val="0"/>
      <w:marTop w:val="0"/>
      <w:marBottom w:val="0"/>
      <w:divBdr>
        <w:top w:val="none" w:sz="0" w:space="0" w:color="auto"/>
        <w:left w:val="none" w:sz="0" w:space="0" w:color="auto"/>
        <w:bottom w:val="none" w:sz="0" w:space="0" w:color="auto"/>
        <w:right w:val="none" w:sz="0" w:space="0" w:color="auto"/>
      </w:divBdr>
    </w:div>
    <w:div w:id="473455070">
      <w:bodyDiv w:val="1"/>
      <w:marLeft w:val="0"/>
      <w:marRight w:val="0"/>
      <w:marTop w:val="0"/>
      <w:marBottom w:val="0"/>
      <w:divBdr>
        <w:top w:val="none" w:sz="0" w:space="0" w:color="auto"/>
        <w:left w:val="none" w:sz="0" w:space="0" w:color="auto"/>
        <w:bottom w:val="none" w:sz="0" w:space="0" w:color="auto"/>
        <w:right w:val="none" w:sz="0" w:space="0" w:color="auto"/>
      </w:divBdr>
    </w:div>
    <w:div w:id="620189678">
      <w:bodyDiv w:val="1"/>
      <w:marLeft w:val="0"/>
      <w:marRight w:val="0"/>
      <w:marTop w:val="0"/>
      <w:marBottom w:val="0"/>
      <w:divBdr>
        <w:top w:val="none" w:sz="0" w:space="0" w:color="auto"/>
        <w:left w:val="none" w:sz="0" w:space="0" w:color="auto"/>
        <w:bottom w:val="none" w:sz="0" w:space="0" w:color="auto"/>
        <w:right w:val="none" w:sz="0" w:space="0" w:color="auto"/>
      </w:divBdr>
    </w:div>
    <w:div w:id="689331949">
      <w:bodyDiv w:val="1"/>
      <w:marLeft w:val="0"/>
      <w:marRight w:val="0"/>
      <w:marTop w:val="0"/>
      <w:marBottom w:val="0"/>
      <w:divBdr>
        <w:top w:val="none" w:sz="0" w:space="0" w:color="auto"/>
        <w:left w:val="none" w:sz="0" w:space="0" w:color="auto"/>
        <w:bottom w:val="none" w:sz="0" w:space="0" w:color="auto"/>
        <w:right w:val="none" w:sz="0" w:space="0" w:color="auto"/>
      </w:divBdr>
    </w:div>
    <w:div w:id="881675962">
      <w:bodyDiv w:val="1"/>
      <w:marLeft w:val="0"/>
      <w:marRight w:val="0"/>
      <w:marTop w:val="0"/>
      <w:marBottom w:val="0"/>
      <w:divBdr>
        <w:top w:val="none" w:sz="0" w:space="0" w:color="auto"/>
        <w:left w:val="none" w:sz="0" w:space="0" w:color="auto"/>
        <w:bottom w:val="none" w:sz="0" w:space="0" w:color="auto"/>
        <w:right w:val="none" w:sz="0" w:space="0" w:color="auto"/>
      </w:divBdr>
    </w:div>
    <w:div w:id="1231231919">
      <w:bodyDiv w:val="1"/>
      <w:marLeft w:val="0"/>
      <w:marRight w:val="0"/>
      <w:marTop w:val="0"/>
      <w:marBottom w:val="0"/>
      <w:divBdr>
        <w:top w:val="none" w:sz="0" w:space="0" w:color="auto"/>
        <w:left w:val="none" w:sz="0" w:space="0" w:color="auto"/>
        <w:bottom w:val="none" w:sz="0" w:space="0" w:color="auto"/>
        <w:right w:val="none" w:sz="0" w:space="0" w:color="auto"/>
      </w:divBdr>
    </w:div>
    <w:div w:id="1306661772">
      <w:bodyDiv w:val="1"/>
      <w:marLeft w:val="0"/>
      <w:marRight w:val="0"/>
      <w:marTop w:val="0"/>
      <w:marBottom w:val="0"/>
      <w:divBdr>
        <w:top w:val="none" w:sz="0" w:space="0" w:color="auto"/>
        <w:left w:val="none" w:sz="0" w:space="0" w:color="auto"/>
        <w:bottom w:val="none" w:sz="0" w:space="0" w:color="auto"/>
        <w:right w:val="none" w:sz="0" w:space="0" w:color="auto"/>
      </w:divBdr>
    </w:div>
    <w:div w:id="1380592681">
      <w:bodyDiv w:val="1"/>
      <w:marLeft w:val="0"/>
      <w:marRight w:val="0"/>
      <w:marTop w:val="0"/>
      <w:marBottom w:val="0"/>
      <w:divBdr>
        <w:top w:val="none" w:sz="0" w:space="0" w:color="auto"/>
        <w:left w:val="none" w:sz="0" w:space="0" w:color="auto"/>
        <w:bottom w:val="none" w:sz="0" w:space="0" w:color="auto"/>
        <w:right w:val="none" w:sz="0" w:space="0" w:color="auto"/>
      </w:divBdr>
    </w:div>
    <w:div w:id="1565876134">
      <w:bodyDiv w:val="1"/>
      <w:marLeft w:val="0"/>
      <w:marRight w:val="0"/>
      <w:marTop w:val="0"/>
      <w:marBottom w:val="0"/>
      <w:divBdr>
        <w:top w:val="none" w:sz="0" w:space="0" w:color="auto"/>
        <w:left w:val="none" w:sz="0" w:space="0" w:color="auto"/>
        <w:bottom w:val="none" w:sz="0" w:space="0" w:color="auto"/>
        <w:right w:val="none" w:sz="0" w:space="0" w:color="auto"/>
      </w:divBdr>
    </w:div>
    <w:div w:id="1672948345">
      <w:bodyDiv w:val="1"/>
      <w:marLeft w:val="0"/>
      <w:marRight w:val="0"/>
      <w:marTop w:val="0"/>
      <w:marBottom w:val="0"/>
      <w:divBdr>
        <w:top w:val="none" w:sz="0" w:space="0" w:color="auto"/>
        <w:left w:val="none" w:sz="0" w:space="0" w:color="auto"/>
        <w:bottom w:val="none" w:sz="0" w:space="0" w:color="auto"/>
        <w:right w:val="none" w:sz="0" w:space="0" w:color="auto"/>
      </w:divBdr>
    </w:div>
    <w:div w:id="1683706605">
      <w:bodyDiv w:val="1"/>
      <w:marLeft w:val="0"/>
      <w:marRight w:val="0"/>
      <w:marTop w:val="0"/>
      <w:marBottom w:val="0"/>
      <w:divBdr>
        <w:top w:val="none" w:sz="0" w:space="0" w:color="auto"/>
        <w:left w:val="none" w:sz="0" w:space="0" w:color="auto"/>
        <w:bottom w:val="none" w:sz="0" w:space="0" w:color="auto"/>
        <w:right w:val="none" w:sz="0" w:space="0" w:color="auto"/>
      </w:divBdr>
    </w:div>
    <w:div w:id="1722287734">
      <w:bodyDiv w:val="1"/>
      <w:marLeft w:val="0"/>
      <w:marRight w:val="0"/>
      <w:marTop w:val="0"/>
      <w:marBottom w:val="0"/>
      <w:divBdr>
        <w:top w:val="none" w:sz="0" w:space="0" w:color="auto"/>
        <w:left w:val="none" w:sz="0" w:space="0" w:color="auto"/>
        <w:bottom w:val="none" w:sz="0" w:space="0" w:color="auto"/>
        <w:right w:val="none" w:sz="0" w:space="0" w:color="auto"/>
      </w:divBdr>
    </w:div>
    <w:div w:id="1756170135">
      <w:bodyDiv w:val="1"/>
      <w:marLeft w:val="0"/>
      <w:marRight w:val="0"/>
      <w:marTop w:val="0"/>
      <w:marBottom w:val="0"/>
      <w:divBdr>
        <w:top w:val="none" w:sz="0" w:space="0" w:color="auto"/>
        <w:left w:val="none" w:sz="0" w:space="0" w:color="auto"/>
        <w:bottom w:val="none" w:sz="0" w:space="0" w:color="auto"/>
        <w:right w:val="none" w:sz="0" w:space="0" w:color="auto"/>
      </w:divBdr>
    </w:div>
    <w:div w:id="1989086447">
      <w:bodyDiv w:val="1"/>
      <w:marLeft w:val="0"/>
      <w:marRight w:val="0"/>
      <w:marTop w:val="0"/>
      <w:marBottom w:val="0"/>
      <w:divBdr>
        <w:top w:val="none" w:sz="0" w:space="0" w:color="auto"/>
        <w:left w:val="none" w:sz="0" w:space="0" w:color="auto"/>
        <w:bottom w:val="none" w:sz="0" w:space="0" w:color="auto"/>
        <w:right w:val="none" w:sz="0" w:space="0" w:color="auto"/>
      </w:divBdr>
    </w:div>
    <w:div w:id="209593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7B72F-F235-4951-9E28-36CD112FE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472</Words>
  <Characters>2658</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Mijatovic Rustempasic, Slavica (CDC/DDID/NCIRD/DVD)</dc:creator>
  <cp:keywords/>
  <dc:description/>
  <cp:lastModifiedBy>Mijatovic Rustempasic, Slavica (CDC/NCIRD/DVD)</cp:lastModifiedBy>
  <cp:revision>2</cp:revision>
  <dcterms:created xsi:type="dcterms:W3CDTF">2023-12-12T13:42:00Z</dcterms:created>
  <dcterms:modified xsi:type="dcterms:W3CDTF">2023-12-12T13:42:00Z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2023-07-24T17:19:11Z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042752f0-f65d-4679-877d-061ace9f1f78</vt:lpwstr>
  </property>
  <property fmtid="{D5CDD505-2E9C-101B-9397-08002B2CF9AE}" pid="8" name="MSIP_Label_8af03ff0-41c5-4c41-b55e-fabb8fae94be_ContentBits">
    <vt:lpwstr>0</vt:lpwstr>
  </property>
  <property fmtid="{D5CDD505-2E9C-101B-9397-08002B2CF9AE}" pid="9" name="GrammarlyDocumentId">
    <vt:lpwstr>b89baade0116d8e424ce2ba1430dd83b8193947b7e40e1f84bd924a8b7be8035</vt:lpwstr>
  </property>
</Properties>
</file>