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ABAC3" w14:textId="2CE0DFC3" w:rsidR="00387328" w:rsidRDefault="00387328" w:rsidP="00F92B30">
      <w:pPr>
        <w:jc w:val="center"/>
        <w:rPr>
          <w:rFonts w:cstheme="minorHAnsi"/>
          <w:b/>
          <w:bCs/>
          <w:sz w:val="24"/>
          <w:szCs w:val="28"/>
        </w:rPr>
      </w:pPr>
      <w:r w:rsidRPr="00387328">
        <w:rPr>
          <w:rFonts w:cstheme="minorHAnsi"/>
          <w:b/>
          <w:bCs/>
          <w:sz w:val="24"/>
          <w:szCs w:val="28"/>
        </w:rPr>
        <w:t xml:space="preserve">Influenza and Tdap </w:t>
      </w:r>
      <w:r w:rsidR="006C74CE">
        <w:rPr>
          <w:rFonts w:cstheme="minorHAnsi"/>
          <w:b/>
          <w:bCs/>
          <w:sz w:val="24"/>
          <w:szCs w:val="28"/>
        </w:rPr>
        <w:t xml:space="preserve">Vaccination </w:t>
      </w:r>
      <w:r w:rsidRPr="00387328">
        <w:rPr>
          <w:rFonts w:cstheme="minorHAnsi"/>
          <w:b/>
          <w:bCs/>
          <w:sz w:val="24"/>
          <w:szCs w:val="28"/>
        </w:rPr>
        <w:t>Coverage among Pregnan</w:t>
      </w:r>
      <w:r w:rsidR="00564128">
        <w:rPr>
          <w:rFonts w:cstheme="minorHAnsi"/>
          <w:b/>
          <w:bCs/>
          <w:sz w:val="24"/>
          <w:szCs w:val="28"/>
        </w:rPr>
        <w:t>t</w:t>
      </w:r>
      <w:r w:rsidRPr="00387328">
        <w:rPr>
          <w:rFonts w:cstheme="minorHAnsi"/>
          <w:b/>
          <w:bCs/>
          <w:sz w:val="24"/>
          <w:szCs w:val="28"/>
        </w:rPr>
        <w:t xml:space="preserve"> Women in the PREVAIL Cohort </w:t>
      </w:r>
    </w:p>
    <w:p w14:paraId="18D1757F" w14:textId="0D7B8A0D" w:rsidR="00564128" w:rsidRPr="00564C1B" w:rsidRDefault="00564128" w:rsidP="00564128">
      <w:pPr>
        <w:jc w:val="center"/>
        <w:rPr>
          <w:rFonts w:cstheme="minorHAnsi"/>
          <w:bCs/>
          <w:sz w:val="20"/>
          <w:szCs w:val="28"/>
        </w:rPr>
      </w:pPr>
      <w:r w:rsidRPr="00564C1B">
        <w:rPr>
          <w:rFonts w:cstheme="minorHAnsi"/>
          <w:bCs/>
          <w:sz w:val="20"/>
          <w:szCs w:val="28"/>
        </w:rPr>
        <w:t>Elizabeth P. Schlaudecker</w:t>
      </w:r>
      <w:r w:rsidRPr="00564C1B">
        <w:rPr>
          <w:rFonts w:cstheme="minorHAnsi"/>
          <w:bCs/>
          <w:sz w:val="20"/>
          <w:szCs w:val="28"/>
          <w:vertAlign w:val="superscript"/>
        </w:rPr>
        <w:t>1,2</w:t>
      </w:r>
      <w:r w:rsidRPr="00564C1B">
        <w:rPr>
          <w:rFonts w:cstheme="minorHAnsi"/>
          <w:bCs/>
          <w:sz w:val="20"/>
          <w:szCs w:val="28"/>
        </w:rPr>
        <w:t xml:space="preserve">, </w:t>
      </w:r>
      <w:r w:rsidR="00C87355" w:rsidRPr="00564C1B">
        <w:rPr>
          <w:rFonts w:cstheme="minorHAnsi"/>
          <w:bCs/>
          <w:sz w:val="20"/>
          <w:szCs w:val="28"/>
        </w:rPr>
        <w:t>Shannon Conrey</w:t>
      </w:r>
      <w:r w:rsidR="00695F90" w:rsidRPr="00564C1B">
        <w:rPr>
          <w:rFonts w:cstheme="minorHAnsi"/>
          <w:bCs/>
          <w:sz w:val="20"/>
          <w:szCs w:val="28"/>
          <w:vertAlign w:val="superscript"/>
        </w:rPr>
        <w:t>1,2</w:t>
      </w:r>
      <w:r w:rsidR="00C87355" w:rsidRPr="00564C1B">
        <w:rPr>
          <w:rFonts w:cstheme="minorHAnsi"/>
          <w:bCs/>
          <w:sz w:val="20"/>
          <w:szCs w:val="28"/>
        </w:rPr>
        <w:t xml:space="preserve">, </w:t>
      </w:r>
      <w:r w:rsidR="00755270" w:rsidRPr="00564C1B">
        <w:rPr>
          <w:rFonts w:cstheme="minorHAnsi"/>
          <w:bCs/>
          <w:sz w:val="20"/>
          <w:szCs w:val="28"/>
        </w:rPr>
        <w:t>Brady Gelvin</w:t>
      </w:r>
      <w:r w:rsidR="00755270" w:rsidRPr="00564C1B">
        <w:rPr>
          <w:rFonts w:cstheme="minorHAnsi"/>
          <w:bCs/>
          <w:sz w:val="20"/>
          <w:szCs w:val="28"/>
          <w:vertAlign w:val="superscript"/>
        </w:rPr>
        <w:t>2</w:t>
      </w:r>
      <w:r w:rsidR="00755270" w:rsidRPr="00564C1B">
        <w:rPr>
          <w:rFonts w:cstheme="minorHAnsi"/>
          <w:bCs/>
          <w:sz w:val="20"/>
          <w:szCs w:val="28"/>
        </w:rPr>
        <w:t xml:space="preserve">, </w:t>
      </w:r>
      <w:r w:rsidR="00C87355" w:rsidRPr="00564C1B">
        <w:rPr>
          <w:rFonts w:cstheme="minorHAnsi"/>
          <w:bCs/>
          <w:sz w:val="20"/>
          <w:szCs w:val="28"/>
        </w:rPr>
        <w:t>Allison R. Cline</w:t>
      </w:r>
      <w:r w:rsidR="00BD4712" w:rsidRPr="00564C1B">
        <w:rPr>
          <w:rFonts w:cstheme="minorHAnsi"/>
          <w:bCs/>
          <w:sz w:val="20"/>
          <w:szCs w:val="28"/>
          <w:vertAlign w:val="superscript"/>
        </w:rPr>
        <w:t>1,2</w:t>
      </w:r>
      <w:r w:rsidR="00C87355" w:rsidRPr="00564C1B">
        <w:rPr>
          <w:rFonts w:cstheme="minorHAnsi"/>
          <w:bCs/>
          <w:sz w:val="20"/>
          <w:szCs w:val="28"/>
        </w:rPr>
        <w:t xml:space="preserve">, </w:t>
      </w:r>
      <w:r w:rsidRPr="00564C1B">
        <w:rPr>
          <w:rFonts w:cstheme="minorHAnsi"/>
          <w:bCs/>
          <w:sz w:val="20"/>
          <w:szCs w:val="28"/>
        </w:rPr>
        <w:t>Emily DeFranco</w:t>
      </w:r>
      <w:r w:rsidR="00BD4712" w:rsidRPr="00564C1B">
        <w:rPr>
          <w:rFonts w:cstheme="minorHAnsi"/>
          <w:bCs/>
          <w:sz w:val="20"/>
          <w:szCs w:val="28"/>
          <w:vertAlign w:val="superscript"/>
        </w:rPr>
        <w:t>2</w:t>
      </w:r>
      <w:r w:rsidRPr="00564C1B">
        <w:rPr>
          <w:rFonts w:cstheme="minorHAnsi"/>
          <w:bCs/>
          <w:sz w:val="20"/>
          <w:szCs w:val="28"/>
        </w:rPr>
        <w:t xml:space="preserve">, </w:t>
      </w:r>
      <w:r w:rsidR="00D039B5" w:rsidRPr="00564C1B">
        <w:rPr>
          <w:rFonts w:cstheme="minorHAnsi"/>
          <w:bCs/>
          <w:sz w:val="20"/>
          <w:szCs w:val="28"/>
        </w:rPr>
        <w:t>Angela P. Campbell</w:t>
      </w:r>
      <w:r w:rsidR="00BD4712" w:rsidRPr="00564C1B">
        <w:rPr>
          <w:rFonts w:cstheme="minorHAnsi"/>
          <w:bCs/>
          <w:sz w:val="20"/>
          <w:szCs w:val="28"/>
          <w:vertAlign w:val="superscript"/>
        </w:rPr>
        <w:t>3</w:t>
      </w:r>
      <w:r w:rsidR="00D039B5" w:rsidRPr="00564C1B">
        <w:rPr>
          <w:rFonts w:cstheme="minorHAnsi"/>
          <w:bCs/>
          <w:sz w:val="20"/>
          <w:szCs w:val="28"/>
        </w:rPr>
        <w:t xml:space="preserve">, </w:t>
      </w:r>
      <w:r w:rsidR="00B9609F" w:rsidRPr="00564C1B">
        <w:rPr>
          <w:rFonts w:cstheme="minorHAnsi"/>
          <w:bCs/>
          <w:sz w:val="20"/>
          <w:szCs w:val="28"/>
        </w:rPr>
        <w:t>Alexandra M. Piasecki</w:t>
      </w:r>
      <w:r w:rsidR="00B9609F" w:rsidRPr="00564C1B">
        <w:rPr>
          <w:rFonts w:cstheme="minorHAnsi"/>
          <w:bCs/>
          <w:sz w:val="20"/>
          <w:szCs w:val="28"/>
          <w:vertAlign w:val="superscript"/>
        </w:rPr>
        <w:t>3</w:t>
      </w:r>
      <w:r w:rsidR="00B9609F" w:rsidRPr="00564C1B">
        <w:rPr>
          <w:rFonts w:cstheme="minorHAnsi"/>
          <w:bCs/>
          <w:sz w:val="20"/>
          <w:szCs w:val="28"/>
        </w:rPr>
        <w:t xml:space="preserve">, </w:t>
      </w:r>
      <w:r w:rsidR="00926E9C" w:rsidRPr="00564C1B">
        <w:rPr>
          <w:rFonts w:cstheme="minorHAnsi"/>
          <w:bCs/>
          <w:sz w:val="20"/>
          <w:szCs w:val="28"/>
        </w:rPr>
        <w:t>Lauren Beacham</w:t>
      </w:r>
      <w:r w:rsidR="00926E9C" w:rsidRPr="00564C1B">
        <w:rPr>
          <w:rFonts w:cstheme="minorHAnsi"/>
          <w:bCs/>
          <w:sz w:val="20"/>
          <w:szCs w:val="28"/>
          <w:vertAlign w:val="superscript"/>
        </w:rPr>
        <w:t>3</w:t>
      </w:r>
      <w:r w:rsidR="00926E9C" w:rsidRPr="00564C1B">
        <w:rPr>
          <w:rFonts w:cstheme="minorHAnsi"/>
          <w:bCs/>
          <w:sz w:val="20"/>
          <w:szCs w:val="28"/>
        </w:rPr>
        <w:t>, Barbara Bardenheier</w:t>
      </w:r>
      <w:r w:rsidR="00926E9C" w:rsidRPr="00564C1B">
        <w:rPr>
          <w:rFonts w:cstheme="minorHAnsi"/>
          <w:bCs/>
          <w:sz w:val="20"/>
          <w:szCs w:val="28"/>
          <w:vertAlign w:val="superscript"/>
        </w:rPr>
        <w:t>3</w:t>
      </w:r>
      <w:r w:rsidR="00926E9C" w:rsidRPr="00564C1B">
        <w:rPr>
          <w:rFonts w:cstheme="minorHAnsi"/>
          <w:bCs/>
          <w:sz w:val="20"/>
          <w:szCs w:val="28"/>
        </w:rPr>
        <w:t xml:space="preserve">, </w:t>
      </w:r>
      <w:r w:rsidRPr="00564C1B">
        <w:rPr>
          <w:rFonts w:cstheme="minorHAnsi"/>
          <w:bCs/>
          <w:sz w:val="20"/>
          <w:szCs w:val="28"/>
        </w:rPr>
        <w:t>Daniel C. Payne</w:t>
      </w:r>
      <w:r w:rsidR="00BD4712" w:rsidRPr="00564C1B">
        <w:rPr>
          <w:rFonts w:cstheme="minorHAnsi"/>
          <w:bCs/>
          <w:sz w:val="20"/>
          <w:szCs w:val="28"/>
          <w:vertAlign w:val="superscript"/>
        </w:rPr>
        <w:t>3</w:t>
      </w:r>
      <w:r w:rsidRPr="00564C1B">
        <w:rPr>
          <w:rFonts w:cstheme="minorHAnsi"/>
          <w:bCs/>
          <w:sz w:val="20"/>
          <w:szCs w:val="28"/>
        </w:rPr>
        <w:t>, Ardythe L. Morrow</w:t>
      </w:r>
      <w:r w:rsidR="00BD4712" w:rsidRPr="00564C1B">
        <w:rPr>
          <w:rFonts w:cstheme="minorHAnsi"/>
          <w:bCs/>
          <w:sz w:val="20"/>
          <w:szCs w:val="28"/>
          <w:vertAlign w:val="superscript"/>
        </w:rPr>
        <w:t>1,2</w:t>
      </w:r>
      <w:r w:rsidRPr="00564C1B">
        <w:rPr>
          <w:rFonts w:cstheme="minorHAnsi"/>
          <w:bCs/>
          <w:sz w:val="20"/>
          <w:szCs w:val="28"/>
        </w:rPr>
        <w:t>, Mary Allen Staat</w:t>
      </w:r>
      <w:r w:rsidRPr="00564C1B">
        <w:rPr>
          <w:rFonts w:cstheme="minorHAnsi"/>
          <w:bCs/>
          <w:sz w:val="20"/>
          <w:szCs w:val="28"/>
          <w:vertAlign w:val="superscript"/>
        </w:rPr>
        <w:t>1,2</w:t>
      </w:r>
    </w:p>
    <w:p w14:paraId="7CF1D889" w14:textId="1A7A7630" w:rsidR="00564128" w:rsidRPr="00564C1B" w:rsidRDefault="00755270" w:rsidP="00AF38FC">
      <w:pPr>
        <w:spacing w:line="240" w:lineRule="auto"/>
        <w:jc w:val="center"/>
        <w:rPr>
          <w:rFonts w:cstheme="minorHAnsi"/>
          <w:bCs/>
          <w:sz w:val="20"/>
          <w:szCs w:val="28"/>
        </w:rPr>
      </w:pPr>
      <w:r w:rsidRPr="00564C1B">
        <w:rPr>
          <w:rFonts w:cstheme="minorHAnsi"/>
          <w:bCs/>
          <w:sz w:val="20"/>
          <w:szCs w:val="28"/>
          <w:vertAlign w:val="superscript"/>
        </w:rPr>
        <w:t>1</w:t>
      </w:r>
      <w:r w:rsidRPr="00564C1B">
        <w:rPr>
          <w:rFonts w:cstheme="minorHAnsi"/>
          <w:bCs/>
          <w:sz w:val="20"/>
          <w:szCs w:val="28"/>
        </w:rPr>
        <w:t>Division of Infectious Diseases, C</w:t>
      </w:r>
      <w:r w:rsidR="00564128" w:rsidRPr="00564C1B">
        <w:rPr>
          <w:rFonts w:cstheme="minorHAnsi"/>
          <w:bCs/>
          <w:sz w:val="20"/>
          <w:szCs w:val="28"/>
        </w:rPr>
        <w:t>incinnati Children’s Hospital Medical Center, Cincinnati, OH</w:t>
      </w:r>
      <w:r w:rsidR="00564128" w:rsidRPr="00564C1B">
        <w:rPr>
          <w:rFonts w:cstheme="minorHAnsi"/>
          <w:bCs/>
          <w:sz w:val="20"/>
          <w:szCs w:val="28"/>
        </w:rPr>
        <w:br/>
      </w:r>
      <w:r w:rsidR="00564128" w:rsidRPr="00564C1B">
        <w:rPr>
          <w:rFonts w:cstheme="minorHAnsi"/>
          <w:bCs/>
          <w:sz w:val="20"/>
          <w:szCs w:val="28"/>
          <w:vertAlign w:val="superscript"/>
        </w:rPr>
        <w:t>2</w:t>
      </w:r>
      <w:r w:rsidR="00564128" w:rsidRPr="00564C1B">
        <w:rPr>
          <w:rFonts w:cstheme="minorHAnsi"/>
          <w:bCs/>
          <w:sz w:val="20"/>
          <w:szCs w:val="28"/>
        </w:rPr>
        <w:t>University of Cincinnati College of Medicine, Cincinnati, OH</w:t>
      </w:r>
      <w:r w:rsidR="00564128" w:rsidRPr="00564C1B">
        <w:rPr>
          <w:rFonts w:cstheme="minorHAnsi"/>
          <w:bCs/>
          <w:sz w:val="20"/>
          <w:szCs w:val="28"/>
        </w:rPr>
        <w:br/>
      </w:r>
      <w:r w:rsidR="00695F90" w:rsidRPr="00564C1B">
        <w:rPr>
          <w:rFonts w:cstheme="minorHAnsi"/>
          <w:bCs/>
          <w:sz w:val="20"/>
          <w:szCs w:val="28"/>
          <w:vertAlign w:val="superscript"/>
        </w:rPr>
        <w:t>3</w:t>
      </w:r>
      <w:r w:rsidR="00564128" w:rsidRPr="00564C1B">
        <w:rPr>
          <w:rFonts w:cstheme="minorHAnsi"/>
          <w:bCs/>
          <w:sz w:val="20"/>
          <w:szCs w:val="28"/>
        </w:rPr>
        <w:t>Centers for Disease Control and Prevention, Atlanta, GA</w:t>
      </w:r>
    </w:p>
    <w:p w14:paraId="2175E625" w14:textId="77777777" w:rsidR="002846C4" w:rsidRDefault="006B25C4" w:rsidP="006B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b/>
          <w:bCs/>
        </w:rPr>
      </w:pPr>
      <w:r w:rsidRPr="00C47B0E">
        <w:rPr>
          <w:rFonts w:eastAsia="Times New Roman" w:cstheme="minorHAnsi"/>
          <w:b/>
          <w:bCs/>
        </w:rPr>
        <w:t>Background</w:t>
      </w:r>
      <w:r w:rsidR="00185C6E">
        <w:rPr>
          <w:rFonts w:eastAsia="Times New Roman" w:cstheme="minorHAnsi"/>
          <w:b/>
          <w:bCs/>
        </w:rPr>
        <w:t>:</w:t>
      </w:r>
      <w:r w:rsidRPr="00C47B0E">
        <w:rPr>
          <w:rFonts w:eastAsia="Times New Roman" w:cstheme="minorHAnsi"/>
          <w:b/>
          <w:bCs/>
        </w:rPr>
        <w:t xml:space="preserve"> </w:t>
      </w:r>
    </w:p>
    <w:p w14:paraId="2175E626" w14:textId="04A32B0C" w:rsidR="00185C6E" w:rsidRDefault="00DF603E" w:rsidP="0018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>
        <w:t>The ACIP recommends influenza and Tdap vaccin</w:t>
      </w:r>
      <w:r w:rsidR="005A16B6">
        <w:t>ation</w:t>
      </w:r>
      <w:r>
        <w:t xml:space="preserve"> during pregnancy to </w:t>
      </w:r>
      <w:r w:rsidR="005B66AC" w:rsidRPr="005B66AC">
        <w:t>reduce the risk of influenza and pertussis in the mother and her infant</w:t>
      </w:r>
      <w:r w:rsidR="00562C97">
        <w:t xml:space="preserve">. </w:t>
      </w:r>
      <w:r w:rsidR="005B66AC">
        <w:t xml:space="preserve">We assessed influenza and Tdap </w:t>
      </w:r>
      <w:r w:rsidR="005D1570">
        <w:t>vaccination</w:t>
      </w:r>
      <w:r w:rsidR="005B66AC">
        <w:t xml:space="preserve"> </w:t>
      </w:r>
      <w:r w:rsidR="00E72CE9">
        <w:t xml:space="preserve">coverage </w:t>
      </w:r>
      <w:r w:rsidR="005A16B6">
        <w:t>and</w:t>
      </w:r>
      <w:r w:rsidR="005B66AC">
        <w:t xml:space="preserve"> </w:t>
      </w:r>
      <w:r w:rsidR="00AF38FC">
        <w:t xml:space="preserve">associated </w:t>
      </w:r>
      <w:r w:rsidR="005B66AC">
        <w:t xml:space="preserve">factors among pregnant women enrolled in </w:t>
      </w:r>
      <w:r w:rsidR="005B66AC" w:rsidRPr="005B66AC">
        <w:t xml:space="preserve">PREVAIL, a prospective birth cohort study </w:t>
      </w:r>
      <w:r w:rsidR="005B66AC">
        <w:t xml:space="preserve">in Cincinnati, OH. We assessed </w:t>
      </w:r>
      <w:r w:rsidR="00DC3755">
        <w:t>sensitivity and specificity</w:t>
      </w:r>
      <w:r w:rsidR="005B66AC" w:rsidRPr="005B66AC">
        <w:t xml:space="preserve"> of self</w:t>
      </w:r>
      <w:r w:rsidR="00B21B74">
        <w:t xml:space="preserve"> </w:t>
      </w:r>
      <w:r w:rsidR="005B66AC" w:rsidRPr="005B66AC">
        <w:t>report for</w:t>
      </w:r>
      <w:r w:rsidR="005B66AC">
        <w:t xml:space="preserve"> both vaccines</w:t>
      </w:r>
      <w:r w:rsidR="00ED3E44">
        <w:t xml:space="preserve"> against </w:t>
      </w:r>
      <w:r w:rsidR="00543453" w:rsidRPr="00543453">
        <w:t>state registry, maternal healthcare provider, and work-place</w:t>
      </w:r>
      <w:r w:rsidR="00ED3E44">
        <w:t xml:space="preserve"> records</w:t>
      </w:r>
      <w:r w:rsidR="005B66AC">
        <w:t>.</w:t>
      </w:r>
    </w:p>
    <w:p w14:paraId="2175E627" w14:textId="77777777" w:rsidR="00185C6E" w:rsidRPr="00185C6E" w:rsidRDefault="00185C6E" w:rsidP="0018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</w:rPr>
      </w:pPr>
      <w:r w:rsidRPr="00185C6E">
        <w:rPr>
          <w:b/>
        </w:rPr>
        <w:t xml:space="preserve">Method: </w:t>
      </w:r>
    </w:p>
    <w:p w14:paraId="2175E628" w14:textId="75BD0B28" w:rsidR="00185C6E" w:rsidRDefault="00185C6E" w:rsidP="0018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>
        <w:t xml:space="preserve">We enrolled </w:t>
      </w:r>
      <w:r w:rsidR="006C74CE">
        <w:t xml:space="preserve">and interviewed </w:t>
      </w:r>
      <w:r w:rsidR="00D84761">
        <w:t>265 pregnant women</w:t>
      </w:r>
      <w:r w:rsidR="006C74CE">
        <w:t xml:space="preserve"> regarding self-reported</w:t>
      </w:r>
      <w:r w:rsidR="00D84761">
        <w:t xml:space="preserve"> </w:t>
      </w:r>
      <w:r w:rsidR="00D170C5">
        <w:t xml:space="preserve">receipt of </w:t>
      </w:r>
      <w:r w:rsidR="00D84761">
        <w:t xml:space="preserve">influenza and Tdap </w:t>
      </w:r>
      <w:r w:rsidR="006C74CE">
        <w:t xml:space="preserve">vaccines, and </w:t>
      </w:r>
      <w:r w:rsidR="005312C7">
        <w:t>obtained vaccine records</w:t>
      </w:r>
      <w:r w:rsidR="00F4378C">
        <w:t xml:space="preserve"> from</w:t>
      </w:r>
      <w:r w:rsidR="006C74CE">
        <w:t xml:space="preserve"> </w:t>
      </w:r>
      <w:r w:rsidR="00D84761">
        <w:t xml:space="preserve">registry, </w:t>
      </w:r>
      <w:r w:rsidR="004340B0">
        <w:t>electronic medical record</w:t>
      </w:r>
      <w:r w:rsidR="00D84761">
        <w:t xml:space="preserve">, </w:t>
      </w:r>
      <w:r w:rsidR="008F654C">
        <w:t>provider</w:t>
      </w:r>
      <w:r w:rsidR="00D84761">
        <w:t xml:space="preserve">, employer, or pharmacy. </w:t>
      </w:r>
      <w:r w:rsidR="0073692A">
        <w:t xml:space="preserve"> </w:t>
      </w:r>
      <w:r w:rsidR="00D84761">
        <w:t xml:space="preserve">We grouped subjects by </w:t>
      </w:r>
      <w:r w:rsidR="00924BDC">
        <w:t>documented vaccination</w:t>
      </w:r>
      <w:r w:rsidR="0077332B">
        <w:t xml:space="preserve"> status</w:t>
      </w:r>
      <w:r w:rsidR="00D84761">
        <w:t xml:space="preserve"> </w:t>
      </w:r>
      <w:r w:rsidR="00562C97">
        <w:t>and analyzed demographic variables and vaccine attitudes regarding efficacy, safety and hesitancy</w:t>
      </w:r>
      <w:r w:rsidR="005A16B6">
        <w:t xml:space="preserve"> </w:t>
      </w:r>
      <w:r w:rsidR="002760BC">
        <w:t>using</w:t>
      </w:r>
      <w:r w:rsidR="00487953">
        <w:t xml:space="preserve"> unadjusted</w:t>
      </w:r>
      <w:r w:rsidR="002760BC">
        <w:t xml:space="preserve"> Fisher’s exact tests</w:t>
      </w:r>
      <w:r w:rsidR="00562C97">
        <w:t>. We analyzed sensitivity and specificity of maternal recall.</w:t>
      </w:r>
    </w:p>
    <w:p w14:paraId="2175E629" w14:textId="77777777" w:rsidR="00185C6E" w:rsidRPr="00185C6E" w:rsidRDefault="00185C6E" w:rsidP="0018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</w:rPr>
      </w:pPr>
      <w:r w:rsidRPr="00185C6E">
        <w:rPr>
          <w:b/>
        </w:rPr>
        <w:t xml:space="preserve">Result: </w:t>
      </w:r>
    </w:p>
    <w:p w14:paraId="795603DE" w14:textId="501E6857" w:rsidR="00562C97" w:rsidRDefault="00C96C49" w:rsidP="0056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>
        <w:t>We identified documentation of influenza and Tdap vaccine receipt during pregnancy in</w:t>
      </w:r>
      <w:r w:rsidR="00562C97">
        <w:t xml:space="preserve"> </w:t>
      </w:r>
      <w:r w:rsidR="00957967">
        <w:t>172/265</w:t>
      </w:r>
      <w:r>
        <w:t xml:space="preserve"> (</w:t>
      </w:r>
      <w:r w:rsidR="00562C97">
        <w:t xml:space="preserve">64.9%) </w:t>
      </w:r>
      <w:r>
        <w:t xml:space="preserve">and </w:t>
      </w:r>
      <w:r w:rsidR="00957967">
        <w:t>238/265</w:t>
      </w:r>
      <w:r>
        <w:t xml:space="preserve"> (</w:t>
      </w:r>
      <w:r w:rsidR="00562C97">
        <w:t xml:space="preserve">89.8%) </w:t>
      </w:r>
      <w:r>
        <w:t>of women, respectively</w:t>
      </w:r>
      <w:r w:rsidR="006D644F">
        <w:t xml:space="preserve"> (Fig</w:t>
      </w:r>
      <w:r w:rsidR="006735DD">
        <w:t>ure</w:t>
      </w:r>
      <w:r w:rsidR="006D644F">
        <w:t xml:space="preserve"> 1)</w:t>
      </w:r>
      <w:r>
        <w:t xml:space="preserve">; by </w:t>
      </w:r>
      <w:r w:rsidR="00DB698F">
        <w:t>self</w:t>
      </w:r>
      <w:r w:rsidR="00261804">
        <w:t xml:space="preserve"> </w:t>
      </w:r>
      <w:r w:rsidR="00DB698F">
        <w:t>report</w:t>
      </w:r>
      <w:r>
        <w:t>, 177/265 (</w:t>
      </w:r>
      <w:r w:rsidR="005A16B6">
        <w:t>66.8%</w:t>
      </w:r>
      <w:r>
        <w:t>)</w:t>
      </w:r>
      <w:r w:rsidR="005A16B6">
        <w:t xml:space="preserve"> </w:t>
      </w:r>
      <w:r>
        <w:t xml:space="preserve">reported receiving influenza and </w:t>
      </w:r>
      <w:r w:rsidR="002760BC">
        <w:t>221</w:t>
      </w:r>
      <w:r>
        <w:t>/265 (</w:t>
      </w:r>
      <w:r w:rsidR="002760BC">
        <w:t>83.4</w:t>
      </w:r>
      <w:r>
        <w:t>%) Tdap vaccine</w:t>
      </w:r>
      <w:r w:rsidR="00562C97">
        <w:t>. The two most common primary reasons cited for receiving influenza vaccine were “to protect my baby” (36.7%) and “to protect myself” (26%</w:t>
      </w:r>
      <w:r w:rsidR="006D644F">
        <w:t>; Fig</w:t>
      </w:r>
      <w:r w:rsidR="006735DD">
        <w:t>ure</w:t>
      </w:r>
      <w:r w:rsidR="006D644F">
        <w:t xml:space="preserve"> 2)</w:t>
      </w:r>
      <w:r w:rsidR="00562C97">
        <w:t xml:space="preserve">. </w:t>
      </w:r>
      <w:r w:rsidR="005A16B6">
        <w:t>P</w:t>
      </w:r>
      <w:r w:rsidR="00562C97">
        <w:t>regnant women were more likely to get Tdap vaccine if a health care worker recommended it</w:t>
      </w:r>
      <w:r w:rsidR="00957967">
        <w:t xml:space="preserve"> (OR 5.4)</w:t>
      </w:r>
      <w:r w:rsidR="00562C97">
        <w:t xml:space="preserve">​. Subjects were more likely to get influenza vaccine if they believed it was effective in preventing influenza in themselves (OR 9.0) or their babies (OR 8.1)​. </w:t>
      </w:r>
      <w:r w:rsidR="00165469" w:rsidRPr="00165469">
        <w:t xml:space="preserve">While positive recall had a high concordance (95.2% </w:t>
      </w:r>
      <w:r w:rsidR="00165469">
        <w:t>and</w:t>
      </w:r>
      <w:r w:rsidR="00165469" w:rsidRPr="00165469">
        <w:t xml:space="preserve"> 93.4% for influenza and Tdap, resp</w:t>
      </w:r>
      <w:r w:rsidR="00165469">
        <w:t>ectively</w:t>
      </w:r>
      <w:r w:rsidR="00165469" w:rsidRPr="00165469">
        <w:t>), 12.5% and 32.1% of mothers incorrectly recalled not receiving an influenza or Tdap vaccine, respectively, that was</w:t>
      </w:r>
      <w:r w:rsidR="004B27A8">
        <w:t xml:space="preserve"> documented as received in the </w:t>
      </w:r>
      <w:r w:rsidR="00165469" w:rsidRPr="00165469">
        <w:t>records</w:t>
      </w:r>
      <w:r>
        <w:t xml:space="preserve"> </w:t>
      </w:r>
      <w:r w:rsidR="004B27A8">
        <w:t>(</w:t>
      </w:r>
      <w:r>
        <w:t>Fig</w:t>
      </w:r>
      <w:r w:rsidR="006735DD">
        <w:t>ure</w:t>
      </w:r>
      <w:r>
        <w:t xml:space="preserve"> 3)</w:t>
      </w:r>
      <w:r w:rsidR="00C53746">
        <w:t>.</w:t>
      </w:r>
    </w:p>
    <w:p w14:paraId="2175E62B" w14:textId="03373E19" w:rsidR="00185C6E" w:rsidRPr="00562C97" w:rsidRDefault="00185C6E" w:rsidP="0056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 w:rsidRPr="00185C6E">
        <w:rPr>
          <w:b/>
        </w:rPr>
        <w:t xml:space="preserve">Conclusion: </w:t>
      </w:r>
    </w:p>
    <w:p w14:paraId="2175E62C" w14:textId="7D0D0AC9" w:rsidR="0009083F" w:rsidRDefault="00212A35" w:rsidP="0056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 w:rsidRPr="00212A35">
        <w:t xml:space="preserve">We found high concordance between maternal recall and verification for both influenza and Tdap vaccines. </w:t>
      </w:r>
      <w:r w:rsidR="00BC52DD">
        <w:t>In this single-site cohort of 2</w:t>
      </w:r>
      <w:r w:rsidR="001D2115">
        <w:t>65</w:t>
      </w:r>
      <w:r w:rsidR="00BC52DD">
        <w:t xml:space="preserve"> women,</w:t>
      </w:r>
      <w:r w:rsidR="001E2288">
        <w:t xml:space="preserve"> </w:t>
      </w:r>
      <w:r w:rsidRPr="00212A35">
        <w:t>self</w:t>
      </w:r>
      <w:r w:rsidR="00261804">
        <w:t xml:space="preserve"> </w:t>
      </w:r>
      <w:r w:rsidRPr="00212A35">
        <w:t xml:space="preserve">report </w:t>
      </w:r>
      <w:r w:rsidR="00BC52DD">
        <w:t>was</w:t>
      </w:r>
      <w:r w:rsidR="00BC52DD" w:rsidRPr="00212A35">
        <w:t xml:space="preserve"> </w:t>
      </w:r>
      <w:r w:rsidRPr="00212A35">
        <w:t>a reliable measure of vaccina</w:t>
      </w:r>
      <w:r w:rsidR="000E31F2">
        <w:t xml:space="preserve">tion status among pregnant women. </w:t>
      </w:r>
      <w:r w:rsidR="00E72CE9">
        <w:t>Provider c</w:t>
      </w:r>
      <w:r w:rsidR="000E31F2">
        <w:t>ommunication to pregnant women regarding effectiveness of influenza and Tdap vaccinations for themselves and their infants may lead to higher maternal vaccination rates</w:t>
      </w:r>
      <w:r w:rsidR="002760BC">
        <w:t>.</w:t>
      </w:r>
      <w:r w:rsidR="00D5303B">
        <w:t xml:space="preserve"> </w:t>
      </w:r>
    </w:p>
    <w:p w14:paraId="2175E681" w14:textId="5C935D9A" w:rsidR="0073692A" w:rsidRDefault="004B2F14" w:rsidP="001230E3">
      <w:pPr>
        <w:pStyle w:val="NoSpacing"/>
      </w:pPr>
      <w:r w:rsidRPr="009A1DBE">
        <w:rPr>
          <w:b/>
        </w:rPr>
        <w:lastRenderedPageBreak/>
        <w:t>Abbreviations:</w:t>
      </w:r>
      <w:r w:rsidRPr="009A1DBE">
        <w:t xml:space="preserve"> </w:t>
      </w:r>
      <w:r w:rsidR="007F5F42">
        <w:t xml:space="preserve">ACIP, Advisory Committee on Immunization Practices; </w:t>
      </w:r>
      <w:r w:rsidR="00562C97">
        <w:t xml:space="preserve">Tdap, tetanus, diphtheria, and pertussis; </w:t>
      </w:r>
      <w:r w:rsidR="007F5F42">
        <w:t xml:space="preserve">PREVAIL, </w:t>
      </w:r>
      <w:r w:rsidR="007F5F42" w:rsidRPr="007F5F42">
        <w:t>Pediatric Respiratory &amp; Enteric Virus Acquisition and Immunogenesis Longitudinal Cohort</w:t>
      </w:r>
      <w:r w:rsidR="007F5F42">
        <w:t>; OH, Ohio</w:t>
      </w:r>
    </w:p>
    <w:p w14:paraId="46163245" w14:textId="77777777" w:rsidR="00931F66" w:rsidRDefault="00931F66" w:rsidP="001230E3">
      <w:pPr>
        <w:pStyle w:val="NoSpacing"/>
      </w:pPr>
      <w:bookmarkStart w:id="0" w:name="_GoBack"/>
      <w:bookmarkEnd w:id="0"/>
    </w:p>
    <w:p w14:paraId="2175E682" w14:textId="28DE2BFF" w:rsidR="0073692A" w:rsidRDefault="00C07A06" w:rsidP="001230E3">
      <w:pPr>
        <w:pStyle w:val="NoSpacing"/>
      </w:pPr>
      <w:r>
        <w:t xml:space="preserve">Characters: </w:t>
      </w:r>
      <w:r w:rsidR="002B7664">
        <w:t>1</w:t>
      </w:r>
      <w:r w:rsidR="000E31F2">
        <w:t>9</w:t>
      </w:r>
      <w:r w:rsidR="006A31EE">
        <w:t>32</w:t>
      </w:r>
      <w:r w:rsidR="00574B29">
        <w:t xml:space="preserve"> (limit 1950 without spaces)</w:t>
      </w:r>
    </w:p>
    <w:p w14:paraId="464FCC42" w14:textId="77777777" w:rsidR="002078E5" w:rsidRDefault="002078E5" w:rsidP="001230E3">
      <w:pPr>
        <w:pStyle w:val="NoSpacing"/>
      </w:pPr>
    </w:p>
    <w:p w14:paraId="78C13A72" w14:textId="77777777" w:rsidR="00514A55" w:rsidRDefault="00514A55" w:rsidP="001230E3">
      <w:pPr>
        <w:pStyle w:val="NoSpacing"/>
      </w:pPr>
    </w:p>
    <w:p w14:paraId="312018E8" w14:textId="77777777" w:rsidR="00514A55" w:rsidRDefault="00514A55" w:rsidP="001230E3">
      <w:pPr>
        <w:pStyle w:val="NoSpacing"/>
      </w:pPr>
    </w:p>
    <w:p w14:paraId="7B788BF7" w14:textId="1B309064" w:rsidR="00D834D6" w:rsidRDefault="004C3394" w:rsidP="001230E3">
      <w:pPr>
        <w:pStyle w:val="NoSpacing"/>
      </w:pPr>
      <w:r>
        <w:t xml:space="preserve">Figure 1. </w:t>
      </w:r>
      <w:r w:rsidR="00D834D6">
        <w:t>Demographic</w:t>
      </w:r>
      <w:r w:rsidR="00054CEB">
        <w:t xml:space="preserve"> characteristics of the population stratified by verified vaccine receipt status</w:t>
      </w:r>
      <w:r w:rsidR="00D834D6">
        <w:t>.</w:t>
      </w:r>
    </w:p>
    <w:p w14:paraId="62DA7ED1" w14:textId="733FFB34" w:rsidR="00D834D6" w:rsidRDefault="00D834D6" w:rsidP="001230E3">
      <w:pPr>
        <w:pStyle w:val="NoSpacing"/>
      </w:pPr>
    </w:p>
    <w:tbl>
      <w:tblPr>
        <w:tblW w:w="9260" w:type="dxa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457"/>
        <w:gridCol w:w="2403"/>
        <w:gridCol w:w="609"/>
        <w:gridCol w:w="568"/>
        <w:gridCol w:w="718"/>
        <w:gridCol w:w="754"/>
        <w:gridCol w:w="490"/>
        <w:gridCol w:w="292"/>
        <w:gridCol w:w="624"/>
        <w:gridCol w:w="614"/>
        <w:gridCol w:w="731"/>
      </w:tblGrid>
      <w:tr w:rsidR="00DA1C81" w:rsidRPr="00D834D6" w14:paraId="112988E0" w14:textId="77777777" w:rsidTr="00DA1C81">
        <w:trPr>
          <w:trHeight w:val="546"/>
        </w:trPr>
        <w:tc>
          <w:tcPr>
            <w:tcW w:w="1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124D82E" w14:textId="77777777" w:rsidR="00D834D6" w:rsidRPr="00D834D6" w:rsidRDefault="00D834D6" w:rsidP="00D834D6">
            <w:pPr>
              <w:pStyle w:val="NoSpacing"/>
            </w:pPr>
            <w:r w:rsidRPr="00D834D6">
              <w:rPr>
                <w:b/>
                <w:bCs/>
              </w:rPr>
              <w:t>Group</w:t>
            </w:r>
          </w:p>
        </w:tc>
        <w:tc>
          <w:tcPr>
            <w:tcW w:w="24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D860D4C" w14:textId="77777777" w:rsidR="00D834D6" w:rsidRPr="00D834D6" w:rsidRDefault="00D834D6" w:rsidP="00D834D6">
            <w:pPr>
              <w:pStyle w:val="NoSpacing"/>
            </w:pPr>
            <w:r w:rsidRPr="00D834D6">
              <w:rPr>
                <w:b/>
                <w:bCs/>
              </w:rPr>
              <w:t>Category</w:t>
            </w:r>
          </w:p>
        </w:tc>
        <w:tc>
          <w:tcPr>
            <w:tcW w:w="117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AB92818" w14:textId="77777777" w:rsidR="00D834D6" w:rsidRPr="00D834D6" w:rsidRDefault="00D834D6" w:rsidP="00D834D6">
            <w:pPr>
              <w:pStyle w:val="NoSpacing"/>
            </w:pPr>
            <w:r w:rsidRPr="00D834D6">
              <w:rPr>
                <w:b/>
                <w:bCs/>
              </w:rPr>
              <w:t>All Enrolled</w:t>
            </w:r>
          </w:p>
        </w:tc>
        <w:tc>
          <w:tcPr>
            <w:tcW w:w="1962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C43D159" w14:textId="77777777" w:rsidR="00D834D6" w:rsidRPr="00D834D6" w:rsidRDefault="00D834D6" w:rsidP="00D834D6">
            <w:pPr>
              <w:pStyle w:val="NoSpacing"/>
            </w:pPr>
            <w:r w:rsidRPr="00D834D6">
              <w:rPr>
                <w:b/>
                <w:bCs/>
              </w:rPr>
              <w:t>Influenza vaccine verified as received</w:t>
            </w:r>
          </w:p>
        </w:tc>
        <w:tc>
          <w:tcPr>
            <w:tcW w:w="2261" w:type="dxa"/>
            <w:gridSpan w:val="4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0C318C0" w14:textId="77777777" w:rsidR="00D834D6" w:rsidRPr="00D834D6" w:rsidRDefault="00D834D6" w:rsidP="00D834D6">
            <w:pPr>
              <w:pStyle w:val="NoSpacing"/>
            </w:pPr>
            <w:r w:rsidRPr="00D834D6">
              <w:rPr>
                <w:b/>
                <w:bCs/>
              </w:rPr>
              <w:t xml:space="preserve">Tdap vaccine </w:t>
            </w:r>
          </w:p>
          <w:p w14:paraId="37995A4A" w14:textId="77777777" w:rsidR="00D834D6" w:rsidRPr="00D834D6" w:rsidRDefault="00D834D6" w:rsidP="00D834D6">
            <w:pPr>
              <w:pStyle w:val="NoSpacing"/>
            </w:pPr>
            <w:r w:rsidRPr="00D834D6">
              <w:rPr>
                <w:b/>
                <w:bCs/>
              </w:rPr>
              <w:t>verified as received</w:t>
            </w:r>
          </w:p>
        </w:tc>
      </w:tr>
      <w:tr w:rsidR="00DA1C81" w:rsidRPr="00D834D6" w14:paraId="709BEB19" w14:textId="77777777" w:rsidTr="0071793F">
        <w:trPr>
          <w:trHeight w:val="43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174B180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4CA30D9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BC0DB44" w14:textId="77777777" w:rsidR="00D834D6" w:rsidRPr="00D834D6" w:rsidRDefault="00D834D6" w:rsidP="00D834D6">
            <w:pPr>
              <w:pStyle w:val="NoSpacing"/>
            </w:pPr>
            <w:r w:rsidRPr="00D834D6">
              <w:t>n=265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0A8640C" w14:textId="77777777" w:rsidR="00D834D6" w:rsidRPr="00D834D6" w:rsidRDefault="00D834D6" w:rsidP="00D834D6">
            <w:pPr>
              <w:pStyle w:val="NoSpacing"/>
            </w:pPr>
            <w:r w:rsidRPr="00D834D6">
              <w:t>% of total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712D781" w14:textId="77777777" w:rsidR="00D834D6" w:rsidRPr="00D834D6" w:rsidRDefault="00D834D6" w:rsidP="00D834D6">
            <w:pPr>
              <w:pStyle w:val="NoSpacing"/>
            </w:pPr>
            <w:r w:rsidRPr="00D834D6">
              <w:t>n=172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8E26415" w14:textId="77777777" w:rsidR="00D834D6" w:rsidRPr="00D834D6" w:rsidRDefault="00D834D6" w:rsidP="00D834D6">
            <w:pPr>
              <w:pStyle w:val="NoSpacing"/>
            </w:pPr>
            <w:r w:rsidRPr="00D834D6">
              <w:t>% Yes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0262E00" w14:textId="50C01D9F" w:rsidR="00D834D6" w:rsidRPr="00D834D6" w:rsidRDefault="00D834D6" w:rsidP="00AB4E2A">
            <w:pPr>
              <w:pStyle w:val="NoSpacing"/>
            </w:pPr>
            <w:r w:rsidRPr="00D834D6">
              <w:rPr>
                <w:i/>
                <w:iCs/>
              </w:rPr>
              <w:t xml:space="preserve">p </w:t>
            </w:r>
            <w:r w:rsidR="00AB4E2A">
              <w:t>value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3BFB4EF" w14:textId="77777777" w:rsidR="00D834D6" w:rsidRPr="00D834D6" w:rsidRDefault="00D834D6" w:rsidP="00D834D6">
            <w:pPr>
              <w:pStyle w:val="NoSpacing"/>
            </w:pPr>
            <w:r w:rsidRPr="00D834D6">
              <w:t>n=238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C8CDCE9" w14:textId="77777777" w:rsidR="00D834D6" w:rsidRPr="00D834D6" w:rsidRDefault="00D834D6" w:rsidP="00D834D6">
            <w:pPr>
              <w:pStyle w:val="NoSpacing"/>
            </w:pPr>
            <w:r w:rsidRPr="00D834D6">
              <w:t>% Yes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303B74D" w14:textId="753D4B81" w:rsidR="00D834D6" w:rsidRPr="00D834D6" w:rsidRDefault="00D834D6" w:rsidP="00AB4E2A">
            <w:pPr>
              <w:pStyle w:val="NoSpacing"/>
            </w:pPr>
            <w:r w:rsidRPr="00D834D6">
              <w:rPr>
                <w:i/>
                <w:iCs/>
              </w:rPr>
              <w:t>p</w:t>
            </w:r>
            <w:r w:rsidRPr="00D834D6">
              <w:t xml:space="preserve"> </w:t>
            </w:r>
            <w:r w:rsidR="00AB4E2A">
              <w:t>value</w:t>
            </w:r>
          </w:p>
        </w:tc>
      </w:tr>
      <w:tr w:rsidR="00DA1C81" w:rsidRPr="00D834D6" w14:paraId="20F17A1E" w14:textId="77777777" w:rsidTr="0071793F">
        <w:trPr>
          <w:trHeight w:val="378"/>
        </w:trPr>
        <w:tc>
          <w:tcPr>
            <w:tcW w:w="1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8970E1A" w14:textId="77777777" w:rsidR="00D834D6" w:rsidRPr="00D834D6" w:rsidRDefault="00D834D6" w:rsidP="00D834D6">
            <w:pPr>
              <w:pStyle w:val="NoSpacing"/>
            </w:pPr>
            <w:r w:rsidRPr="00D834D6">
              <w:t xml:space="preserve">Age group </w:t>
            </w:r>
          </w:p>
          <w:p w14:paraId="4604C433" w14:textId="77777777" w:rsidR="00D834D6" w:rsidRPr="00D834D6" w:rsidRDefault="00D834D6" w:rsidP="00D834D6">
            <w:pPr>
              <w:pStyle w:val="NoSpacing"/>
            </w:pPr>
            <w:r w:rsidRPr="00D834D6">
              <w:t>(at baseline)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FE7C0AE" w14:textId="77777777" w:rsidR="00D834D6" w:rsidRPr="00D834D6" w:rsidRDefault="00D834D6" w:rsidP="00D834D6">
            <w:pPr>
              <w:pStyle w:val="NoSpacing"/>
            </w:pPr>
            <w:r w:rsidRPr="00D834D6">
              <w:t>18-24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8D7991F" w14:textId="77777777" w:rsidR="00D834D6" w:rsidRPr="00D834D6" w:rsidRDefault="00D834D6" w:rsidP="00D834D6">
            <w:pPr>
              <w:pStyle w:val="NoSpacing"/>
            </w:pPr>
            <w:r w:rsidRPr="00D834D6">
              <w:t>57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4219FFCC" w14:textId="2826FF17" w:rsidR="00D834D6" w:rsidRPr="00D834D6" w:rsidRDefault="00D834D6" w:rsidP="00D834D6">
            <w:pPr>
              <w:pStyle w:val="NoSpacing"/>
            </w:pPr>
            <w:r w:rsidRPr="00D834D6">
              <w:t>21.5%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A76FE29" w14:textId="77777777" w:rsidR="00D834D6" w:rsidRPr="00D834D6" w:rsidRDefault="00D834D6" w:rsidP="00D834D6">
            <w:pPr>
              <w:pStyle w:val="NoSpacing"/>
            </w:pPr>
            <w:r w:rsidRPr="00D834D6">
              <w:t>34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42016EEB" w14:textId="77777777" w:rsidR="00D834D6" w:rsidRPr="00D834D6" w:rsidRDefault="00D834D6" w:rsidP="00D834D6">
            <w:pPr>
              <w:pStyle w:val="NoSpacing"/>
            </w:pPr>
            <w:r w:rsidRPr="00D834D6">
              <w:t>59.6%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C09094F" w14:textId="77777777" w:rsidR="00D834D6" w:rsidRPr="00D834D6" w:rsidRDefault="00D834D6" w:rsidP="00D834D6">
            <w:pPr>
              <w:pStyle w:val="NoSpacing"/>
            </w:pPr>
            <w:r w:rsidRPr="00D834D6">
              <w:t>0.6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11B6F0AC" w14:textId="77777777" w:rsidR="00D834D6" w:rsidRPr="00D834D6" w:rsidRDefault="00D834D6" w:rsidP="00D834D6">
            <w:pPr>
              <w:pStyle w:val="NoSpacing"/>
            </w:pPr>
            <w:r w:rsidRPr="00D834D6">
              <w:t>53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23BA936" w14:textId="77777777" w:rsidR="00D834D6" w:rsidRPr="00D834D6" w:rsidRDefault="00D834D6" w:rsidP="00D834D6">
            <w:pPr>
              <w:pStyle w:val="NoSpacing"/>
            </w:pPr>
            <w:r w:rsidRPr="00D834D6">
              <w:t>93.0%</w:t>
            </w:r>
          </w:p>
        </w:tc>
        <w:tc>
          <w:tcPr>
            <w:tcW w:w="731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5D75555" w14:textId="77777777" w:rsidR="00D834D6" w:rsidRPr="00D834D6" w:rsidRDefault="00D834D6" w:rsidP="00D834D6">
            <w:pPr>
              <w:pStyle w:val="NoSpacing"/>
            </w:pPr>
            <w:r w:rsidRPr="00D834D6">
              <w:t>0.5</w:t>
            </w:r>
          </w:p>
        </w:tc>
      </w:tr>
      <w:tr w:rsidR="00DA1C81" w:rsidRPr="00D834D6" w14:paraId="58C758E5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6AE69B60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BE3A0D8" w14:textId="77777777" w:rsidR="00D834D6" w:rsidRPr="00D834D6" w:rsidRDefault="00D834D6" w:rsidP="00D834D6">
            <w:pPr>
              <w:pStyle w:val="NoSpacing"/>
            </w:pPr>
            <w:r w:rsidRPr="00D834D6">
              <w:t>25-34</w:t>
            </w:r>
          </w:p>
        </w:tc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69E58C2" w14:textId="77777777" w:rsidR="00D834D6" w:rsidRPr="00D834D6" w:rsidRDefault="00D834D6" w:rsidP="00D834D6">
            <w:pPr>
              <w:pStyle w:val="NoSpacing"/>
            </w:pPr>
            <w:r w:rsidRPr="00D834D6">
              <w:t>166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13BFDF99" w14:textId="4C3E4B56" w:rsidR="00D834D6" w:rsidRPr="00D834D6" w:rsidRDefault="00D834D6" w:rsidP="00D834D6">
            <w:pPr>
              <w:pStyle w:val="NoSpacing"/>
            </w:pPr>
            <w:r w:rsidRPr="00D834D6">
              <w:t>62.6%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42F1B13F" w14:textId="77777777" w:rsidR="00D834D6" w:rsidRPr="00D834D6" w:rsidRDefault="00D834D6" w:rsidP="00D834D6">
            <w:pPr>
              <w:pStyle w:val="NoSpacing"/>
            </w:pPr>
            <w:r w:rsidRPr="00D834D6">
              <w:t>109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4D298E5C" w14:textId="77777777" w:rsidR="00D834D6" w:rsidRPr="00D834D6" w:rsidRDefault="00D834D6" w:rsidP="00D834D6">
            <w:pPr>
              <w:pStyle w:val="NoSpacing"/>
            </w:pPr>
            <w:r w:rsidRPr="00D834D6">
              <w:t>65.6%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4E473C68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1DE54B95" w14:textId="77777777" w:rsidR="00D834D6" w:rsidRPr="00D834D6" w:rsidRDefault="00D834D6" w:rsidP="00D834D6">
            <w:pPr>
              <w:pStyle w:val="NoSpacing"/>
            </w:pPr>
            <w:r w:rsidRPr="00D834D6">
              <w:t>149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09158E4" w14:textId="77777777" w:rsidR="00D834D6" w:rsidRPr="00D834D6" w:rsidRDefault="00D834D6" w:rsidP="00D834D6">
            <w:pPr>
              <w:pStyle w:val="NoSpacing"/>
            </w:pPr>
            <w:r w:rsidRPr="00D834D6">
              <w:t>89.8%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0BDA6C" w14:textId="77777777" w:rsidR="00D834D6" w:rsidRPr="00D834D6" w:rsidRDefault="00D834D6" w:rsidP="00D834D6">
            <w:pPr>
              <w:pStyle w:val="NoSpacing"/>
            </w:pPr>
          </w:p>
        </w:tc>
      </w:tr>
      <w:tr w:rsidR="00DA1C81" w:rsidRPr="00D834D6" w14:paraId="79E567F5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72AA3190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63C627E" w14:textId="77777777" w:rsidR="00D834D6" w:rsidRPr="00D834D6" w:rsidRDefault="00D834D6" w:rsidP="00D834D6">
            <w:pPr>
              <w:pStyle w:val="NoSpacing"/>
            </w:pPr>
            <w:r w:rsidRPr="00D834D6">
              <w:t>35-49</w:t>
            </w:r>
          </w:p>
        </w:tc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59B34F1" w14:textId="77777777" w:rsidR="00D834D6" w:rsidRPr="00D834D6" w:rsidRDefault="00D834D6" w:rsidP="00D834D6">
            <w:pPr>
              <w:pStyle w:val="NoSpacing"/>
            </w:pPr>
            <w:r w:rsidRPr="00D834D6">
              <w:t>42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E4AF218" w14:textId="7420401E" w:rsidR="00D834D6" w:rsidRPr="00D834D6" w:rsidRDefault="00D834D6" w:rsidP="00D834D6">
            <w:pPr>
              <w:pStyle w:val="NoSpacing"/>
            </w:pPr>
            <w:r w:rsidRPr="00D834D6">
              <w:t>15.</w:t>
            </w:r>
            <w:r w:rsidR="00671B0E">
              <w:t>9</w:t>
            </w:r>
            <w:r w:rsidRPr="00D834D6">
              <w:t>%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C3655D0" w14:textId="77777777" w:rsidR="00D834D6" w:rsidRPr="00D834D6" w:rsidRDefault="00D834D6" w:rsidP="00D834D6">
            <w:pPr>
              <w:pStyle w:val="NoSpacing"/>
            </w:pPr>
            <w:r w:rsidRPr="00D834D6">
              <w:t>29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B86F743" w14:textId="77777777" w:rsidR="00D834D6" w:rsidRPr="00D834D6" w:rsidRDefault="00D834D6" w:rsidP="00D834D6">
            <w:pPr>
              <w:pStyle w:val="NoSpacing"/>
            </w:pPr>
            <w:r w:rsidRPr="00D834D6">
              <w:t>69.0%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73C891FD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0959024" w14:textId="77777777" w:rsidR="00D834D6" w:rsidRPr="00D834D6" w:rsidRDefault="00D834D6" w:rsidP="00D834D6">
            <w:pPr>
              <w:pStyle w:val="NoSpacing"/>
            </w:pPr>
            <w:r w:rsidRPr="00D834D6">
              <w:t>36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4C7B163" w14:textId="77777777" w:rsidR="00D834D6" w:rsidRPr="00D834D6" w:rsidRDefault="00D834D6" w:rsidP="00D834D6">
            <w:pPr>
              <w:pStyle w:val="NoSpacing"/>
            </w:pPr>
            <w:r w:rsidRPr="00D834D6">
              <w:t>85.7%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ECE3A0" w14:textId="77777777" w:rsidR="00D834D6" w:rsidRPr="00D834D6" w:rsidRDefault="00D834D6" w:rsidP="00D834D6">
            <w:pPr>
              <w:pStyle w:val="NoSpacing"/>
            </w:pPr>
          </w:p>
        </w:tc>
      </w:tr>
      <w:tr w:rsidR="00DA1C81" w:rsidRPr="00D834D6" w14:paraId="44CFA01E" w14:textId="77777777" w:rsidTr="0071793F">
        <w:trPr>
          <w:trHeight w:val="378"/>
        </w:trPr>
        <w:tc>
          <w:tcPr>
            <w:tcW w:w="1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0D22580" w14:textId="77777777" w:rsidR="00D834D6" w:rsidRPr="00D834D6" w:rsidRDefault="00D834D6" w:rsidP="00D834D6">
            <w:pPr>
              <w:pStyle w:val="NoSpacing"/>
            </w:pPr>
            <w:r w:rsidRPr="00D834D6">
              <w:t>Race/ethnicity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48F5974F" w14:textId="77777777" w:rsidR="00D834D6" w:rsidRPr="00D834D6" w:rsidRDefault="00D834D6" w:rsidP="00D834D6">
            <w:pPr>
              <w:pStyle w:val="NoSpacing"/>
            </w:pPr>
            <w:r w:rsidRPr="00D834D6">
              <w:t>White/non-Hispanic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10BA9CA0" w14:textId="77777777" w:rsidR="00D834D6" w:rsidRPr="00D834D6" w:rsidRDefault="00D834D6" w:rsidP="00D834D6">
            <w:pPr>
              <w:pStyle w:val="NoSpacing"/>
            </w:pPr>
            <w:r w:rsidRPr="00D834D6">
              <w:t>132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2176151" w14:textId="1448C0AD" w:rsidR="00D834D6" w:rsidRPr="00D834D6" w:rsidRDefault="00D834D6" w:rsidP="00D834D6">
            <w:pPr>
              <w:pStyle w:val="NoSpacing"/>
            </w:pPr>
            <w:r w:rsidRPr="00D834D6">
              <w:t>49.8%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35FD4D4C" w14:textId="77777777" w:rsidR="00D834D6" w:rsidRPr="00D834D6" w:rsidRDefault="00D834D6" w:rsidP="00D834D6">
            <w:pPr>
              <w:pStyle w:val="NoSpacing"/>
            </w:pPr>
            <w:r w:rsidRPr="00D834D6">
              <w:t>95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18B3387" w14:textId="77777777" w:rsidR="00D834D6" w:rsidRPr="00D834D6" w:rsidRDefault="00D834D6" w:rsidP="00D834D6">
            <w:pPr>
              <w:pStyle w:val="NoSpacing"/>
            </w:pPr>
            <w:r w:rsidRPr="00D834D6">
              <w:t>72.0%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444907E" w14:textId="77777777" w:rsidR="00D834D6" w:rsidRPr="00D834D6" w:rsidRDefault="00D834D6" w:rsidP="00D834D6">
            <w:pPr>
              <w:pStyle w:val="NoSpacing"/>
            </w:pPr>
            <w:r w:rsidRPr="00D834D6">
              <w:t>0.06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568126F" w14:textId="77777777" w:rsidR="00D834D6" w:rsidRPr="00D834D6" w:rsidRDefault="00D834D6" w:rsidP="00D834D6">
            <w:pPr>
              <w:pStyle w:val="NoSpacing"/>
            </w:pPr>
            <w:r w:rsidRPr="00D834D6">
              <w:t>115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497EBEF" w14:textId="77777777" w:rsidR="00D834D6" w:rsidRPr="00D834D6" w:rsidRDefault="00D834D6" w:rsidP="00D834D6">
            <w:pPr>
              <w:pStyle w:val="NoSpacing"/>
            </w:pPr>
            <w:r w:rsidRPr="00D834D6">
              <w:t>87.1%</w:t>
            </w:r>
          </w:p>
        </w:tc>
        <w:tc>
          <w:tcPr>
            <w:tcW w:w="731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3433833" w14:textId="77777777" w:rsidR="00D834D6" w:rsidRPr="00D834D6" w:rsidRDefault="00D834D6" w:rsidP="00D834D6">
            <w:pPr>
              <w:pStyle w:val="NoSpacing"/>
            </w:pPr>
            <w:r w:rsidRPr="00D834D6">
              <w:t>0.08</w:t>
            </w:r>
          </w:p>
        </w:tc>
      </w:tr>
      <w:tr w:rsidR="00DA1C81" w:rsidRPr="00D834D6" w14:paraId="405B2530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6C3E8374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545E0D8" w14:textId="77777777" w:rsidR="00D834D6" w:rsidRPr="00D834D6" w:rsidRDefault="00D834D6" w:rsidP="00D834D6">
            <w:pPr>
              <w:pStyle w:val="NoSpacing"/>
            </w:pPr>
            <w:r w:rsidRPr="00D834D6">
              <w:t>Black/non-Hispanic</w:t>
            </w:r>
          </w:p>
        </w:tc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4CF80EE" w14:textId="77777777" w:rsidR="00D834D6" w:rsidRPr="00D834D6" w:rsidRDefault="00D834D6" w:rsidP="00D834D6">
            <w:pPr>
              <w:pStyle w:val="NoSpacing"/>
            </w:pPr>
            <w:r w:rsidRPr="00D834D6">
              <w:t>117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79208B9" w14:textId="1095DB5F" w:rsidR="00D834D6" w:rsidRPr="00D834D6" w:rsidRDefault="00D834D6" w:rsidP="00D834D6">
            <w:pPr>
              <w:pStyle w:val="NoSpacing"/>
            </w:pPr>
            <w:r w:rsidRPr="00D834D6">
              <w:t>44.</w:t>
            </w:r>
            <w:r w:rsidR="00671B0E">
              <w:t>2</w:t>
            </w:r>
            <w:r w:rsidRPr="00D834D6">
              <w:t>%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8656803" w14:textId="77777777" w:rsidR="00D834D6" w:rsidRPr="00D834D6" w:rsidRDefault="00D834D6" w:rsidP="00D834D6">
            <w:pPr>
              <w:pStyle w:val="NoSpacing"/>
            </w:pPr>
            <w:r w:rsidRPr="00D834D6">
              <w:t>66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5542DE1" w14:textId="77777777" w:rsidR="00D834D6" w:rsidRPr="00D834D6" w:rsidRDefault="00D834D6" w:rsidP="00D834D6">
            <w:pPr>
              <w:pStyle w:val="NoSpacing"/>
            </w:pPr>
            <w:r w:rsidRPr="00D834D6">
              <w:t>56.4%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6970F511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D766F55" w14:textId="77777777" w:rsidR="00D834D6" w:rsidRPr="00D834D6" w:rsidRDefault="00D834D6" w:rsidP="00D834D6">
            <w:pPr>
              <w:pStyle w:val="NoSpacing"/>
            </w:pPr>
            <w:r w:rsidRPr="00D834D6">
              <w:t>110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399E7C5" w14:textId="77777777" w:rsidR="00D834D6" w:rsidRPr="00D834D6" w:rsidRDefault="00D834D6" w:rsidP="00D834D6">
            <w:pPr>
              <w:pStyle w:val="NoSpacing"/>
            </w:pPr>
            <w:r w:rsidRPr="00D834D6">
              <w:t>94.0%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5D4CE1" w14:textId="77777777" w:rsidR="00D834D6" w:rsidRPr="00D834D6" w:rsidRDefault="00D834D6" w:rsidP="00D834D6">
            <w:pPr>
              <w:pStyle w:val="NoSpacing"/>
            </w:pPr>
          </w:p>
        </w:tc>
      </w:tr>
      <w:tr w:rsidR="00DA1C81" w:rsidRPr="00D834D6" w14:paraId="5472DBF8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03AE66ED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4AF4652" w14:textId="77777777" w:rsidR="00D834D6" w:rsidRPr="00D834D6" w:rsidRDefault="00D834D6" w:rsidP="00D834D6">
            <w:pPr>
              <w:pStyle w:val="NoSpacing"/>
            </w:pPr>
            <w:r w:rsidRPr="00D834D6">
              <w:t>Hispanic</w:t>
            </w:r>
          </w:p>
        </w:tc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329A8C7" w14:textId="77777777" w:rsidR="00D834D6" w:rsidRPr="00D834D6" w:rsidRDefault="00D834D6" w:rsidP="00D834D6">
            <w:pPr>
              <w:pStyle w:val="NoSpacing"/>
            </w:pPr>
            <w:r w:rsidRPr="00D834D6">
              <w:t>6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03CD733" w14:textId="5B689507" w:rsidR="00D834D6" w:rsidRPr="00D834D6" w:rsidRDefault="00D834D6" w:rsidP="00D834D6">
            <w:pPr>
              <w:pStyle w:val="NoSpacing"/>
            </w:pPr>
            <w:r w:rsidRPr="00D834D6">
              <w:t>2.</w:t>
            </w:r>
            <w:r w:rsidR="00671B0E">
              <w:t>3</w:t>
            </w:r>
            <w:r w:rsidRPr="00D834D6">
              <w:t>%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9189180" w14:textId="77777777" w:rsidR="00D834D6" w:rsidRPr="00D834D6" w:rsidRDefault="00D834D6" w:rsidP="00D834D6">
            <w:pPr>
              <w:pStyle w:val="NoSpacing"/>
            </w:pPr>
            <w:r w:rsidRPr="00D834D6">
              <w:t>5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E92AA66" w14:textId="77777777" w:rsidR="00D834D6" w:rsidRPr="00D834D6" w:rsidRDefault="00D834D6" w:rsidP="00D834D6">
            <w:pPr>
              <w:pStyle w:val="NoSpacing"/>
            </w:pPr>
            <w:r w:rsidRPr="00D834D6">
              <w:t>83.3%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6B9FEF28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1A6C525" w14:textId="77777777" w:rsidR="00D834D6" w:rsidRPr="00D834D6" w:rsidRDefault="00D834D6" w:rsidP="00D834D6">
            <w:pPr>
              <w:pStyle w:val="NoSpacing"/>
            </w:pPr>
            <w:r w:rsidRPr="00D834D6">
              <w:t>5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5E600C6" w14:textId="77777777" w:rsidR="00D834D6" w:rsidRPr="00D834D6" w:rsidRDefault="00D834D6" w:rsidP="00D834D6">
            <w:pPr>
              <w:pStyle w:val="NoSpacing"/>
            </w:pPr>
            <w:r w:rsidRPr="00D834D6">
              <w:t>83.3%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B867CD" w14:textId="77777777" w:rsidR="00D834D6" w:rsidRPr="00D834D6" w:rsidRDefault="00D834D6" w:rsidP="00D834D6">
            <w:pPr>
              <w:pStyle w:val="NoSpacing"/>
            </w:pPr>
          </w:p>
        </w:tc>
      </w:tr>
      <w:tr w:rsidR="00DA1C81" w:rsidRPr="00D834D6" w14:paraId="218EA59A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56D9149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76B6F57" w14:textId="77777777" w:rsidR="00D834D6" w:rsidRPr="00D834D6" w:rsidRDefault="00D834D6" w:rsidP="00D834D6">
            <w:pPr>
              <w:pStyle w:val="NoSpacing"/>
            </w:pPr>
            <w:r w:rsidRPr="00D834D6">
              <w:t>Other</w:t>
            </w:r>
          </w:p>
        </w:tc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1F9B43EF" w14:textId="77777777" w:rsidR="00D834D6" w:rsidRPr="00D834D6" w:rsidRDefault="00D834D6" w:rsidP="00D834D6">
            <w:pPr>
              <w:pStyle w:val="NoSpacing"/>
            </w:pPr>
            <w:r w:rsidRPr="00D834D6">
              <w:t>9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289EDCF" w14:textId="562A1013" w:rsidR="00D834D6" w:rsidRPr="00D834D6" w:rsidRDefault="00D834D6" w:rsidP="00D834D6">
            <w:pPr>
              <w:pStyle w:val="NoSpacing"/>
            </w:pPr>
            <w:r w:rsidRPr="00D834D6">
              <w:t>3.4%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074EAB4" w14:textId="77777777" w:rsidR="00D834D6" w:rsidRPr="00D834D6" w:rsidRDefault="00D834D6" w:rsidP="00D834D6">
            <w:pPr>
              <w:pStyle w:val="NoSpacing"/>
            </w:pPr>
            <w:r w:rsidRPr="00D834D6">
              <w:t>5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05CC053" w14:textId="77777777" w:rsidR="00D834D6" w:rsidRPr="00D834D6" w:rsidRDefault="00D834D6" w:rsidP="00D834D6">
            <w:pPr>
              <w:pStyle w:val="NoSpacing"/>
            </w:pPr>
            <w:r w:rsidRPr="00D834D6">
              <w:t>55.6%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414B0E30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76C1FB3" w14:textId="77777777" w:rsidR="00D834D6" w:rsidRPr="00D834D6" w:rsidRDefault="00D834D6" w:rsidP="00D834D6">
            <w:pPr>
              <w:pStyle w:val="NoSpacing"/>
            </w:pPr>
            <w:r w:rsidRPr="00D834D6">
              <w:t>7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A09152F" w14:textId="77777777" w:rsidR="00D834D6" w:rsidRPr="00D834D6" w:rsidRDefault="00D834D6" w:rsidP="00D834D6">
            <w:pPr>
              <w:pStyle w:val="NoSpacing"/>
            </w:pPr>
            <w:r w:rsidRPr="00D834D6">
              <w:t>77.8%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E68FE" w14:textId="77777777" w:rsidR="00D834D6" w:rsidRPr="00D834D6" w:rsidRDefault="00D834D6" w:rsidP="00D834D6">
            <w:pPr>
              <w:pStyle w:val="NoSpacing"/>
            </w:pPr>
          </w:p>
        </w:tc>
      </w:tr>
      <w:tr w:rsidR="00DA1C81" w:rsidRPr="00D834D6" w14:paraId="7DB46876" w14:textId="77777777" w:rsidTr="0071793F">
        <w:trPr>
          <w:trHeight w:val="378"/>
        </w:trPr>
        <w:tc>
          <w:tcPr>
            <w:tcW w:w="1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873C9CD" w14:textId="77777777" w:rsidR="00D834D6" w:rsidRPr="00D834D6" w:rsidRDefault="00D834D6" w:rsidP="00D834D6">
            <w:pPr>
              <w:pStyle w:val="NoSpacing"/>
            </w:pPr>
            <w:r w:rsidRPr="00D834D6">
              <w:t>Education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D11BAE8" w14:textId="77777777" w:rsidR="00D834D6" w:rsidRPr="00D834D6" w:rsidRDefault="00D834D6" w:rsidP="00D834D6">
            <w:pPr>
              <w:pStyle w:val="NoSpacing"/>
            </w:pPr>
            <w:r w:rsidRPr="00D834D6">
              <w:t>≤ High School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C3C0C73" w14:textId="77777777" w:rsidR="00D834D6" w:rsidRPr="00D834D6" w:rsidRDefault="00D834D6" w:rsidP="00D834D6">
            <w:pPr>
              <w:pStyle w:val="NoSpacing"/>
            </w:pPr>
            <w:r w:rsidRPr="00D834D6">
              <w:t>126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6B6A47F" w14:textId="071E480A" w:rsidR="00D834D6" w:rsidRPr="00D834D6" w:rsidRDefault="00D834D6" w:rsidP="00D834D6">
            <w:pPr>
              <w:pStyle w:val="NoSpacing"/>
            </w:pPr>
            <w:r w:rsidRPr="00D834D6">
              <w:t>47.</w:t>
            </w:r>
            <w:r w:rsidR="00671B0E">
              <w:t>6</w:t>
            </w:r>
            <w:r w:rsidRPr="00D834D6">
              <w:t>%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47D15468" w14:textId="77777777" w:rsidR="00D834D6" w:rsidRPr="00D834D6" w:rsidRDefault="00D834D6" w:rsidP="00D834D6">
            <w:pPr>
              <w:pStyle w:val="NoSpacing"/>
            </w:pPr>
            <w:r w:rsidRPr="00D834D6">
              <w:t>73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44A0036E" w14:textId="77777777" w:rsidR="00D834D6" w:rsidRPr="00D834D6" w:rsidRDefault="00D834D6" w:rsidP="00D834D6">
            <w:pPr>
              <w:pStyle w:val="NoSpacing"/>
            </w:pPr>
            <w:r w:rsidRPr="00D834D6">
              <w:t>57.9%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9B07125" w14:textId="77777777" w:rsidR="00D834D6" w:rsidRPr="00D834D6" w:rsidRDefault="00D834D6" w:rsidP="00D834D6">
            <w:pPr>
              <w:pStyle w:val="NoSpacing"/>
            </w:pPr>
            <w:r w:rsidRPr="00D834D6">
              <w:t>0.001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10F17EA6" w14:textId="77777777" w:rsidR="00D834D6" w:rsidRPr="00D834D6" w:rsidRDefault="00D834D6" w:rsidP="00D834D6">
            <w:pPr>
              <w:pStyle w:val="NoSpacing"/>
            </w:pPr>
            <w:r w:rsidRPr="00D834D6">
              <w:t>119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1B94507E" w14:textId="77777777" w:rsidR="00D834D6" w:rsidRPr="00D834D6" w:rsidRDefault="00D834D6" w:rsidP="00D834D6">
            <w:pPr>
              <w:pStyle w:val="NoSpacing"/>
            </w:pPr>
            <w:r w:rsidRPr="00D834D6">
              <w:t>94.4%</w:t>
            </w:r>
          </w:p>
        </w:tc>
        <w:tc>
          <w:tcPr>
            <w:tcW w:w="731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E0AF5E" w14:textId="77777777" w:rsidR="00D834D6" w:rsidRPr="00D834D6" w:rsidRDefault="00D834D6" w:rsidP="00D834D6">
            <w:pPr>
              <w:pStyle w:val="NoSpacing"/>
            </w:pPr>
            <w:r w:rsidRPr="00D834D6">
              <w:t>0.07</w:t>
            </w:r>
          </w:p>
        </w:tc>
      </w:tr>
      <w:tr w:rsidR="00DA1C81" w:rsidRPr="00D834D6" w14:paraId="5FAE4805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0D18635E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BA8C138" w14:textId="77777777" w:rsidR="00D834D6" w:rsidRPr="00D834D6" w:rsidRDefault="00D834D6" w:rsidP="00D834D6">
            <w:pPr>
              <w:pStyle w:val="NoSpacing"/>
            </w:pPr>
            <w:r w:rsidRPr="00D834D6">
              <w:t>Some college</w:t>
            </w:r>
          </w:p>
        </w:tc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14098AC4" w14:textId="77777777" w:rsidR="00D834D6" w:rsidRPr="00D834D6" w:rsidRDefault="00D834D6" w:rsidP="00D834D6">
            <w:pPr>
              <w:pStyle w:val="NoSpacing"/>
            </w:pPr>
            <w:r w:rsidRPr="00D834D6">
              <w:t>40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4D1D39C6" w14:textId="6F3E72BB" w:rsidR="00D834D6" w:rsidRPr="00D834D6" w:rsidRDefault="00D834D6" w:rsidP="00D834D6">
            <w:pPr>
              <w:pStyle w:val="NoSpacing"/>
            </w:pPr>
            <w:r w:rsidRPr="00D834D6">
              <w:t>15.</w:t>
            </w:r>
            <w:r w:rsidR="00671B0E">
              <w:t>1</w:t>
            </w:r>
            <w:r w:rsidRPr="00D834D6">
              <w:t>%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53E4016" w14:textId="77777777" w:rsidR="00D834D6" w:rsidRPr="00D834D6" w:rsidRDefault="00D834D6" w:rsidP="00D834D6">
            <w:pPr>
              <w:pStyle w:val="NoSpacing"/>
            </w:pPr>
            <w:r w:rsidRPr="00D834D6">
              <w:t>21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02D800E" w14:textId="77777777" w:rsidR="00D834D6" w:rsidRPr="00D834D6" w:rsidRDefault="00D834D6" w:rsidP="00D834D6">
            <w:pPr>
              <w:pStyle w:val="NoSpacing"/>
            </w:pPr>
            <w:r w:rsidRPr="00D834D6">
              <w:t>52.5%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1C9680DD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4DA67CA" w14:textId="77777777" w:rsidR="00D834D6" w:rsidRPr="00D834D6" w:rsidRDefault="00D834D6" w:rsidP="00D834D6">
            <w:pPr>
              <w:pStyle w:val="NoSpacing"/>
            </w:pPr>
            <w:r w:rsidRPr="00D834D6">
              <w:t>34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9CC917D" w14:textId="77777777" w:rsidR="00D834D6" w:rsidRPr="00D834D6" w:rsidRDefault="00D834D6" w:rsidP="00D834D6">
            <w:pPr>
              <w:pStyle w:val="NoSpacing"/>
            </w:pPr>
            <w:r w:rsidRPr="00D834D6">
              <w:t>85.0%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651D6" w14:textId="77777777" w:rsidR="00D834D6" w:rsidRPr="00D834D6" w:rsidRDefault="00D834D6" w:rsidP="00D834D6">
            <w:pPr>
              <w:pStyle w:val="NoSpacing"/>
            </w:pPr>
          </w:p>
        </w:tc>
      </w:tr>
      <w:tr w:rsidR="00DA1C81" w:rsidRPr="00D834D6" w14:paraId="04E71F82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3C0DDA62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A7FB106" w14:textId="77777777" w:rsidR="00D834D6" w:rsidRPr="00D834D6" w:rsidRDefault="00D834D6" w:rsidP="00D834D6">
            <w:pPr>
              <w:pStyle w:val="NoSpacing"/>
            </w:pPr>
            <w:r w:rsidRPr="00D834D6">
              <w:t>Bachelor's</w:t>
            </w:r>
          </w:p>
        </w:tc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FB721B4" w14:textId="77777777" w:rsidR="00D834D6" w:rsidRPr="00D834D6" w:rsidRDefault="00D834D6" w:rsidP="00D834D6">
            <w:pPr>
              <w:pStyle w:val="NoSpacing"/>
            </w:pPr>
            <w:r w:rsidRPr="00D834D6">
              <w:t>54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F94A6DE" w14:textId="2154C6AD" w:rsidR="00D834D6" w:rsidRPr="00D834D6" w:rsidRDefault="00D834D6" w:rsidP="00D834D6">
            <w:pPr>
              <w:pStyle w:val="NoSpacing"/>
            </w:pPr>
            <w:r w:rsidRPr="00D834D6">
              <w:t>20.</w:t>
            </w:r>
            <w:r w:rsidR="00671B0E">
              <w:t>4</w:t>
            </w:r>
            <w:r w:rsidRPr="00D834D6">
              <w:t>%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4D2807F" w14:textId="77777777" w:rsidR="00D834D6" w:rsidRPr="00D834D6" w:rsidRDefault="00D834D6" w:rsidP="00D834D6">
            <w:pPr>
              <w:pStyle w:val="NoSpacing"/>
            </w:pPr>
            <w:r w:rsidRPr="00D834D6">
              <w:t>40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1A9846B4" w14:textId="77777777" w:rsidR="00D834D6" w:rsidRPr="00D834D6" w:rsidRDefault="00D834D6" w:rsidP="00D834D6">
            <w:pPr>
              <w:pStyle w:val="NoSpacing"/>
            </w:pPr>
            <w:r w:rsidRPr="00D834D6">
              <w:t>74.1%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EDD3491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7367BF6" w14:textId="77777777" w:rsidR="00D834D6" w:rsidRPr="00D834D6" w:rsidRDefault="00D834D6" w:rsidP="00D834D6">
            <w:pPr>
              <w:pStyle w:val="NoSpacing"/>
            </w:pPr>
            <w:r w:rsidRPr="00D834D6">
              <w:t>45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03E6BAD" w14:textId="77777777" w:rsidR="00D834D6" w:rsidRPr="00D834D6" w:rsidRDefault="00D834D6" w:rsidP="00D834D6">
            <w:pPr>
              <w:pStyle w:val="NoSpacing"/>
            </w:pPr>
            <w:r w:rsidRPr="00D834D6">
              <w:t>83.3%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B5A77C" w14:textId="77777777" w:rsidR="00D834D6" w:rsidRPr="00D834D6" w:rsidRDefault="00D834D6" w:rsidP="00D834D6">
            <w:pPr>
              <w:pStyle w:val="NoSpacing"/>
            </w:pPr>
          </w:p>
        </w:tc>
      </w:tr>
      <w:tr w:rsidR="00DA1C81" w:rsidRPr="00D834D6" w14:paraId="07184D6B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31B08170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B627CE7" w14:textId="77777777" w:rsidR="00D834D6" w:rsidRPr="00D834D6" w:rsidRDefault="00D834D6" w:rsidP="00D834D6">
            <w:pPr>
              <w:pStyle w:val="NoSpacing"/>
            </w:pPr>
            <w:r w:rsidRPr="00D834D6">
              <w:t>Graduate degree</w:t>
            </w:r>
          </w:p>
        </w:tc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C5E943D" w14:textId="77777777" w:rsidR="00D834D6" w:rsidRPr="00D834D6" w:rsidRDefault="00D834D6" w:rsidP="00D834D6">
            <w:pPr>
              <w:pStyle w:val="NoSpacing"/>
            </w:pPr>
            <w:r w:rsidRPr="00D834D6">
              <w:t>45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369DEB3" w14:textId="3BF21D10" w:rsidR="00D834D6" w:rsidRPr="00D834D6" w:rsidRDefault="00D834D6" w:rsidP="00D834D6">
            <w:pPr>
              <w:pStyle w:val="NoSpacing"/>
            </w:pPr>
            <w:r w:rsidRPr="00D834D6">
              <w:t>1</w:t>
            </w:r>
            <w:r w:rsidR="00671B0E">
              <w:t>7.0</w:t>
            </w:r>
            <w:r w:rsidRPr="00D834D6">
              <w:t>%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F913A4B" w14:textId="77777777" w:rsidR="00D834D6" w:rsidRPr="00D834D6" w:rsidRDefault="00D834D6" w:rsidP="00D834D6">
            <w:pPr>
              <w:pStyle w:val="NoSpacing"/>
            </w:pPr>
            <w:r w:rsidRPr="00D834D6">
              <w:t>38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1760ABD" w14:textId="77777777" w:rsidR="00D834D6" w:rsidRPr="00D834D6" w:rsidRDefault="00D834D6" w:rsidP="00D834D6">
            <w:pPr>
              <w:pStyle w:val="NoSpacing"/>
            </w:pPr>
            <w:r w:rsidRPr="00D834D6">
              <w:t>84.4%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3886D70B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7F4876E" w14:textId="77777777" w:rsidR="00D834D6" w:rsidRPr="00D834D6" w:rsidRDefault="00D834D6" w:rsidP="00D834D6">
            <w:pPr>
              <w:pStyle w:val="NoSpacing"/>
            </w:pPr>
            <w:r w:rsidRPr="00D834D6">
              <w:t>40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AFC56E8" w14:textId="77777777" w:rsidR="00D834D6" w:rsidRPr="00D834D6" w:rsidRDefault="00D834D6" w:rsidP="00D834D6">
            <w:pPr>
              <w:pStyle w:val="NoSpacing"/>
            </w:pPr>
            <w:r w:rsidRPr="00D834D6">
              <w:t>88.9%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9EFB37" w14:textId="77777777" w:rsidR="00D834D6" w:rsidRPr="00D834D6" w:rsidRDefault="00D834D6" w:rsidP="00D834D6">
            <w:pPr>
              <w:pStyle w:val="NoSpacing"/>
            </w:pPr>
          </w:p>
        </w:tc>
      </w:tr>
      <w:tr w:rsidR="00DA1C81" w:rsidRPr="00D834D6" w14:paraId="1499158A" w14:textId="77777777" w:rsidTr="0071793F">
        <w:trPr>
          <w:trHeight w:val="378"/>
        </w:trPr>
        <w:tc>
          <w:tcPr>
            <w:tcW w:w="1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A5EACA8" w14:textId="77777777" w:rsidR="00D834D6" w:rsidRPr="00D834D6" w:rsidRDefault="00D834D6" w:rsidP="00D834D6">
            <w:pPr>
              <w:pStyle w:val="NoSpacing"/>
            </w:pPr>
            <w:r w:rsidRPr="00D834D6">
              <w:t>Marital Status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D127802" w14:textId="77777777" w:rsidR="00D834D6" w:rsidRPr="00D834D6" w:rsidRDefault="00D834D6" w:rsidP="00D834D6">
            <w:pPr>
              <w:pStyle w:val="NoSpacing"/>
            </w:pPr>
            <w:r w:rsidRPr="00D834D6">
              <w:t>Married/lives with partner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892A970" w14:textId="77777777" w:rsidR="00D834D6" w:rsidRPr="00D834D6" w:rsidRDefault="00D834D6" w:rsidP="00D834D6">
            <w:pPr>
              <w:pStyle w:val="NoSpacing"/>
            </w:pPr>
            <w:r w:rsidRPr="00D834D6">
              <w:t>174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D7AF6D1" w14:textId="0E4A6439" w:rsidR="00D834D6" w:rsidRPr="00D834D6" w:rsidRDefault="00D834D6" w:rsidP="00D834D6">
            <w:pPr>
              <w:pStyle w:val="NoSpacing"/>
            </w:pPr>
            <w:r w:rsidRPr="00D834D6">
              <w:t>65.</w:t>
            </w:r>
            <w:r w:rsidR="00671B0E">
              <w:t>7</w:t>
            </w:r>
            <w:r w:rsidRPr="00D834D6">
              <w:t>%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15B948F" w14:textId="77777777" w:rsidR="00D834D6" w:rsidRPr="00D834D6" w:rsidRDefault="00D834D6" w:rsidP="00D834D6">
            <w:pPr>
              <w:pStyle w:val="NoSpacing"/>
            </w:pPr>
            <w:r w:rsidRPr="00D834D6">
              <w:t>125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15EE354" w14:textId="77777777" w:rsidR="00D834D6" w:rsidRPr="00D834D6" w:rsidRDefault="00D834D6" w:rsidP="00D834D6">
            <w:pPr>
              <w:pStyle w:val="NoSpacing"/>
            </w:pPr>
            <w:r w:rsidRPr="00D834D6">
              <w:t>71.8%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043DBE4" w14:textId="77777777" w:rsidR="00D834D6" w:rsidRPr="00D834D6" w:rsidRDefault="00D834D6" w:rsidP="00D834D6">
            <w:pPr>
              <w:pStyle w:val="NoSpacing"/>
            </w:pPr>
            <w:r w:rsidRPr="00D834D6">
              <w:t>0.001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6579385" w14:textId="77777777" w:rsidR="00D834D6" w:rsidRPr="00D834D6" w:rsidRDefault="00D834D6" w:rsidP="00D834D6">
            <w:pPr>
              <w:pStyle w:val="NoSpacing"/>
            </w:pPr>
            <w:r w:rsidRPr="00D834D6">
              <w:t>156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8C3190D" w14:textId="77777777" w:rsidR="00D834D6" w:rsidRPr="00D834D6" w:rsidRDefault="00D834D6" w:rsidP="00D834D6">
            <w:pPr>
              <w:pStyle w:val="NoSpacing"/>
            </w:pPr>
            <w:r w:rsidRPr="00D834D6">
              <w:t>89.7%</w:t>
            </w:r>
          </w:p>
        </w:tc>
        <w:tc>
          <w:tcPr>
            <w:tcW w:w="731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FA4E95B" w14:textId="77777777" w:rsidR="00D834D6" w:rsidRPr="00D834D6" w:rsidRDefault="00D834D6" w:rsidP="00D834D6">
            <w:pPr>
              <w:pStyle w:val="NoSpacing"/>
            </w:pPr>
            <w:r w:rsidRPr="00D834D6">
              <w:t>0.3</w:t>
            </w:r>
          </w:p>
        </w:tc>
      </w:tr>
      <w:tr w:rsidR="00DA1C81" w:rsidRPr="00D834D6" w14:paraId="1649428E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4FDBFB91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454EB880" w14:textId="77777777" w:rsidR="00D834D6" w:rsidRPr="00D834D6" w:rsidRDefault="00D834D6" w:rsidP="00D834D6">
            <w:pPr>
              <w:pStyle w:val="NoSpacing"/>
            </w:pPr>
            <w:r w:rsidRPr="00D834D6">
              <w:t>Single</w:t>
            </w:r>
          </w:p>
        </w:tc>
        <w:tc>
          <w:tcPr>
            <w:tcW w:w="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808E3A2" w14:textId="77777777" w:rsidR="00D834D6" w:rsidRPr="00D834D6" w:rsidRDefault="00D834D6" w:rsidP="00D834D6">
            <w:pPr>
              <w:pStyle w:val="NoSpacing"/>
            </w:pPr>
            <w:r w:rsidRPr="00D834D6">
              <w:t>91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811B597" w14:textId="56F39C5F" w:rsidR="00D834D6" w:rsidRPr="00D834D6" w:rsidRDefault="00D834D6" w:rsidP="00D834D6">
            <w:pPr>
              <w:pStyle w:val="NoSpacing"/>
            </w:pPr>
            <w:r w:rsidRPr="00D834D6">
              <w:t>34.3%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A701F86" w14:textId="77777777" w:rsidR="00D834D6" w:rsidRPr="00D834D6" w:rsidRDefault="00D834D6" w:rsidP="00D834D6">
            <w:pPr>
              <w:pStyle w:val="NoSpacing"/>
            </w:pPr>
            <w:r w:rsidRPr="00D834D6">
              <w:t>47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A761DF7" w14:textId="77777777" w:rsidR="00D834D6" w:rsidRPr="00D834D6" w:rsidRDefault="00D834D6" w:rsidP="00D834D6">
            <w:pPr>
              <w:pStyle w:val="NoSpacing"/>
            </w:pPr>
            <w:r w:rsidRPr="00D834D6">
              <w:t>51.6%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10684EBF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CA1A9D7" w14:textId="77777777" w:rsidR="00D834D6" w:rsidRPr="00D834D6" w:rsidRDefault="00D834D6" w:rsidP="00D834D6">
            <w:pPr>
              <w:pStyle w:val="NoSpacing"/>
            </w:pPr>
            <w:r w:rsidRPr="00D834D6">
              <w:t>82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0FD5647" w14:textId="77777777" w:rsidR="00D834D6" w:rsidRPr="00D834D6" w:rsidRDefault="00D834D6" w:rsidP="00D834D6">
            <w:pPr>
              <w:pStyle w:val="NoSpacing"/>
            </w:pPr>
            <w:r w:rsidRPr="00D834D6">
              <w:t>90.1%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E3ABFA" w14:textId="77777777" w:rsidR="00D834D6" w:rsidRPr="00D834D6" w:rsidRDefault="00D834D6" w:rsidP="00D834D6">
            <w:pPr>
              <w:pStyle w:val="NoSpacing"/>
            </w:pPr>
          </w:p>
        </w:tc>
      </w:tr>
      <w:tr w:rsidR="00DA1C81" w:rsidRPr="00D834D6" w14:paraId="3AB928EF" w14:textId="77777777" w:rsidTr="0071793F">
        <w:trPr>
          <w:trHeight w:val="378"/>
        </w:trPr>
        <w:tc>
          <w:tcPr>
            <w:tcW w:w="1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38B05ED" w14:textId="77777777" w:rsidR="00D834D6" w:rsidRPr="00D834D6" w:rsidRDefault="00D834D6" w:rsidP="00D834D6">
            <w:pPr>
              <w:pStyle w:val="NoSpacing"/>
            </w:pPr>
            <w:r w:rsidRPr="00D834D6">
              <w:t>Insurance</w:t>
            </w: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76F1263" w14:textId="77777777" w:rsidR="00D834D6" w:rsidRPr="00D834D6" w:rsidRDefault="00D834D6" w:rsidP="00D834D6">
            <w:pPr>
              <w:pStyle w:val="NoSpacing"/>
            </w:pPr>
            <w:r w:rsidRPr="00D834D6">
              <w:t>Private</w:t>
            </w:r>
          </w:p>
        </w:tc>
        <w:tc>
          <w:tcPr>
            <w:tcW w:w="6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B215022" w14:textId="77777777" w:rsidR="00D834D6" w:rsidRPr="00D834D6" w:rsidRDefault="00D834D6" w:rsidP="00D834D6">
            <w:pPr>
              <w:pStyle w:val="NoSpacing"/>
            </w:pPr>
            <w:r w:rsidRPr="00D834D6">
              <w:t>111</w:t>
            </w:r>
          </w:p>
        </w:tc>
        <w:tc>
          <w:tcPr>
            <w:tcW w:w="5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80BFEF8" w14:textId="446B6A18" w:rsidR="00D834D6" w:rsidRPr="00D834D6" w:rsidRDefault="00D834D6" w:rsidP="00D834D6">
            <w:pPr>
              <w:pStyle w:val="NoSpacing"/>
            </w:pPr>
            <w:r w:rsidRPr="00D834D6">
              <w:t>41.</w:t>
            </w:r>
            <w:r w:rsidR="00671B0E">
              <w:t>9</w:t>
            </w:r>
            <w:r w:rsidRPr="00D834D6">
              <w:t>%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F414908" w14:textId="77777777" w:rsidR="00D834D6" w:rsidRPr="00D834D6" w:rsidRDefault="00D834D6" w:rsidP="00D834D6">
            <w:pPr>
              <w:pStyle w:val="NoSpacing"/>
            </w:pPr>
            <w:r w:rsidRPr="00D834D6">
              <w:t>84</w:t>
            </w:r>
          </w:p>
        </w:tc>
        <w:tc>
          <w:tcPr>
            <w:tcW w:w="75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69BA90D" w14:textId="77777777" w:rsidR="00D834D6" w:rsidRPr="00D834D6" w:rsidRDefault="00D834D6" w:rsidP="00D834D6">
            <w:pPr>
              <w:pStyle w:val="NoSpacing"/>
            </w:pPr>
            <w:r w:rsidRPr="00D834D6">
              <w:t>75.6%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CB115FE" w14:textId="77777777" w:rsidR="00D834D6" w:rsidRPr="00D834D6" w:rsidRDefault="00D834D6" w:rsidP="00D834D6">
            <w:pPr>
              <w:pStyle w:val="NoSpacing"/>
            </w:pPr>
            <w:r w:rsidRPr="00D834D6">
              <w:t>0.001</w:t>
            </w:r>
          </w:p>
        </w:tc>
        <w:tc>
          <w:tcPr>
            <w:tcW w:w="62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0A56295" w14:textId="77777777" w:rsidR="00D834D6" w:rsidRPr="00D834D6" w:rsidRDefault="00D834D6" w:rsidP="00D834D6">
            <w:pPr>
              <w:pStyle w:val="NoSpacing"/>
            </w:pPr>
            <w:r w:rsidRPr="00D834D6">
              <w:t>97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63C38F2C" w14:textId="77777777" w:rsidR="00D834D6" w:rsidRPr="00D834D6" w:rsidRDefault="00D834D6" w:rsidP="00D834D6">
            <w:pPr>
              <w:pStyle w:val="NoSpacing"/>
            </w:pPr>
            <w:r w:rsidRPr="00D834D6">
              <w:t>87.4%</w:t>
            </w:r>
          </w:p>
        </w:tc>
        <w:tc>
          <w:tcPr>
            <w:tcW w:w="73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05868CB" w14:textId="77777777" w:rsidR="00D834D6" w:rsidRPr="00D834D6" w:rsidRDefault="00D834D6" w:rsidP="00D834D6">
            <w:pPr>
              <w:pStyle w:val="NoSpacing"/>
            </w:pPr>
            <w:r w:rsidRPr="00D834D6">
              <w:t>0.3</w:t>
            </w:r>
          </w:p>
        </w:tc>
      </w:tr>
      <w:tr w:rsidR="00DA1C81" w:rsidRPr="00D834D6" w14:paraId="6C7A08BC" w14:textId="77777777" w:rsidTr="0071793F">
        <w:trPr>
          <w:trHeight w:val="378"/>
        </w:trPr>
        <w:tc>
          <w:tcPr>
            <w:tcW w:w="14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C6435F5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B76EFBD" w14:textId="77777777" w:rsidR="00D834D6" w:rsidRPr="00D834D6" w:rsidRDefault="00D834D6" w:rsidP="00D834D6">
            <w:pPr>
              <w:pStyle w:val="NoSpacing"/>
            </w:pPr>
            <w:r w:rsidRPr="00D834D6">
              <w:t>Public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7CD809B0" w14:textId="77777777" w:rsidR="00D834D6" w:rsidRPr="00D834D6" w:rsidRDefault="00D834D6" w:rsidP="00D834D6">
            <w:pPr>
              <w:pStyle w:val="NoSpacing"/>
            </w:pPr>
            <w:r w:rsidRPr="00D834D6">
              <w:t>152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6F89196" w14:textId="75C87626" w:rsidR="00D834D6" w:rsidRPr="00D834D6" w:rsidRDefault="00D834D6" w:rsidP="00D834D6">
            <w:pPr>
              <w:pStyle w:val="NoSpacing"/>
            </w:pPr>
            <w:r w:rsidRPr="00D834D6">
              <w:t>57.</w:t>
            </w:r>
            <w:r w:rsidR="00671B0E">
              <w:t>4</w:t>
            </w:r>
            <w:r w:rsidRPr="00D834D6">
              <w:t>%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8F5E9A8" w14:textId="77777777" w:rsidR="00D834D6" w:rsidRPr="00D834D6" w:rsidRDefault="00D834D6" w:rsidP="00D834D6">
            <w:pPr>
              <w:pStyle w:val="NoSpacing"/>
            </w:pPr>
            <w:r w:rsidRPr="00D834D6">
              <w:t>86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D11946B" w14:textId="77777777" w:rsidR="00D834D6" w:rsidRPr="00D834D6" w:rsidRDefault="00D834D6" w:rsidP="00D834D6">
            <w:pPr>
              <w:pStyle w:val="NoSpacing"/>
            </w:pPr>
            <w:r w:rsidRPr="00D834D6">
              <w:t>56.6%</w:t>
            </w:r>
          </w:p>
        </w:tc>
        <w:tc>
          <w:tcPr>
            <w:tcW w:w="782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77A42B" w14:textId="77777777" w:rsidR="00D834D6" w:rsidRPr="00D834D6" w:rsidRDefault="00D834D6" w:rsidP="00D834D6">
            <w:pPr>
              <w:pStyle w:val="NoSpacing"/>
            </w:pP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AEFF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36E1AA30" w14:textId="77777777" w:rsidR="00D834D6" w:rsidRPr="00D834D6" w:rsidRDefault="00D834D6" w:rsidP="00D834D6">
            <w:pPr>
              <w:pStyle w:val="NoSpacing"/>
            </w:pPr>
            <w:r w:rsidRPr="00D834D6">
              <w:t>139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A4ABF7E" w14:textId="77777777" w:rsidR="00D834D6" w:rsidRPr="00D834D6" w:rsidRDefault="00D834D6" w:rsidP="00D834D6">
            <w:pPr>
              <w:pStyle w:val="NoSpacing"/>
            </w:pPr>
            <w:r w:rsidRPr="00D834D6">
              <w:t>91.4%</w:t>
            </w:r>
          </w:p>
        </w:tc>
        <w:tc>
          <w:tcPr>
            <w:tcW w:w="73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A10642" w14:textId="77777777" w:rsidR="00D834D6" w:rsidRPr="00D834D6" w:rsidRDefault="00D834D6" w:rsidP="00D834D6">
            <w:pPr>
              <w:pStyle w:val="NoSpacing"/>
            </w:pPr>
          </w:p>
        </w:tc>
      </w:tr>
      <w:tr w:rsidR="00D834D6" w:rsidRPr="00D834D6" w14:paraId="50C58AB6" w14:textId="77777777" w:rsidTr="0071793F">
        <w:trPr>
          <w:trHeight w:val="870"/>
        </w:trPr>
        <w:tc>
          <w:tcPr>
            <w:tcW w:w="926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6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0AE10C1" w14:textId="77777777" w:rsidR="00D834D6" w:rsidRPr="00D834D6" w:rsidRDefault="00D834D6" w:rsidP="00D834D6">
            <w:pPr>
              <w:pStyle w:val="NoSpacing"/>
            </w:pPr>
            <w:r w:rsidRPr="00D834D6">
              <w:t xml:space="preserve">Vaccine compliance by maternal demographics. P values represent significance level of difference in proportion between vaccine verified received group and vaccine not received/unverified group (Fisher’s exact test). </w:t>
            </w:r>
          </w:p>
        </w:tc>
      </w:tr>
    </w:tbl>
    <w:p w14:paraId="44F2EBDD" w14:textId="77777777" w:rsidR="004B27A8" w:rsidRDefault="004B27A8" w:rsidP="001230E3">
      <w:pPr>
        <w:pStyle w:val="NoSpacing"/>
      </w:pPr>
    </w:p>
    <w:p w14:paraId="1C809BCB" w14:textId="77777777" w:rsidR="004B27A8" w:rsidRDefault="004B27A8">
      <w:r>
        <w:br w:type="page"/>
      </w:r>
    </w:p>
    <w:p w14:paraId="262F9A10" w14:textId="364F551A" w:rsidR="00D834D6" w:rsidRDefault="004C3394" w:rsidP="001230E3">
      <w:pPr>
        <w:pStyle w:val="NoSpacing"/>
      </w:pPr>
      <w:r>
        <w:lastRenderedPageBreak/>
        <w:t xml:space="preserve">Figure </w:t>
      </w:r>
      <w:r w:rsidR="007B2511">
        <w:t>2</w:t>
      </w:r>
      <w:r>
        <w:t>.</w:t>
      </w:r>
      <w:r w:rsidR="00D834D6">
        <w:t xml:space="preserve"> Maternal primary reasons for receiving influenza vaccine.</w:t>
      </w:r>
    </w:p>
    <w:p w14:paraId="35D44B1B" w14:textId="77777777" w:rsidR="00D834D6" w:rsidRDefault="00D834D6" w:rsidP="001230E3">
      <w:pPr>
        <w:pStyle w:val="NoSpacing"/>
      </w:pPr>
    </w:p>
    <w:p w14:paraId="62A030A7" w14:textId="77777777" w:rsidR="00D834D6" w:rsidRDefault="00D834D6" w:rsidP="001230E3">
      <w:pPr>
        <w:pStyle w:val="NoSpacing"/>
      </w:pPr>
    </w:p>
    <w:p w14:paraId="61A91113" w14:textId="6ACF38D6" w:rsidR="004C3394" w:rsidRDefault="00D834D6" w:rsidP="001230E3">
      <w:pPr>
        <w:pStyle w:val="NoSpacing"/>
      </w:pPr>
      <w:r w:rsidRPr="00D834D6">
        <w:rPr>
          <w:noProof/>
        </w:rPr>
        <w:drawing>
          <wp:inline distT="0" distB="0" distL="0" distR="0" wp14:anchorId="2AC469CC" wp14:editId="6A8CC83A">
            <wp:extent cx="5943600" cy="34188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4C3394">
        <w:t xml:space="preserve"> </w:t>
      </w:r>
    </w:p>
    <w:p w14:paraId="10F1B338" w14:textId="77777777" w:rsidR="002078E5" w:rsidRDefault="002078E5" w:rsidP="001230E3">
      <w:pPr>
        <w:pStyle w:val="NoSpacing"/>
      </w:pPr>
    </w:p>
    <w:p w14:paraId="61C43216" w14:textId="77777777" w:rsidR="002078E5" w:rsidRDefault="002078E5" w:rsidP="001230E3">
      <w:pPr>
        <w:pStyle w:val="NoSpacing"/>
      </w:pPr>
    </w:p>
    <w:p w14:paraId="329C145D" w14:textId="77777777" w:rsidR="002078E5" w:rsidRDefault="002078E5" w:rsidP="001230E3">
      <w:pPr>
        <w:pStyle w:val="NoSpacing"/>
      </w:pPr>
    </w:p>
    <w:p w14:paraId="4E7EC1E5" w14:textId="77777777" w:rsidR="002078E5" w:rsidRDefault="002078E5" w:rsidP="001230E3">
      <w:pPr>
        <w:pStyle w:val="NoSpacing"/>
      </w:pPr>
    </w:p>
    <w:p w14:paraId="317E021B" w14:textId="77777777" w:rsidR="002078E5" w:rsidRDefault="002078E5" w:rsidP="001230E3">
      <w:pPr>
        <w:pStyle w:val="NoSpacing"/>
      </w:pPr>
    </w:p>
    <w:p w14:paraId="4F9A240D" w14:textId="77777777" w:rsidR="002078E5" w:rsidRDefault="002078E5" w:rsidP="001230E3">
      <w:pPr>
        <w:pStyle w:val="NoSpacing"/>
      </w:pPr>
    </w:p>
    <w:p w14:paraId="4AE90009" w14:textId="77777777" w:rsidR="002078E5" w:rsidRDefault="002078E5" w:rsidP="001230E3">
      <w:pPr>
        <w:pStyle w:val="NoSpacing"/>
      </w:pPr>
    </w:p>
    <w:p w14:paraId="610187BD" w14:textId="77777777" w:rsidR="002078E5" w:rsidRDefault="002078E5" w:rsidP="001230E3">
      <w:pPr>
        <w:pStyle w:val="NoSpacing"/>
      </w:pPr>
    </w:p>
    <w:p w14:paraId="1BD6A004" w14:textId="77777777" w:rsidR="002078E5" w:rsidRDefault="002078E5" w:rsidP="001230E3">
      <w:pPr>
        <w:pStyle w:val="NoSpacing"/>
      </w:pPr>
    </w:p>
    <w:p w14:paraId="1A691BAF" w14:textId="77777777" w:rsidR="002078E5" w:rsidRDefault="002078E5" w:rsidP="001230E3">
      <w:pPr>
        <w:pStyle w:val="NoSpacing"/>
      </w:pPr>
    </w:p>
    <w:p w14:paraId="3BE138DC" w14:textId="77777777" w:rsidR="002078E5" w:rsidRDefault="002078E5" w:rsidP="001230E3">
      <w:pPr>
        <w:pStyle w:val="NoSpacing"/>
      </w:pPr>
    </w:p>
    <w:p w14:paraId="56C614C2" w14:textId="77777777" w:rsidR="002078E5" w:rsidRDefault="002078E5" w:rsidP="001230E3">
      <w:pPr>
        <w:pStyle w:val="NoSpacing"/>
      </w:pPr>
    </w:p>
    <w:p w14:paraId="7C382A02" w14:textId="77777777" w:rsidR="002078E5" w:rsidRDefault="002078E5" w:rsidP="001230E3">
      <w:pPr>
        <w:pStyle w:val="NoSpacing"/>
      </w:pPr>
    </w:p>
    <w:p w14:paraId="3DCF8D8D" w14:textId="77777777" w:rsidR="002078E5" w:rsidRDefault="002078E5" w:rsidP="001230E3">
      <w:pPr>
        <w:pStyle w:val="NoSpacing"/>
      </w:pPr>
    </w:p>
    <w:p w14:paraId="7975A770" w14:textId="77777777" w:rsidR="002078E5" w:rsidRDefault="002078E5" w:rsidP="001230E3">
      <w:pPr>
        <w:pStyle w:val="NoSpacing"/>
      </w:pPr>
    </w:p>
    <w:p w14:paraId="2F8D4F58" w14:textId="77777777" w:rsidR="002078E5" w:rsidRDefault="002078E5" w:rsidP="001230E3">
      <w:pPr>
        <w:pStyle w:val="NoSpacing"/>
      </w:pPr>
    </w:p>
    <w:p w14:paraId="67D06A50" w14:textId="77777777" w:rsidR="002078E5" w:rsidRDefault="002078E5" w:rsidP="001230E3">
      <w:pPr>
        <w:pStyle w:val="NoSpacing"/>
      </w:pPr>
    </w:p>
    <w:p w14:paraId="1E3115CD" w14:textId="77777777" w:rsidR="002078E5" w:rsidRDefault="002078E5" w:rsidP="001230E3">
      <w:pPr>
        <w:pStyle w:val="NoSpacing"/>
      </w:pPr>
    </w:p>
    <w:p w14:paraId="0B840E2E" w14:textId="77777777" w:rsidR="002078E5" w:rsidRDefault="002078E5" w:rsidP="001230E3">
      <w:pPr>
        <w:pStyle w:val="NoSpacing"/>
      </w:pPr>
    </w:p>
    <w:p w14:paraId="567385D7" w14:textId="77777777" w:rsidR="002078E5" w:rsidRDefault="002078E5" w:rsidP="001230E3">
      <w:pPr>
        <w:pStyle w:val="NoSpacing"/>
      </w:pPr>
    </w:p>
    <w:p w14:paraId="0FE0D0C1" w14:textId="77777777" w:rsidR="002078E5" w:rsidRDefault="002078E5" w:rsidP="001230E3">
      <w:pPr>
        <w:pStyle w:val="NoSpacing"/>
      </w:pPr>
    </w:p>
    <w:p w14:paraId="47AD6880" w14:textId="77777777" w:rsidR="002078E5" w:rsidRDefault="002078E5" w:rsidP="001230E3">
      <w:pPr>
        <w:pStyle w:val="NoSpacing"/>
      </w:pPr>
    </w:p>
    <w:p w14:paraId="1E7EECE3" w14:textId="77777777" w:rsidR="002078E5" w:rsidRDefault="002078E5" w:rsidP="001230E3">
      <w:pPr>
        <w:pStyle w:val="NoSpacing"/>
      </w:pPr>
    </w:p>
    <w:p w14:paraId="287DE4F4" w14:textId="77777777" w:rsidR="002078E5" w:rsidRDefault="002078E5" w:rsidP="001230E3">
      <w:pPr>
        <w:pStyle w:val="NoSpacing"/>
      </w:pPr>
    </w:p>
    <w:p w14:paraId="24942490" w14:textId="77777777" w:rsidR="002078E5" w:rsidRDefault="002078E5" w:rsidP="001230E3">
      <w:pPr>
        <w:pStyle w:val="NoSpacing"/>
      </w:pPr>
    </w:p>
    <w:p w14:paraId="407D448B" w14:textId="617C10BB" w:rsidR="002078E5" w:rsidRDefault="002078E5" w:rsidP="001230E3">
      <w:pPr>
        <w:pStyle w:val="NoSpacing"/>
      </w:pPr>
      <w:r>
        <w:lastRenderedPageBreak/>
        <w:t xml:space="preserve">Figure </w:t>
      </w:r>
      <w:r w:rsidR="007B2511">
        <w:t>3</w:t>
      </w:r>
      <w:r>
        <w:t xml:space="preserve">. </w:t>
      </w:r>
      <w:r w:rsidR="00FF1ED1">
        <w:t>Maternal recall versus verification of influenza and Tdap vaccine receipt</w:t>
      </w:r>
      <w:r>
        <w:t>.</w:t>
      </w:r>
    </w:p>
    <w:p w14:paraId="0F7C6882" w14:textId="32C1EAB7" w:rsidR="002078E5" w:rsidRDefault="002078E5" w:rsidP="001230E3">
      <w:pPr>
        <w:pStyle w:val="NoSpacing"/>
      </w:pPr>
    </w:p>
    <w:tbl>
      <w:tblPr>
        <w:tblW w:w="8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58"/>
        <w:gridCol w:w="1157"/>
        <w:gridCol w:w="1237"/>
        <w:gridCol w:w="1336"/>
        <w:gridCol w:w="3132"/>
      </w:tblGrid>
      <w:tr w:rsidR="0055707B" w:rsidRPr="0055707B" w14:paraId="4C5FA5B9" w14:textId="77777777" w:rsidTr="00121C5D">
        <w:trPr>
          <w:trHeight w:val="430"/>
        </w:trPr>
        <w:tc>
          <w:tcPr>
            <w:tcW w:w="802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8DD4" w:themeFill="text2" w:themeFillTint="9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9F2A2E2" w14:textId="77777777" w:rsidR="0055707B" w:rsidRPr="0055707B" w:rsidRDefault="0055707B" w:rsidP="0055707B">
            <w:pPr>
              <w:pStyle w:val="NoSpacing"/>
            </w:pPr>
            <w:r w:rsidRPr="0055707B">
              <w:rPr>
                <w:b/>
                <w:bCs/>
              </w:rPr>
              <w:t>Influenza Vaccine Recall Concordance</w:t>
            </w:r>
          </w:p>
        </w:tc>
      </w:tr>
      <w:tr w:rsidR="0055707B" w:rsidRPr="0055707B" w14:paraId="1BD6643B" w14:textId="77777777" w:rsidTr="0055707B">
        <w:trPr>
          <w:trHeight w:val="432"/>
        </w:trPr>
        <w:tc>
          <w:tcPr>
            <w:tcW w:w="1158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textDirection w:val="btLr"/>
            <w:vAlign w:val="center"/>
            <w:hideMark/>
          </w:tcPr>
          <w:p w14:paraId="0C657A16" w14:textId="77777777" w:rsidR="0055707B" w:rsidRPr="0055707B" w:rsidRDefault="0055707B" w:rsidP="0055707B">
            <w:pPr>
              <w:pStyle w:val="NoSpacing"/>
            </w:pPr>
            <w:r w:rsidRPr="0055707B">
              <w:t>Vaccine Recall</w:t>
            </w:r>
          </w:p>
        </w:tc>
        <w:tc>
          <w:tcPr>
            <w:tcW w:w="11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C09433C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2573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A6512D6" w14:textId="5B40572A" w:rsidR="0055707B" w:rsidRPr="0055707B" w:rsidRDefault="00165469" w:rsidP="0055707B">
            <w:pPr>
              <w:pStyle w:val="NoSpacing"/>
            </w:pPr>
            <w:r>
              <w:t>Documented vaccination</w:t>
            </w:r>
          </w:p>
        </w:tc>
        <w:tc>
          <w:tcPr>
            <w:tcW w:w="3132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129084DF" w14:textId="77777777" w:rsidR="0055707B" w:rsidRPr="0055707B" w:rsidRDefault="0055707B" w:rsidP="0055707B">
            <w:pPr>
              <w:pStyle w:val="NoSpacing"/>
            </w:pPr>
            <w:r w:rsidRPr="0055707B">
              <w:t>Sensitivity: 95.2%</w:t>
            </w:r>
          </w:p>
          <w:p w14:paraId="4D460C7E" w14:textId="77777777" w:rsidR="0055707B" w:rsidRPr="0055707B" w:rsidRDefault="0055707B" w:rsidP="0055707B">
            <w:pPr>
              <w:pStyle w:val="NoSpacing"/>
            </w:pPr>
            <w:r w:rsidRPr="0055707B">
              <w:t>Specificity: 87.5%</w:t>
            </w:r>
          </w:p>
          <w:p w14:paraId="135A216E" w14:textId="77777777" w:rsidR="0055707B" w:rsidRPr="0055707B" w:rsidRDefault="0055707B" w:rsidP="0055707B">
            <w:pPr>
              <w:pStyle w:val="NoSpacing"/>
            </w:pPr>
            <w:r w:rsidRPr="0055707B">
              <w:t>PPV: 96.9%</w:t>
            </w:r>
          </w:p>
          <w:p w14:paraId="03C142C5" w14:textId="77777777" w:rsidR="0055707B" w:rsidRPr="0055707B" w:rsidRDefault="0055707B" w:rsidP="0055707B">
            <w:pPr>
              <w:pStyle w:val="NoSpacing"/>
            </w:pPr>
            <w:r w:rsidRPr="0055707B">
              <w:t>NPV: 81.4%</w:t>
            </w:r>
          </w:p>
          <w:p w14:paraId="282B2FD2" w14:textId="77777777" w:rsidR="0055707B" w:rsidRPr="0055707B" w:rsidRDefault="0055707B" w:rsidP="0055707B">
            <w:pPr>
              <w:pStyle w:val="NoSpacing"/>
            </w:pPr>
            <w:r w:rsidRPr="0055707B">
              <w:t>% Agreement: 93.7%</w:t>
            </w:r>
          </w:p>
        </w:tc>
      </w:tr>
      <w:tr w:rsidR="0055707B" w:rsidRPr="0055707B" w14:paraId="2719B69E" w14:textId="77777777" w:rsidTr="0055707B">
        <w:trPr>
          <w:trHeight w:val="432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ACFF637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7255A18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EFE3AD0" w14:textId="77777777" w:rsidR="0055707B" w:rsidRPr="0055707B" w:rsidRDefault="0055707B" w:rsidP="0055707B">
            <w:pPr>
              <w:pStyle w:val="NoSpacing"/>
            </w:pPr>
            <w:r w:rsidRPr="0055707B">
              <w:t>Yes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A230D37" w14:textId="77777777" w:rsidR="0055707B" w:rsidRPr="0055707B" w:rsidRDefault="0055707B" w:rsidP="0055707B">
            <w:pPr>
              <w:pStyle w:val="NoSpacing"/>
            </w:pPr>
            <w:r w:rsidRPr="0055707B">
              <w:t>No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DBEADAD" w14:textId="77777777" w:rsidR="0055707B" w:rsidRPr="0055707B" w:rsidRDefault="0055707B" w:rsidP="0055707B">
            <w:pPr>
              <w:pStyle w:val="NoSpacing"/>
            </w:pPr>
          </w:p>
        </w:tc>
      </w:tr>
      <w:tr w:rsidR="0055707B" w:rsidRPr="0055707B" w14:paraId="24532F92" w14:textId="77777777" w:rsidTr="0055707B">
        <w:trPr>
          <w:trHeight w:val="432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07F8D0A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852709A" w14:textId="77777777" w:rsidR="0055707B" w:rsidRPr="0055707B" w:rsidRDefault="0055707B" w:rsidP="0055707B">
            <w:pPr>
              <w:pStyle w:val="NoSpacing"/>
            </w:pPr>
            <w:r w:rsidRPr="0055707B">
              <w:t>Yes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DB6B815" w14:textId="77777777" w:rsidR="0055707B" w:rsidRPr="0055707B" w:rsidRDefault="0055707B" w:rsidP="0055707B">
            <w:pPr>
              <w:pStyle w:val="NoSpacing"/>
            </w:pPr>
            <w:r w:rsidRPr="0055707B">
              <w:t>158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5C0EC4D" w14:textId="77777777" w:rsidR="0055707B" w:rsidRPr="0055707B" w:rsidRDefault="0055707B" w:rsidP="0055707B">
            <w:pPr>
              <w:pStyle w:val="NoSpacing"/>
            </w:pPr>
            <w:r w:rsidRPr="0055707B">
              <w:t>5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5360464" w14:textId="77777777" w:rsidR="0055707B" w:rsidRPr="0055707B" w:rsidRDefault="0055707B" w:rsidP="0055707B">
            <w:pPr>
              <w:pStyle w:val="NoSpacing"/>
            </w:pPr>
          </w:p>
        </w:tc>
      </w:tr>
      <w:tr w:rsidR="0055707B" w:rsidRPr="0055707B" w14:paraId="02C8BFB1" w14:textId="77777777" w:rsidTr="0055707B">
        <w:trPr>
          <w:trHeight w:val="432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654B335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A6BB074" w14:textId="77777777" w:rsidR="0055707B" w:rsidRPr="0055707B" w:rsidRDefault="0055707B" w:rsidP="0055707B">
            <w:pPr>
              <w:pStyle w:val="NoSpacing"/>
            </w:pPr>
            <w:r w:rsidRPr="0055707B">
              <w:t>No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05D0E76" w14:textId="77777777" w:rsidR="0055707B" w:rsidRPr="0055707B" w:rsidRDefault="0055707B" w:rsidP="0055707B">
            <w:pPr>
              <w:pStyle w:val="NoSpacing"/>
            </w:pPr>
            <w:r w:rsidRPr="0055707B">
              <w:t>8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0080CE" w14:textId="77777777" w:rsidR="0055707B" w:rsidRPr="0055707B" w:rsidRDefault="0055707B" w:rsidP="0055707B">
            <w:pPr>
              <w:pStyle w:val="NoSpacing"/>
            </w:pPr>
            <w:r w:rsidRPr="0055707B">
              <w:t>35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75A6B08" w14:textId="77777777" w:rsidR="0055707B" w:rsidRPr="0055707B" w:rsidRDefault="0055707B" w:rsidP="0055707B">
            <w:pPr>
              <w:pStyle w:val="NoSpacing"/>
            </w:pPr>
          </w:p>
        </w:tc>
      </w:tr>
      <w:tr w:rsidR="0055707B" w:rsidRPr="0055707B" w14:paraId="30677122" w14:textId="77777777" w:rsidTr="0055707B">
        <w:trPr>
          <w:trHeight w:val="1188"/>
        </w:trPr>
        <w:tc>
          <w:tcPr>
            <w:tcW w:w="802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A6E9C1A" w14:textId="4E5CC784" w:rsidR="0055707B" w:rsidRPr="0055707B" w:rsidRDefault="0055707B" w:rsidP="0055707B">
            <w:pPr>
              <w:pStyle w:val="NoSpacing"/>
            </w:pPr>
            <w:r w:rsidRPr="0055707B">
              <w:t xml:space="preserve">Concordance between maternal recall of influenza vaccine receipt at baseline interview and verification of vaccine receipt from </w:t>
            </w:r>
            <w:r w:rsidR="00165469" w:rsidRPr="00165469">
              <w:t>state registry, maternal healthcare provider, and work-place records</w:t>
            </w:r>
            <w:r w:rsidRPr="0055707B">
              <w:t xml:space="preserve">. Only subjects whose vaccine status was verified </w:t>
            </w:r>
            <w:r w:rsidR="005A16B6">
              <w:t xml:space="preserve">as </w:t>
            </w:r>
            <w:r w:rsidRPr="0055707B">
              <w:t>yes or declined were included (</w:t>
            </w:r>
            <w:r w:rsidRPr="0055707B">
              <w:rPr>
                <w:i/>
                <w:iCs/>
              </w:rPr>
              <w:t>n</w:t>
            </w:r>
            <w:r w:rsidRPr="0055707B">
              <w:t>=206). Six subjects who recalled not receiving a vaccine, but received a vaccine after the baseline visit as well as well as 59 subjects whose vaccine status was not verified were excluded.</w:t>
            </w:r>
          </w:p>
        </w:tc>
      </w:tr>
      <w:tr w:rsidR="0055707B" w:rsidRPr="0055707B" w14:paraId="41DC95E6" w14:textId="77777777" w:rsidTr="0055707B">
        <w:trPr>
          <w:trHeight w:val="403"/>
        </w:trPr>
        <w:tc>
          <w:tcPr>
            <w:tcW w:w="802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 w:themeFill="text2" w:themeFillTint="9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57E1AF2" w14:textId="77777777" w:rsidR="0055707B" w:rsidRPr="0055707B" w:rsidRDefault="0055707B" w:rsidP="0055707B">
            <w:pPr>
              <w:pStyle w:val="NoSpacing"/>
              <w:rPr>
                <w:b/>
              </w:rPr>
            </w:pPr>
            <w:r w:rsidRPr="0055707B">
              <w:rPr>
                <w:b/>
              </w:rPr>
              <w:t>Tdap Vaccine Recall Concordance</w:t>
            </w:r>
          </w:p>
        </w:tc>
      </w:tr>
      <w:tr w:rsidR="0055707B" w:rsidRPr="0055707B" w14:paraId="3F9D9CE6" w14:textId="77777777" w:rsidTr="0055707B">
        <w:trPr>
          <w:trHeight w:val="432"/>
        </w:trPr>
        <w:tc>
          <w:tcPr>
            <w:tcW w:w="1158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textDirection w:val="btLr"/>
            <w:vAlign w:val="center"/>
            <w:hideMark/>
          </w:tcPr>
          <w:p w14:paraId="466F662E" w14:textId="77777777" w:rsidR="0055707B" w:rsidRPr="0055707B" w:rsidRDefault="0055707B" w:rsidP="0055707B">
            <w:pPr>
              <w:pStyle w:val="NoSpacing"/>
            </w:pPr>
            <w:r w:rsidRPr="0055707B">
              <w:t>Vaccine Recall</w:t>
            </w:r>
          </w:p>
        </w:tc>
        <w:tc>
          <w:tcPr>
            <w:tcW w:w="11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AAFD372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2573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64F8300" w14:textId="585EE3F3" w:rsidR="0055707B" w:rsidRPr="0055707B" w:rsidRDefault="00165469" w:rsidP="0055707B">
            <w:pPr>
              <w:pStyle w:val="NoSpacing"/>
            </w:pPr>
            <w:r>
              <w:t>Documented vaccination</w:t>
            </w:r>
          </w:p>
        </w:tc>
        <w:tc>
          <w:tcPr>
            <w:tcW w:w="3132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33614E86" w14:textId="77777777" w:rsidR="0055707B" w:rsidRPr="0055707B" w:rsidRDefault="0055707B" w:rsidP="0055707B">
            <w:pPr>
              <w:pStyle w:val="NoSpacing"/>
            </w:pPr>
            <w:r w:rsidRPr="0055707B">
              <w:t>Sensitivity: 93.4%</w:t>
            </w:r>
          </w:p>
          <w:p w14:paraId="370E3502" w14:textId="77777777" w:rsidR="0055707B" w:rsidRPr="0055707B" w:rsidRDefault="0055707B" w:rsidP="0055707B">
            <w:pPr>
              <w:pStyle w:val="NoSpacing"/>
            </w:pPr>
            <w:r w:rsidRPr="0055707B">
              <w:t>Specificity: 67.9%</w:t>
            </w:r>
          </w:p>
          <w:p w14:paraId="37146EC2" w14:textId="77777777" w:rsidR="0055707B" w:rsidRPr="0055707B" w:rsidRDefault="0055707B" w:rsidP="0055707B">
            <w:pPr>
              <w:pStyle w:val="NoSpacing"/>
            </w:pPr>
            <w:r w:rsidRPr="0055707B">
              <w:t>PPV: 95.9%</w:t>
            </w:r>
          </w:p>
          <w:p w14:paraId="25E9EAEF" w14:textId="77777777" w:rsidR="0055707B" w:rsidRPr="0055707B" w:rsidRDefault="0055707B" w:rsidP="0055707B">
            <w:pPr>
              <w:pStyle w:val="NoSpacing"/>
            </w:pPr>
            <w:r w:rsidRPr="0055707B">
              <w:t>NPV: 55.9%</w:t>
            </w:r>
          </w:p>
          <w:p w14:paraId="19E6A03A" w14:textId="77777777" w:rsidR="0055707B" w:rsidRPr="0055707B" w:rsidRDefault="0055707B" w:rsidP="0055707B">
            <w:pPr>
              <w:pStyle w:val="NoSpacing"/>
            </w:pPr>
            <w:r w:rsidRPr="0055707B">
              <w:t>% Agreement: 90.6%</w:t>
            </w:r>
          </w:p>
        </w:tc>
      </w:tr>
      <w:tr w:rsidR="0055707B" w:rsidRPr="0055707B" w14:paraId="0BFAAC1F" w14:textId="77777777" w:rsidTr="0055707B">
        <w:trPr>
          <w:trHeight w:val="432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C98F681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3356943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314043C" w14:textId="77777777" w:rsidR="0055707B" w:rsidRPr="0055707B" w:rsidRDefault="0055707B" w:rsidP="0055707B">
            <w:pPr>
              <w:pStyle w:val="NoSpacing"/>
            </w:pPr>
            <w:r w:rsidRPr="0055707B">
              <w:t>Yes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1F343EB" w14:textId="77777777" w:rsidR="0055707B" w:rsidRPr="0055707B" w:rsidRDefault="0055707B" w:rsidP="0055707B">
            <w:pPr>
              <w:pStyle w:val="NoSpacing"/>
            </w:pPr>
            <w:r w:rsidRPr="0055707B">
              <w:t>No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C816B34" w14:textId="77777777" w:rsidR="0055707B" w:rsidRPr="0055707B" w:rsidRDefault="0055707B" w:rsidP="0055707B">
            <w:pPr>
              <w:pStyle w:val="NoSpacing"/>
            </w:pPr>
          </w:p>
        </w:tc>
      </w:tr>
      <w:tr w:rsidR="0055707B" w:rsidRPr="0055707B" w14:paraId="0BF5EE93" w14:textId="77777777" w:rsidTr="0055707B">
        <w:trPr>
          <w:trHeight w:val="432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AA9C90D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E92BC82" w14:textId="77777777" w:rsidR="0055707B" w:rsidRPr="0055707B" w:rsidRDefault="0055707B" w:rsidP="0055707B">
            <w:pPr>
              <w:pStyle w:val="NoSpacing"/>
            </w:pPr>
            <w:r w:rsidRPr="0055707B">
              <w:t>Yes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E569753" w14:textId="77777777" w:rsidR="0055707B" w:rsidRPr="0055707B" w:rsidRDefault="0055707B" w:rsidP="0055707B">
            <w:pPr>
              <w:pStyle w:val="NoSpacing"/>
            </w:pPr>
            <w:r w:rsidRPr="0055707B">
              <w:t>212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AF82BAA" w14:textId="77777777" w:rsidR="0055707B" w:rsidRPr="0055707B" w:rsidRDefault="0055707B" w:rsidP="0055707B">
            <w:pPr>
              <w:pStyle w:val="NoSpacing"/>
            </w:pPr>
            <w:r w:rsidRPr="0055707B">
              <w:t>9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DAFCA6F" w14:textId="77777777" w:rsidR="0055707B" w:rsidRPr="0055707B" w:rsidRDefault="0055707B" w:rsidP="0055707B">
            <w:pPr>
              <w:pStyle w:val="NoSpacing"/>
            </w:pPr>
          </w:p>
        </w:tc>
      </w:tr>
      <w:tr w:rsidR="0055707B" w:rsidRPr="0055707B" w14:paraId="61552222" w14:textId="77777777" w:rsidTr="0055707B">
        <w:trPr>
          <w:trHeight w:val="432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4CE46C1" w14:textId="77777777" w:rsidR="0055707B" w:rsidRPr="0055707B" w:rsidRDefault="0055707B" w:rsidP="0055707B">
            <w:pPr>
              <w:pStyle w:val="NoSpacing"/>
            </w:pPr>
          </w:p>
        </w:tc>
        <w:tc>
          <w:tcPr>
            <w:tcW w:w="1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87D53A6" w14:textId="77777777" w:rsidR="0055707B" w:rsidRPr="0055707B" w:rsidRDefault="0055707B" w:rsidP="0055707B">
            <w:pPr>
              <w:pStyle w:val="NoSpacing"/>
            </w:pPr>
            <w:r w:rsidRPr="0055707B">
              <w:t>No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AFED2C1" w14:textId="77777777" w:rsidR="0055707B" w:rsidRPr="0055707B" w:rsidRDefault="0055707B" w:rsidP="0055707B">
            <w:pPr>
              <w:pStyle w:val="NoSpacing"/>
            </w:pPr>
            <w:r w:rsidRPr="0055707B">
              <w:t>15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CE832F2" w14:textId="77777777" w:rsidR="0055707B" w:rsidRPr="0055707B" w:rsidRDefault="0055707B" w:rsidP="0055707B">
            <w:pPr>
              <w:pStyle w:val="NoSpacing"/>
            </w:pPr>
            <w:r w:rsidRPr="0055707B">
              <w:t>19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2F73912" w14:textId="77777777" w:rsidR="0055707B" w:rsidRPr="0055707B" w:rsidRDefault="0055707B" w:rsidP="0055707B">
            <w:pPr>
              <w:pStyle w:val="NoSpacing"/>
            </w:pPr>
          </w:p>
        </w:tc>
      </w:tr>
      <w:tr w:rsidR="0055707B" w:rsidRPr="0055707B" w14:paraId="3EB619A1" w14:textId="77777777" w:rsidTr="0055707B">
        <w:trPr>
          <w:trHeight w:val="829"/>
        </w:trPr>
        <w:tc>
          <w:tcPr>
            <w:tcW w:w="802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A0B4DD8" w14:textId="4B5BC8AE" w:rsidR="0055707B" w:rsidRPr="0055707B" w:rsidRDefault="0055707B" w:rsidP="0055707B">
            <w:pPr>
              <w:pStyle w:val="NoSpacing"/>
            </w:pPr>
            <w:r w:rsidRPr="0055707B">
              <w:t xml:space="preserve">Concordance between maternal recall of Tdap vaccine receipt at baseline interview and verification of vaccine receipt from </w:t>
            </w:r>
            <w:r w:rsidR="00165469" w:rsidRPr="00165469">
              <w:t>state registry, maternal healthcare provider, and work-place records</w:t>
            </w:r>
            <w:r w:rsidRPr="0055707B">
              <w:t>. Only subjects who responded to the recall question were included in analysis (</w:t>
            </w:r>
            <w:r w:rsidRPr="0055707B">
              <w:rPr>
                <w:i/>
                <w:iCs/>
              </w:rPr>
              <w:t>n</w:t>
            </w:r>
            <w:r w:rsidRPr="0055707B">
              <w:t>=255)</w:t>
            </w:r>
            <w:r w:rsidR="00165469">
              <w:t>.</w:t>
            </w:r>
          </w:p>
        </w:tc>
      </w:tr>
    </w:tbl>
    <w:p w14:paraId="54563DC1" w14:textId="5103A873" w:rsidR="002078E5" w:rsidRDefault="002078E5" w:rsidP="001230E3">
      <w:pPr>
        <w:pStyle w:val="NoSpacing"/>
      </w:pPr>
    </w:p>
    <w:p w14:paraId="4C6E14CE" w14:textId="77777777" w:rsidR="002078E5" w:rsidRDefault="002078E5" w:rsidP="001230E3">
      <w:pPr>
        <w:pStyle w:val="NoSpacing"/>
      </w:pPr>
    </w:p>
    <w:p w14:paraId="2D338BDF" w14:textId="77777777" w:rsidR="002078E5" w:rsidRDefault="002078E5" w:rsidP="001230E3">
      <w:pPr>
        <w:pStyle w:val="NoSpacing"/>
      </w:pPr>
    </w:p>
    <w:p w14:paraId="340F1E59" w14:textId="77777777" w:rsidR="00461226" w:rsidRPr="009A1DBE" w:rsidRDefault="00461226" w:rsidP="001230E3">
      <w:pPr>
        <w:pStyle w:val="NoSpacing"/>
      </w:pPr>
    </w:p>
    <w:sectPr w:rsidR="00461226" w:rsidRPr="009A1DBE" w:rsidSect="00C074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96183" w14:textId="77777777" w:rsidR="00E72CE9" w:rsidRDefault="00E72CE9" w:rsidP="001D2844">
      <w:pPr>
        <w:spacing w:after="0" w:line="240" w:lineRule="auto"/>
      </w:pPr>
      <w:r>
        <w:separator/>
      </w:r>
    </w:p>
  </w:endnote>
  <w:endnote w:type="continuationSeparator" w:id="0">
    <w:p w14:paraId="02D95449" w14:textId="77777777" w:rsidR="00E72CE9" w:rsidRDefault="00E72CE9" w:rsidP="001D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150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5E68A" w14:textId="4C228D76" w:rsidR="00E72CE9" w:rsidRDefault="00E72C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F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75E68B" w14:textId="77777777" w:rsidR="00E72CE9" w:rsidRDefault="00E72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6B4A9" w14:textId="77777777" w:rsidR="00E72CE9" w:rsidRDefault="00E72CE9" w:rsidP="001D2844">
      <w:pPr>
        <w:spacing w:after="0" w:line="240" w:lineRule="auto"/>
      </w:pPr>
      <w:r>
        <w:separator/>
      </w:r>
    </w:p>
  </w:footnote>
  <w:footnote w:type="continuationSeparator" w:id="0">
    <w:p w14:paraId="6A6D5B3F" w14:textId="77777777" w:rsidR="00E72CE9" w:rsidRDefault="00E72CE9" w:rsidP="001D2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5E687" w14:textId="77777777" w:rsidR="00E72CE9" w:rsidRPr="001230E3" w:rsidRDefault="00E72CE9">
    <w:pPr>
      <w:pStyle w:val="Header"/>
      <w:rPr>
        <w:sz w:val="20"/>
      </w:rPr>
    </w:pPr>
    <w:r w:rsidRPr="001230E3">
      <w:rPr>
        <w:sz w:val="20"/>
      </w:rPr>
      <w:t>IDWeek Abstract Submission</w:t>
    </w:r>
  </w:p>
  <w:p w14:paraId="2175E688" w14:textId="3EC9636F" w:rsidR="00E72CE9" w:rsidRPr="001D2844" w:rsidRDefault="00E72CE9">
    <w:pPr>
      <w:pStyle w:val="Header"/>
      <w:rPr>
        <w:sz w:val="20"/>
      </w:rPr>
    </w:pPr>
    <w:r w:rsidRPr="001D2844">
      <w:rPr>
        <w:sz w:val="20"/>
      </w:rPr>
      <w:fldChar w:fldCharType="begin"/>
    </w:r>
    <w:r w:rsidRPr="001D2844">
      <w:rPr>
        <w:sz w:val="20"/>
      </w:rPr>
      <w:instrText xml:space="preserve"> DATE \@ "MMMM d, yyyy" </w:instrText>
    </w:r>
    <w:r w:rsidRPr="001D2844">
      <w:rPr>
        <w:sz w:val="20"/>
      </w:rPr>
      <w:fldChar w:fldCharType="separate"/>
    </w:r>
    <w:r w:rsidR="004340B0">
      <w:rPr>
        <w:noProof/>
        <w:sz w:val="20"/>
      </w:rPr>
      <w:t>May 2, 2019</w:t>
    </w:r>
    <w:r w:rsidRPr="001D2844">
      <w:rPr>
        <w:sz w:val="20"/>
      </w:rPr>
      <w:fldChar w:fldCharType="end"/>
    </w:r>
  </w:p>
  <w:p w14:paraId="2175E689" w14:textId="77777777" w:rsidR="00E72CE9" w:rsidRDefault="00E72C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830D5"/>
    <w:multiLevelType w:val="multilevel"/>
    <w:tmpl w:val="3AAEB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Clinical Infectious Disease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p05sd50e0zt92e0z5txvezy5f090tfaterx&quot;&gt;Maternal immunization&lt;record-ids&gt;&lt;item&gt;29&lt;/item&gt;&lt;item&gt;51&lt;/item&gt;&lt;item&gt;56&lt;/item&gt;&lt;item&gt;67&lt;/item&gt;&lt;item&gt;101&lt;/item&gt;&lt;item&gt;542&lt;/item&gt;&lt;item&gt;573&lt;/item&gt;&lt;item&gt;655&lt;/item&gt;&lt;item&gt;666&lt;/item&gt;&lt;item&gt;669&lt;/item&gt;&lt;item&gt;706&lt;/item&gt;&lt;item&gt;708&lt;/item&gt;&lt;item&gt;761&lt;/item&gt;&lt;item&gt;775&lt;/item&gt;&lt;item&gt;777&lt;/item&gt;&lt;/record-ids&gt;&lt;/item&gt;&lt;/Libraries&gt;"/>
  </w:docVars>
  <w:rsids>
    <w:rsidRoot w:val="00306DFA"/>
    <w:rsid w:val="00002C30"/>
    <w:rsid w:val="00020140"/>
    <w:rsid w:val="00022A66"/>
    <w:rsid w:val="00026B26"/>
    <w:rsid w:val="00032959"/>
    <w:rsid w:val="00035978"/>
    <w:rsid w:val="00044E3B"/>
    <w:rsid w:val="00050280"/>
    <w:rsid w:val="00054CEB"/>
    <w:rsid w:val="00064FE2"/>
    <w:rsid w:val="000715FA"/>
    <w:rsid w:val="000828F2"/>
    <w:rsid w:val="0009083F"/>
    <w:rsid w:val="000B2FCF"/>
    <w:rsid w:val="000C46DD"/>
    <w:rsid w:val="000E31F2"/>
    <w:rsid w:val="000E33A4"/>
    <w:rsid w:val="001072F2"/>
    <w:rsid w:val="00111E01"/>
    <w:rsid w:val="0011321E"/>
    <w:rsid w:val="00121C5D"/>
    <w:rsid w:val="001230E3"/>
    <w:rsid w:val="00134084"/>
    <w:rsid w:val="001626AB"/>
    <w:rsid w:val="00162B07"/>
    <w:rsid w:val="00165469"/>
    <w:rsid w:val="0017319B"/>
    <w:rsid w:val="001743BF"/>
    <w:rsid w:val="00175111"/>
    <w:rsid w:val="00185C6E"/>
    <w:rsid w:val="00186C70"/>
    <w:rsid w:val="00195009"/>
    <w:rsid w:val="001A4FC4"/>
    <w:rsid w:val="001A6D15"/>
    <w:rsid w:val="001A7EAE"/>
    <w:rsid w:val="001C29CC"/>
    <w:rsid w:val="001D2115"/>
    <w:rsid w:val="001D2844"/>
    <w:rsid w:val="001D3596"/>
    <w:rsid w:val="001D412E"/>
    <w:rsid w:val="001D7C94"/>
    <w:rsid w:val="001E1ABA"/>
    <w:rsid w:val="001E2288"/>
    <w:rsid w:val="00205864"/>
    <w:rsid w:val="002078E5"/>
    <w:rsid w:val="00212A35"/>
    <w:rsid w:val="00217E1B"/>
    <w:rsid w:val="00227FCD"/>
    <w:rsid w:val="00231B86"/>
    <w:rsid w:val="00231E73"/>
    <w:rsid w:val="00244BC5"/>
    <w:rsid w:val="00250317"/>
    <w:rsid w:val="00251F78"/>
    <w:rsid w:val="002536A5"/>
    <w:rsid w:val="00261804"/>
    <w:rsid w:val="00275858"/>
    <w:rsid w:val="002760BC"/>
    <w:rsid w:val="00276263"/>
    <w:rsid w:val="002846C4"/>
    <w:rsid w:val="00290A92"/>
    <w:rsid w:val="00290B85"/>
    <w:rsid w:val="00294BDC"/>
    <w:rsid w:val="002B7664"/>
    <w:rsid w:val="002C16D4"/>
    <w:rsid w:val="002C3A96"/>
    <w:rsid w:val="002C44E8"/>
    <w:rsid w:val="002C6018"/>
    <w:rsid w:val="002D5090"/>
    <w:rsid w:val="002F0069"/>
    <w:rsid w:val="003013FB"/>
    <w:rsid w:val="003051E0"/>
    <w:rsid w:val="00306DFA"/>
    <w:rsid w:val="00314EE6"/>
    <w:rsid w:val="00320286"/>
    <w:rsid w:val="00334498"/>
    <w:rsid w:val="00336066"/>
    <w:rsid w:val="0034796A"/>
    <w:rsid w:val="00373BE6"/>
    <w:rsid w:val="00385935"/>
    <w:rsid w:val="00387328"/>
    <w:rsid w:val="00397137"/>
    <w:rsid w:val="003A2606"/>
    <w:rsid w:val="003A7DB4"/>
    <w:rsid w:val="003C7B55"/>
    <w:rsid w:val="003E47CA"/>
    <w:rsid w:val="003F0FDA"/>
    <w:rsid w:val="003F78BC"/>
    <w:rsid w:val="0040221F"/>
    <w:rsid w:val="0043164B"/>
    <w:rsid w:val="004340B0"/>
    <w:rsid w:val="00454B00"/>
    <w:rsid w:val="00461226"/>
    <w:rsid w:val="00484A60"/>
    <w:rsid w:val="00487953"/>
    <w:rsid w:val="004A7167"/>
    <w:rsid w:val="004B08C9"/>
    <w:rsid w:val="004B27A8"/>
    <w:rsid w:val="004B2F14"/>
    <w:rsid w:val="004C3394"/>
    <w:rsid w:val="004E41FD"/>
    <w:rsid w:val="004F38AE"/>
    <w:rsid w:val="004F79A4"/>
    <w:rsid w:val="00514A55"/>
    <w:rsid w:val="00520E1F"/>
    <w:rsid w:val="00530B01"/>
    <w:rsid w:val="005312C7"/>
    <w:rsid w:val="00543453"/>
    <w:rsid w:val="00545882"/>
    <w:rsid w:val="00546AA9"/>
    <w:rsid w:val="005541A3"/>
    <w:rsid w:val="0055707B"/>
    <w:rsid w:val="00562C97"/>
    <w:rsid w:val="00564128"/>
    <w:rsid w:val="00564C1B"/>
    <w:rsid w:val="005701F1"/>
    <w:rsid w:val="00574B29"/>
    <w:rsid w:val="00584213"/>
    <w:rsid w:val="005918A5"/>
    <w:rsid w:val="005A16B6"/>
    <w:rsid w:val="005A4D40"/>
    <w:rsid w:val="005B334A"/>
    <w:rsid w:val="005B6385"/>
    <w:rsid w:val="005B66AC"/>
    <w:rsid w:val="005B6BB0"/>
    <w:rsid w:val="005B79B3"/>
    <w:rsid w:val="005C21DD"/>
    <w:rsid w:val="005C2ECB"/>
    <w:rsid w:val="005C4B54"/>
    <w:rsid w:val="005D050F"/>
    <w:rsid w:val="005D1570"/>
    <w:rsid w:val="005D5B2C"/>
    <w:rsid w:val="005E3DF8"/>
    <w:rsid w:val="005F5454"/>
    <w:rsid w:val="00601E9B"/>
    <w:rsid w:val="00604285"/>
    <w:rsid w:val="0061003C"/>
    <w:rsid w:val="00612A95"/>
    <w:rsid w:val="00631F82"/>
    <w:rsid w:val="0064092B"/>
    <w:rsid w:val="00646494"/>
    <w:rsid w:val="0065276D"/>
    <w:rsid w:val="00657117"/>
    <w:rsid w:val="00666493"/>
    <w:rsid w:val="00671B0E"/>
    <w:rsid w:val="006735DD"/>
    <w:rsid w:val="00680F74"/>
    <w:rsid w:val="00684CFE"/>
    <w:rsid w:val="00695F90"/>
    <w:rsid w:val="006A2D50"/>
    <w:rsid w:val="006A31EE"/>
    <w:rsid w:val="006B1539"/>
    <w:rsid w:val="006B25C4"/>
    <w:rsid w:val="006C1D34"/>
    <w:rsid w:val="006C1D79"/>
    <w:rsid w:val="006C74CE"/>
    <w:rsid w:val="006C7CAC"/>
    <w:rsid w:val="006D2E67"/>
    <w:rsid w:val="006D644F"/>
    <w:rsid w:val="006F3E41"/>
    <w:rsid w:val="0070013D"/>
    <w:rsid w:val="0071194A"/>
    <w:rsid w:val="00714094"/>
    <w:rsid w:val="0071793F"/>
    <w:rsid w:val="00717A4C"/>
    <w:rsid w:val="00717B0B"/>
    <w:rsid w:val="00717BE5"/>
    <w:rsid w:val="00717F53"/>
    <w:rsid w:val="0072030F"/>
    <w:rsid w:val="0073692A"/>
    <w:rsid w:val="007416BE"/>
    <w:rsid w:val="00755270"/>
    <w:rsid w:val="00763321"/>
    <w:rsid w:val="007637F4"/>
    <w:rsid w:val="00771A26"/>
    <w:rsid w:val="0077332B"/>
    <w:rsid w:val="00775DEA"/>
    <w:rsid w:val="00780BC1"/>
    <w:rsid w:val="00781333"/>
    <w:rsid w:val="00784894"/>
    <w:rsid w:val="00795F88"/>
    <w:rsid w:val="00796C4D"/>
    <w:rsid w:val="007A3CEC"/>
    <w:rsid w:val="007A54E4"/>
    <w:rsid w:val="007B2511"/>
    <w:rsid w:val="007B5E5D"/>
    <w:rsid w:val="007D5F30"/>
    <w:rsid w:val="007D6FC3"/>
    <w:rsid w:val="007E0A05"/>
    <w:rsid w:val="007F5F42"/>
    <w:rsid w:val="00801F2E"/>
    <w:rsid w:val="00803940"/>
    <w:rsid w:val="0081183D"/>
    <w:rsid w:val="00816AE3"/>
    <w:rsid w:val="008273BA"/>
    <w:rsid w:val="00836C61"/>
    <w:rsid w:val="00836F5D"/>
    <w:rsid w:val="008379FE"/>
    <w:rsid w:val="00862425"/>
    <w:rsid w:val="008807F2"/>
    <w:rsid w:val="00891827"/>
    <w:rsid w:val="00897DAD"/>
    <w:rsid w:val="008A4A19"/>
    <w:rsid w:val="008B3EB7"/>
    <w:rsid w:val="008C5A3B"/>
    <w:rsid w:val="008C5FC9"/>
    <w:rsid w:val="008E3860"/>
    <w:rsid w:val="008E3E08"/>
    <w:rsid w:val="008F11F9"/>
    <w:rsid w:val="008F654C"/>
    <w:rsid w:val="008F6695"/>
    <w:rsid w:val="009005CF"/>
    <w:rsid w:val="0090410A"/>
    <w:rsid w:val="00915BD8"/>
    <w:rsid w:val="00924BDC"/>
    <w:rsid w:val="00926E9C"/>
    <w:rsid w:val="0093021C"/>
    <w:rsid w:val="009317C7"/>
    <w:rsid w:val="00931F66"/>
    <w:rsid w:val="0093362A"/>
    <w:rsid w:val="00935ABD"/>
    <w:rsid w:val="0093746A"/>
    <w:rsid w:val="00941E09"/>
    <w:rsid w:val="0094439E"/>
    <w:rsid w:val="00954FAF"/>
    <w:rsid w:val="00957967"/>
    <w:rsid w:val="00992268"/>
    <w:rsid w:val="00997C0C"/>
    <w:rsid w:val="009A1DBE"/>
    <w:rsid w:val="009A38F9"/>
    <w:rsid w:val="009F0791"/>
    <w:rsid w:val="00A232A7"/>
    <w:rsid w:val="00A25049"/>
    <w:rsid w:val="00A26E4E"/>
    <w:rsid w:val="00A30622"/>
    <w:rsid w:val="00A30F3B"/>
    <w:rsid w:val="00A4426D"/>
    <w:rsid w:val="00A475B8"/>
    <w:rsid w:val="00A53FEB"/>
    <w:rsid w:val="00A559CE"/>
    <w:rsid w:val="00A962B9"/>
    <w:rsid w:val="00A97F97"/>
    <w:rsid w:val="00AB35D8"/>
    <w:rsid w:val="00AB4E2A"/>
    <w:rsid w:val="00AF38FC"/>
    <w:rsid w:val="00AF396E"/>
    <w:rsid w:val="00AF4693"/>
    <w:rsid w:val="00B15947"/>
    <w:rsid w:val="00B21B74"/>
    <w:rsid w:val="00B33744"/>
    <w:rsid w:val="00B50DA3"/>
    <w:rsid w:val="00B518ED"/>
    <w:rsid w:val="00B5381A"/>
    <w:rsid w:val="00B540DA"/>
    <w:rsid w:val="00B6283E"/>
    <w:rsid w:val="00B65793"/>
    <w:rsid w:val="00B80598"/>
    <w:rsid w:val="00B85D93"/>
    <w:rsid w:val="00B9282A"/>
    <w:rsid w:val="00B931B5"/>
    <w:rsid w:val="00B94BC3"/>
    <w:rsid w:val="00B953DB"/>
    <w:rsid w:val="00B9609F"/>
    <w:rsid w:val="00BA2908"/>
    <w:rsid w:val="00BB2A96"/>
    <w:rsid w:val="00BC52DD"/>
    <w:rsid w:val="00BC5AE5"/>
    <w:rsid w:val="00BC68E8"/>
    <w:rsid w:val="00BD09E9"/>
    <w:rsid w:val="00BD0DAE"/>
    <w:rsid w:val="00BD4712"/>
    <w:rsid w:val="00BF4A24"/>
    <w:rsid w:val="00C05632"/>
    <w:rsid w:val="00C0740D"/>
    <w:rsid w:val="00C07A06"/>
    <w:rsid w:val="00C15E30"/>
    <w:rsid w:val="00C33004"/>
    <w:rsid w:val="00C36CA4"/>
    <w:rsid w:val="00C41950"/>
    <w:rsid w:val="00C46445"/>
    <w:rsid w:val="00C47B0E"/>
    <w:rsid w:val="00C53746"/>
    <w:rsid w:val="00C539CF"/>
    <w:rsid w:val="00C57510"/>
    <w:rsid w:val="00C612C3"/>
    <w:rsid w:val="00C65C41"/>
    <w:rsid w:val="00C7036A"/>
    <w:rsid w:val="00C75E06"/>
    <w:rsid w:val="00C818B5"/>
    <w:rsid w:val="00C847F0"/>
    <w:rsid w:val="00C861A1"/>
    <w:rsid w:val="00C87355"/>
    <w:rsid w:val="00C94318"/>
    <w:rsid w:val="00C967EA"/>
    <w:rsid w:val="00C96C49"/>
    <w:rsid w:val="00CA2114"/>
    <w:rsid w:val="00CA215A"/>
    <w:rsid w:val="00CB01C4"/>
    <w:rsid w:val="00CD0317"/>
    <w:rsid w:val="00CE4470"/>
    <w:rsid w:val="00CE665E"/>
    <w:rsid w:val="00CF2092"/>
    <w:rsid w:val="00CF5A78"/>
    <w:rsid w:val="00D039B5"/>
    <w:rsid w:val="00D04B8E"/>
    <w:rsid w:val="00D058CF"/>
    <w:rsid w:val="00D10A55"/>
    <w:rsid w:val="00D170C5"/>
    <w:rsid w:val="00D300F3"/>
    <w:rsid w:val="00D5303B"/>
    <w:rsid w:val="00D536FF"/>
    <w:rsid w:val="00D55384"/>
    <w:rsid w:val="00D60A60"/>
    <w:rsid w:val="00D63739"/>
    <w:rsid w:val="00D65C79"/>
    <w:rsid w:val="00D669E6"/>
    <w:rsid w:val="00D72831"/>
    <w:rsid w:val="00D73B39"/>
    <w:rsid w:val="00D80B1B"/>
    <w:rsid w:val="00D834D6"/>
    <w:rsid w:val="00D84761"/>
    <w:rsid w:val="00D930A8"/>
    <w:rsid w:val="00D933D3"/>
    <w:rsid w:val="00D97475"/>
    <w:rsid w:val="00DA1C81"/>
    <w:rsid w:val="00DB698F"/>
    <w:rsid w:val="00DB6D21"/>
    <w:rsid w:val="00DC2553"/>
    <w:rsid w:val="00DC3755"/>
    <w:rsid w:val="00DC3845"/>
    <w:rsid w:val="00DE4CDB"/>
    <w:rsid w:val="00DF0BD3"/>
    <w:rsid w:val="00DF603E"/>
    <w:rsid w:val="00DF6EC9"/>
    <w:rsid w:val="00E00851"/>
    <w:rsid w:val="00E05D55"/>
    <w:rsid w:val="00E11F6A"/>
    <w:rsid w:val="00E15683"/>
    <w:rsid w:val="00E21F41"/>
    <w:rsid w:val="00E270BC"/>
    <w:rsid w:val="00E32AF3"/>
    <w:rsid w:val="00E33CF3"/>
    <w:rsid w:val="00E34EE5"/>
    <w:rsid w:val="00E46AFB"/>
    <w:rsid w:val="00E47E58"/>
    <w:rsid w:val="00E5334A"/>
    <w:rsid w:val="00E535F7"/>
    <w:rsid w:val="00E704B0"/>
    <w:rsid w:val="00E72CE9"/>
    <w:rsid w:val="00EB23D8"/>
    <w:rsid w:val="00EB7644"/>
    <w:rsid w:val="00EC0476"/>
    <w:rsid w:val="00EC1E93"/>
    <w:rsid w:val="00EC7EA0"/>
    <w:rsid w:val="00ED3E44"/>
    <w:rsid w:val="00ED50FF"/>
    <w:rsid w:val="00EE0A38"/>
    <w:rsid w:val="00EE4E66"/>
    <w:rsid w:val="00F031D2"/>
    <w:rsid w:val="00F03C5B"/>
    <w:rsid w:val="00F077E9"/>
    <w:rsid w:val="00F23D44"/>
    <w:rsid w:val="00F32058"/>
    <w:rsid w:val="00F3282E"/>
    <w:rsid w:val="00F4378C"/>
    <w:rsid w:val="00F566FE"/>
    <w:rsid w:val="00F752E8"/>
    <w:rsid w:val="00F827AD"/>
    <w:rsid w:val="00F84C0F"/>
    <w:rsid w:val="00F876A2"/>
    <w:rsid w:val="00F92B30"/>
    <w:rsid w:val="00F953E7"/>
    <w:rsid w:val="00F95EBE"/>
    <w:rsid w:val="00FC68CB"/>
    <w:rsid w:val="00FD2E14"/>
    <w:rsid w:val="00FE3220"/>
    <w:rsid w:val="00FF1ED1"/>
    <w:rsid w:val="00FF3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E623"/>
  <w15:docId w15:val="{3736498C-4D66-42F2-BFC9-5B93172B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65276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41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44"/>
  </w:style>
  <w:style w:type="paragraph" w:styleId="Footer">
    <w:name w:val="footer"/>
    <w:basedOn w:val="Normal"/>
    <w:link w:val="FooterChar"/>
    <w:uiPriority w:val="99"/>
    <w:unhideWhenUsed/>
    <w:rsid w:val="001D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44"/>
  </w:style>
  <w:style w:type="paragraph" w:styleId="NoSpacing">
    <w:name w:val="No Spacing"/>
    <w:uiPriority w:val="1"/>
    <w:qFormat/>
    <w:rsid w:val="0070013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7416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2C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C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C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C9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3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9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895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573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4240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252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80D-AE4B-BC28-2C36F7C0D92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80D-AE4B-BC28-2C36F7C0D92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80D-AE4B-BC28-2C36F7C0D92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580D-AE4B-BC28-2C36F7C0D92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580D-AE4B-BC28-2C36F7C0D92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580D-AE4B-BC28-2C36F7C0D92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580D-AE4B-BC28-2C36F7C0D928}"/>
              </c:ext>
            </c:extLst>
          </c:dPt>
          <c:dLbls>
            <c:dLbl>
              <c:idx val="4"/>
              <c:layout>
                <c:manualLayout>
                  <c:x val="-5.8423259346114739E-2"/>
                  <c:y val="7.2682648651158713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580D-AE4B-BC28-2C36F7C0D928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Sheet1!$A$2:$A$8</c:f>
              <c:strCache>
                <c:ptCount val="7"/>
                <c:pt idx="0">
                  <c:v>To protect my baby</c:v>
                </c:pt>
                <c:pt idx="1">
                  <c:v>To protect myself</c:v>
                </c:pt>
                <c:pt idx="2">
                  <c:v>To avoid missing work</c:v>
                </c:pt>
                <c:pt idx="3">
                  <c:v>Health professional recommended</c:v>
                </c:pt>
                <c:pt idx="4">
                  <c:v>To protect my family</c:v>
                </c:pt>
                <c:pt idx="5">
                  <c:v>It was easy or convenient</c:v>
                </c:pt>
                <c:pt idx="6">
                  <c:v>Flu might be bad this year</c:v>
                </c:pt>
              </c:strCache>
            </c:strRef>
          </c:cat>
          <c:val>
            <c:numRef>
              <c:f>Sheet1!$B$2:$B$8</c:f>
              <c:numCache>
                <c:formatCode>0.00%</c:formatCode>
                <c:ptCount val="7"/>
                <c:pt idx="0">
                  <c:v>0.36699999999999999</c:v>
                </c:pt>
                <c:pt idx="1">
                  <c:v>0.26</c:v>
                </c:pt>
                <c:pt idx="2">
                  <c:v>0.17499999999999999</c:v>
                </c:pt>
                <c:pt idx="3">
                  <c:v>0.14099999999999999</c:v>
                </c:pt>
                <c:pt idx="4">
                  <c:v>2.8000000000000001E-2</c:v>
                </c:pt>
                <c:pt idx="5">
                  <c:v>1.0999999999999999E-2</c:v>
                </c:pt>
                <c:pt idx="6">
                  <c:v>1.0999999999999999E-2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580D-AE4B-BC28-2C36F7C0D92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Schlaudecker</dc:creator>
  <cp:keywords/>
  <dc:description/>
  <cp:lastModifiedBy>Schlaudecker, Elizabeth</cp:lastModifiedBy>
  <cp:revision>5</cp:revision>
  <cp:lastPrinted>2013-07-02T19:05:00Z</cp:lastPrinted>
  <dcterms:created xsi:type="dcterms:W3CDTF">2019-05-02T19:28:00Z</dcterms:created>
  <dcterms:modified xsi:type="dcterms:W3CDTF">2019-05-02T20:04:00Z</dcterms:modified>
</cp:coreProperties>
</file>