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PRIMERA-PAGINA.docx"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altChunk r:id="rId22"/>
    <w:p>
      <w:r>
        <w:br w:type="page"/>
      </w:r>
    </w:p>
    <w:p>
      <w:pPr>
        <w:pStyle w:val="Titulo1enum"/>
      </w:pPr>
      <w:r>
        <w:t xml:space="preserve">Introducción</w:t>
      </w:r>
    </w:p>
    <w:p>
      <w:pPr>
        <w:pStyle w:val="BodyText"/>
      </w:pPr>
      <w:r>
        <w:t xml:space="preserve">El objeto del presente artículo es determinar la composición de la cartera de créditos que concede el sistema financiero de Bolivia por medio de las instituciones que la componen (Bancos múltiples, bancos PYME, cooperativas, entidades financieras de vivienda, instituciones financieras de desarrollo y banco de desarrollo productivo), donde la presentación de los resultados encontrados se compone de un análisis descriptivo por medio de estadísticas de resumen (Promedio, desviación, coeficiente de variación, máximo, mínimo, tendencia y probabilidad t de la tendencia) y series de tiempo de las categorías bajo las cuales se suscribieron los créditos desde 2017 a 2023 ya sea por tipo de crédito o consumidor financiero.</w:t>
      </w:r>
    </w:p>
    <w:bookmarkStart w:id="20" w:name="MarcoTeorico"/>
    <w:p>
      <w:pPr>
        <w:pStyle w:val="Ttulo1"/>
      </w:pPr>
      <w:r>
        <w:t xml:space="preserve">Métodos</w:t>
      </w:r>
    </w:p>
    <w:p>
      <w:pPr>
        <w:pStyle w:val="FirstParagraph"/>
      </w:pPr>
      <w:r>
        <w:t xml:space="preserve">Los créditos que conceden las diferentes entidades de intermediación financiera del sistema financiero de Bolivia se registran en la cuenta denominada como</w:t>
      </w:r>
      <w:r>
        <w:t xml:space="preserve"> </w:t>
      </w:r>
      <w:r>
        <w:t xml:space="preserve">“</w:t>
      </w:r>
      <w:r>
        <w:t xml:space="preserve">cartera</w:t>
      </w:r>
      <w:r>
        <w:t xml:space="preserve">”</w:t>
      </w:r>
      <w:r>
        <w:t xml:space="preserve"> </w:t>
      </w:r>
      <w:r>
        <w:t xml:space="preserve">con código 130.00 contenida en los balances mensuales que presentan ante la</w:t>
      </w:r>
      <w:r>
        <w:t xml:space="preserve"> </w:t>
      </w:r>
      <w:r>
        <w:t xml:space="preserve">ASFI (2022)</w:t>
      </w:r>
      <w:r>
        <w:t xml:space="preserve">, pero de manera conjunta en periodos trimestrales dichas instituciones deben presentar estados financieros adicionales que informan sobre la composición de los créditos que conceden, atendiendo a:</w:t>
      </w:r>
    </w:p>
    <w:p>
      <w:pPr>
        <w:numPr>
          <w:ilvl w:val="0"/>
          <w:numId w:val="1001"/>
        </w:numPr>
        <w:pStyle w:val="Compact"/>
      </w:pPr>
      <w:r>
        <w:t xml:space="preserve">Tipo de crédito, conformada por 30 categorías que fueron agrupadas en las siguientes: Microcréditos, créditos empresariales, créditos de vivienda, créditos PYME y créditos de consumo.</w:t>
      </w:r>
    </w:p>
    <w:p>
      <w:pPr>
        <w:numPr>
          <w:ilvl w:val="0"/>
          <w:numId w:val="1001"/>
        </w:numPr>
        <w:pStyle w:val="Compact"/>
      </w:pPr>
      <w:r>
        <w:t xml:space="preserve">Tipo de actividad económica del consumidor financiero, conformada en 18 categorías que fueron agrupadas en las siguientes: Productivo, comercio y servicios.</w:t>
      </w:r>
    </w:p>
    <w:p>
      <w:r>
        <w:br w:type="page"/>
      </w:r>
    </w:p>
    <w:bookmarkEnd w:id="20"/>
    <w:bookmarkStart w:id="25" w:name="resultados"/>
    <w:p>
      <w:pPr>
        <w:pStyle w:val="Ttulo1"/>
      </w:pPr>
      <w:r>
        <w:t xml:space="preserve">Resultados</w:t>
      </w:r>
    </w:p>
    <w:p>
      <w:pPr>
        <w:pStyle w:val="FirstParagraph"/>
      </w:pPr>
      <w:r>
        <w:t xml:space="preserve">Si los créditos concedidos en el sistema financiero de Bolivia son clasificados por tipo de consumidor financiero, es decir, que tipo de actividad económica que desempeña, en promedio está compuesto por:</w:t>
      </w:r>
    </w:p>
    <w:p>
      <w:pPr>
        <w:numPr>
          <w:ilvl w:val="0"/>
          <w:numId w:val="1002"/>
        </w:numPr>
        <w:pStyle w:val="Compact"/>
      </w:pPr>
      <w:r>
        <w:t xml:space="preserve">Servicios (40.74%)</w:t>
      </w:r>
    </w:p>
    <w:p>
      <w:pPr>
        <w:numPr>
          <w:ilvl w:val="0"/>
          <w:numId w:val="1002"/>
        </w:numPr>
        <w:pStyle w:val="Compact"/>
      </w:pPr>
      <w:r>
        <w:t xml:space="preserve">Productivo (38.30%)</w:t>
      </w:r>
    </w:p>
    <w:p>
      <w:pPr>
        <w:numPr>
          <w:ilvl w:val="0"/>
          <w:numId w:val="1002"/>
        </w:numPr>
        <w:pStyle w:val="Compact"/>
      </w:pPr>
      <w:r>
        <w:t xml:space="preserve">Comercio (21.14%)</w:t>
      </w:r>
    </w:p>
    <w:p>
      <w:pPr>
        <w:pStyle w:val="FirstParagraph"/>
      </w:pPr>
      <w:r>
        <w:t xml:space="preserve">Donde los créditos para consumidores financieros, están relativamente distribuidos pero los créditos al sector de comercio tienen una tendencia negativa que es estadísticamente significativa, es decir, que se espera que el patrón se mantenga en el tiempo, así también, existe una tendencia positiva en los créditos concedidos al sector productivo y sector de servicios, que si bien en la figura</w:t>
      </w:r>
      <w:r>
        <w:t xml:space="preserve"> </w:t>
      </w:r>
      <w:hyperlink w:anchor="carteraCcadFigura">
        <w:r xmlns:w14="http://schemas.microsoft.com/office/word/2010/wordml">
          <w:rPr/>
          <w:fldChar w:fldCharType="begin" w:dirty="true"/>
        </w:r>
        <w:r xmlns:w14="http://schemas.microsoft.com/office/word/2010/wordml">
          <w:rPr/>
          <w:instrText xml:space="preserve" w:dirty="true"> REF carteraCcadFigura \h</w:instrText>
        </w:r>
        <w:r xmlns:w14="http://schemas.microsoft.com/office/word/2010/wordml">
          <w:rPr/>
          <w:fldChar w:fldCharType="end" w:dirty="true"/>
        </w:r>
      </w:hyperlink>
      <w:r>
        <w:t xml:space="preserve"> </w:t>
      </w:r>
      <w:r>
        <w:t xml:space="preserve">aparenta que el sector de servicios es el más favorecido la tendencia calculada indica que el sector productivo incrementa su posición a una tasa de cambio más alta (Ver tabla</w:t>
      </w:r>
      <w:r>
        <w:t xml:space="preserve"> </w:t>
      </w:r>
      <w:hyperlink w:anchor="carteraCcadTabla">
        <w:r xmlns:w14="http://schemas.microsoft.com/office/word/2010/wordml">
          <w:rPr/>
          <w:fldChar w:fldCharType="begin" w:dirty="true"/>
        </w:r>
        <w:r xmlns:w14="http://schemas.microsoft.com/office/word/2010/wordml">
          <w:rPr/>
          <w:instrText xml:space="preserve" w:dirty="true"> REF carteraCcadTabla \h</w:instrText>
        </w:r>
        <w:r xmlns:w14="http://schemas.microsoft.com/office/word/2010/wordml">
          <w:rPr/>
          <w:fldChar w:fldCharType="end" w:dirty="true"/>
        </w:r>
      </w:hyperlink>
      <w:r>
        <w:t xml:space="preserve">). Por otro lado, si se clasifica los créditos concedidos por categorías bajo la cual fue suscrita (Ver tabla</w:t>
      </w:r>
      <w:r>
        <w:t xml:space="preserve"> </w:t>
      </w:r>
      <w:hyperlink w:anchor="carteraCctcTabla">
        <w:r xmlns:w14="http://schemas.microsoft.com/office/word/2010/wordml">
          <w:rPr/>
          <w:fldChar w:fldCharType="begin" w:dirty="true"/>
        </w:r>
        <w:r xmlns:w14="http://schemas.microsoft.com/office/word/2010/wordml">
          <w:rPr/>
          <w:instrText xml:space="preserve" w:dirty="true"> REF carteraCctcTabla \h</w:instrText>
        </w:r>
        <w:r xmlns:w14="http://schemas.microsoft.com/office/word/2010/wordml">
          <w:rPr/>
          <w:fldChar w:fldCharType="end" w:dirty="true"/>
        </w:r>
      </w:hyperlink>
      <w:r>
        <w:t xml:space="preserve"> </w:t>
      </w:r>
      <w:r>
        <w:t xml:space="preserve">y figura</w:t>
      </w:r>
      <w:r>
        <w:t xml:space="preserve"> </w:t>
      </w:r>
      <w:hyperlink w:anchor="carteraCctcFigura">
        <w:r xmlns:w14="http://schemas.microsoft.com/office/word/2010/wordml">
          <w:rPr/>
          <w:fldChar w:fldCharType="begin" w:dirty="true"/>
        </w:r>
        <w:r xmlns:w14="http://schemas.microsoft.com/office/word/2010/wordml">
          <w:rPr/>
          <w:instrText xml:space="preserve" w:dirty="true"> REF carteraCctcFigura \h</w:instrText>
        </w:r>
        <w:r xmlns:w14="http://schemas.microsoft.com/office/word/2010/wordml">
          <w:rPr/>
          <w:fldChar w:fldCharType="end" w:dirty="true"/>
        </w:r>
      </w:hyperlink>
      <w:r>
        <w:t xml:space="preserve">), se tiene que:</w:t>
      </w:r>
    </w:p>
    <w:p>
      <w:pPr>
        <w:numPr>
          <w:ilvl w:val="0"/>
          <w:numId w:val="1003"/>
        </w:numPr>
        <w:pStyle w:val="Compact"/>
      </w:pPr>
      <w:r>
        <w:t xml:space="preserve">Microcréditos (29.84%)</w:t>
      </w:r>
    </w:p>
    <w:p>
      <w:pPr>
        <w:numPr>
          <w:ilvl w:val="0"/>
          <w:numId w:val="1003"/>
        </w:numPr>
        <w:pStyle w:val="Compact"/>
      </w:pPr>
      <w:r>
        <w:t xml:space="preserve">Créditos de vivienda (25.46%)</w:t>
      </w:r>
    </w:p>
    <w:p>
      <w:pPr>
        <w:numPr>
          <w:ilvl w:val="0"/>
          <w:numId w:val="1003"/>
        </w:numPr>
        <w:pStyle w:val="Compact"/>
      </w:pPr>
      <w:r>
        <w:t xml:space="preserve">Créditos empresariales (22.55%)</w:t>
      </w:r>
    </w:p>
    <w:p>
      <w:pPr>
        <w:numPr>
          <w:ilvl w:val="0"/>
          <w:numId w:val="1003"/>
        </w:numPr>
        <w:pStyle w:val="Compact"/>
      </w:pPr>
      <w:r>
        <w:t xml:space="preserve">Créditos PYME (12.50%)</w:t>
      </w:r>
    </w:p>
    <w:p>
      <w:pPr>
        <w:numPr>
          <w:ilvl w:val="0"/>
          <w:numId w:val="1003"/>
        </w:numPr>
        <w:pStyle w:val="Compact"/>
      </w:pPr>
      <w:r>
        <w:t xml:space="preserve">Créditos de consumo (9.73%)</w:t>
      </w:r>
    </w:p>
    <w:p>
      <w:pPr>
        <w:pStyle w:val="FirstParagraph"/>
      </w:pPr>
      <w:r>
        <w:t xml:space="preserve">Se aprecia que los microcréditos (Ver figura</w:t>
      </w:r>
      <w:r>
        <w:t xml:space="preserve"> </w:t>
      </w:r>
      <w:hyperlink w:anchor="carteraCctcFigura">
        <w:r xmlns:w14="http://schemas.microsoft.com/office/word/2010/wordml">
          <w:rPr/>
          <w:fldChar w:fldCharType="begin" w:dirty="true"/>
        </w:r>
        <w:r xmlns:w14="http://schemas.microsoft.com/office/word/2010/wordml">
          <w:rPr/>
          <w:instrText xml:space="preserve" w:dirty="true"> REF carteraCctcFigura \h</w:instrText>
        </w:r>
        <w:r xmlns:w14="http://schemas.microsoft.com/office/word/2010/wordml">
          <w:rPr/>
          <w:fldChar w:fldCharType="end" w:dirty="true"/>
        </w:r>
      </w:hyperlink>
      <w:r>
        <w:t xml:space="preserve">) sufrieron un cambio de tendencia en los últimos periodos de la gestión 2022, así también, los microcréditos tienen mayor peso con 29.85 % promedio del total de créditos concedidos, por lo tanto, la política crediticia dirigida a estos sectores ya se por tipo de crédito o consumidor financieros repercutirán en el bienestar general del país.</w:t>
      </w:r>
    </w:p>
    <w:p>
      <w:r>
        <w:br w:type="page"/>
      </w:r>
    </w:p>
    <w:p>
      <w:pPr>
        <w:pStyle w:val="ImageCaption"/>
      </w:pPr>
      <w:r>
        <w:rPr>
          <w:rFonts/>
          <w:b w:val="true"/>
        </w:rPr>
        <w:t xml:space="preserve">FIGURA </w:t>
      </w:r>
      <w:bookmarkStart w:id="7d79dbbf-5a5a-46be-81e6-12509c3d7716" w:name="carteraCcadFigu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79dbbf-5a5a-46be-81e6-12509c3d7716"/>
      <w:r>
        <w:rPr>
          <w:rFonts/>
          <w:b w:val="true"/>
        </w:rPr>
        <w:t xml:space="preserve">
          <w:br/>
        </w:t>
      </w:r>
      <w:r>
        <w:t xml:space="preserve">COMPOSICIÓN DE CARTERA DEL SISTEMA FINANCIERO DE BOLIVIA POR TIPO DE ACTIVIDAD ECONÓMICA DEL DEUDOR, 2020-2023</w:t>
      </w:r>
      <w:r>
        <w:t xml:space="preserve"> </w:t>
      </w:r>
      <w:r>
        <w:br w:type="textWrapping"/>
      </w:r>
      <w:r>
        <w:t xml:space="preserve"> </w:t>
      </w:r>
      <w:r>
        <w:t xml:space="preserve">(En porcentajes)</w:t>
      </w:r>
    </w:p>
    <w:p>
      <w:pPr>
        <w:jc w:val="center"/>
        <w:pStyle w:val="NormalSinSangria"/>
      </w:pPr>
      <w:r>
        <w:rPr/>
        <w:drawing>
          <wp:inline distT="0" distB="0" distL="0" distR="0">
            <wp:extent cx="5504688" cy="516636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3"/>
                    <a:stretch>
                      <a:fillRect/>
                    </a:stretch>
                  </pic:blipFill>
                  <pic:spPr bwMode="auto">
                    <a:xfrm>
                      <a:off x="0" y="0"/>
                      <a:ext cx="76454" cy="71755"/>
                    </a:xfrm>
                    <a:prstGeom prst="rect">
                      <a:avLst/>
                    </a:prstGeom>
                    <a:noFill/>
                  </pic:spPr>
                </pic:pic>
              </a:graphicData>
            </a:graphic>
          </wp:inline>
        </w:drawing>
      </w:r>
    </w:p>
    <w:p>
      <w:pPr>
        <w:pStyle w:val="NotasTablasImagenes"/>
      </w:pPr>
      <w:r>
        <w:rPr>
          <w:bCs/>
          <w:b/>
        </w:rPr>
        <w:t xml:space="preserve">Fuente:</w:t>
      </w:r>
      <w:r>
        <w:t xml:space="preserve"> </w:t>
      </w:r>
      <w:r>
        <w:t xml:space="preserve">Elaboración propia con datos publicados por la Autoridad del Sistema Financiero</w:t>
      </w:r>
      <w:r>
        <w:t xml:space="preserve"> </w:t>
      </w:r>
      <w:r>
        <w:t xml:space="preserve">(ASFI, s. f.)</w:t>
      </w:r>
      <w: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TABLA  </w:t>
      </w:r>
      <w:bookmarkStart w:id="ff4ccf2b-08e2-42a5-ac84-b756497866ed" w:name="carteraCcadTabla"/>
      <w:r>
        <w:rPr>
          <w:rFonts/>
          <w:b w:val="true"/>
        </w:rPr>
        <w:fldChar w:fldCharType="begin" w:dirty="true"/>
      </w:r>
      <w:r>
        <w:rPr>
          <w:rFonts/>
          <w:b w:val="true"/>
        </w:rPr>
        <w:instrText xml:space="preserve" w:dirty="true">SEQ tab \* Arabic</w:instrText>
      </w:r>
      <w:r>
        <w:rPr>
          <w:rFonts/>
          <w:b w:val="true"/>
        </w:rPr>
        <w:fldChar w:fldCharType="end" w:dirty="true"/>
      </w:r>
      <w:bookmarkEnd w:id="ff4ccf2b-08e2-42a5-ac84-b756497866ed"/>
      <w:r>
        <w:rPr>
          <w:rFonts/>
          <w:b w:val="true"/>
        </w:rPr>
        <w:t xml:space="preserve">
          <w:br/>
        </w:t>
      </w:r>
      <w:r>
        <w:rPr>
          <w:rFonts w:ascii="Arial" w:hAnsi="Arial" w:eastAsia="Arial" w:cs="Arial"/>
          <w:i w:val="false"/>
          <w:b w:val="false"/>
          <w:u w:val="none"/>
          <w:sz w:val="22"/>
          <w:szCs w:val="22"/>
          <w:color w:val="000000"/>
        </w:rPr>
        <w:t xml:space="preserve">ESTADÍSTICAS DE RESUMEN DE LA COMPOSICIÓN DE CARTERA DEL SISTEMA FINANCIERO DE BOLIVIA POR TIPO DE ACTIVIDAD ECONÓMICA DEL DEUDOR, 2020-2023 </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 (En porcentajes)</w:t>
      </w:r>
    </w:p>
    <w:tbl xmlns:w14="http://schemas.microsoft.com/office/word/2010/wordml">
      <w:tblPr>
        <w:tblLayout w:type="fixed"/>
        <w:jc w:val="center"/>
        <w:tblLook w:firstRow="1" w:lastRow="0" w:firstColumn="0" w:lastColumn="0" w:noHBand="0" w:noVBand="1"/>
      </w:tblPr>
      <w:tblGrid>
        <w:gridCol w:w="1531"/>
        <w:gridCol w:w="1335"/>
        <w:gridCol w:w="1460"/>
        <w:gridCol w:w="953"/>
        <w:gridCol w:w="1059"/>
        <w:gridCol w:w="1122"/>
        <w:gridCol w:w="1397"/>
        <w:gridCol w:w="953"/>
      </w:tblGrid>
      <w:tr>
        <w:trPr>
          <w:trHeight w:val="561"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ACTIVIDAD</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PROMEDIO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DESVIACION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CV</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MINIMO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MAXIMO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TENDENCIA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true"/>
                <w:u w:val="none"/>
                <w:sz w:val="16"/>
                <w:szCs w:val="16"/>
                <w:color w:val="000000"/>
              </w:rPr>
              <w:t xml:space="preserve">P(t)</w:t>
            </w:r>
          </w:p>
        </w:tc>
      </w:tr>
      <w:tr>
        <w:trPr>
          <w:trHeight w:val="529"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PRODUCTIVO</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38.3045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0.9350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0.0244</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36.2783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39.8647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0.0337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0.0000</w:t>
            </w:r>
          </w:p>
        </w:tc>
      </w:tr>
      <w:tr>
        <w:trPr>
          <w:trHeight w:val="52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COMERCIO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21.1388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19.7152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24.4890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0.0000</w:t>
            </w:r>
          </w:p>
        </w:tc>
      </w:tr>
      <w:tr>
        <w:trPr>
          <w:trHeight w:val="529" w:hRule="auto"/>
        </w:trPr>
        body4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SERVICIOS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40.7403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0.6442</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0.0158</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39.1137</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41.7303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0.0166</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00" w:before="100" w:line="240"/>
              <w:ind w:left="120" w:right="120" w:firstLine="0" w:firstLineChars="0"/>
            </w:pPr>
            <w:r>
              <w:rPr>
                <w:rFonts w:ascii="Arial" w:hAnsi="Arial" w:eastAsia="Arial" w:cs="Arial"/>
                <w:i w:val="false"/>
                <w:b w:val="false"/>
                <w:u w:val="none"/>
                <w:sz w:val="16"/>
                <w:szCs w:val="16"/>
                <w:color w:val="000000"/>
              </w:rPr>
              <w:t xml:space="preserve">0.0000</w:t>
            </w:r>
          </w:p>
        </w:tc>
      </w:tr>
    </w:tbl>
    <w:p>
      <w:pPr>
        <w:pStyle w:val="NotasTablasImagenes"/>
      </w:pPr>
      <w:r>
        <w:rPr>
          <w:bCs/>
          <w:b/>
        </w:rPr>
        <w:t xml:space="preserve">Fuente:</w:t>
      </w:r>
      <w:r>
        <w:t xml:space="preserve"> </w:t>
      </w:r>
      <w:r>
        <w:t xml:space="preserve">Elaboración propia con datos publicados por la Autoridad del Sistema Financiero</w:t>
      </w:r>
      <w:r>
        <w:t xml:space="preserve"> </w:t>
      </w:r>
      <w:r>
        <w:t xml:space="preserve">(ASFI, s. f.)</w:t>
      </w:r>
      <w:r>
        <w:t xml:space="preserve">.</w:t>
      </w:r>
    </w:p>
    <w:p>
      <w:pPr>
        <w:pStyle w:val="ImageCaption"/>
      </w:pPr>
      <w:r>
        <w:rPr>
          <w:rFonts/>
          <w:b w:val="true"/>
        </w:rPr>
        <w:t xml:space="preserve">FIGURA </w:t>
      </w:r>
      <w:bookmarkStart w:id="f1044db2-fdd8-4679-8029-2bfa15e341a9" w:name="carteraCctcFigu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044db2-fdd8-4679-8029-2bfa15e341a9"/>
      <w:r>
        <w:rPr>
          <w:rFonts/>
          <w:b w:val="true"/>
        </w:rPr>
        <w:t xml:space="preserve">
          <w:br/>
        </w:t>
      </w:r>
      <w:r>
        <w:t xml:space="preserve">COMPOSICIÓN DE CARTERA DEL SISTEMA FINANCIERO DE BOLIVIA POR TIPO DE CRÉDITO, 2020-2023</w:t>
      </w:r>
      <w:r>
        <w:t xml:space="preserve"> </w:t>
      </w:r>
      <w:r>
        <w:br w:type="textWrapping"/>
      </w:r>
      <w:r>
        <w:t xml:space="preserve"> </w:t>
      </w:r>
      <w:r>
        <w:t xml:space="preserve">(En porcentajes)</w:t>
      </w:r>
    </w:p>
    <w:p>
      <w:pPr>
        <w:jc w:val="center"/>
        <w:pStyle w:val="NormalSinSangria"/>
      </w:pPr>
      <w:r>
        <w:rPr/>
        <w:drawing>
          <wp:inline distT="0" distB="0" distL="0" distR="0">
            <wp:extent cx="5504688"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4"/>
                    <a:stretch>
                      <a:fillRect/>
                    </a:stretch>
                  </pic:blipFill>
                  <pic:spPr bwMode="auto">
                    <a:xfrm>
                      <a:off x="0" y="0"/>
                      <a:ext cx="76454" cy="69850"/>
                    </a:xfrm>
                    <a:prstGeom prst="rect">
                      <a:avLst/>
                    </a:prstGeom>
                    <a:noFill/>
                  </pic:spPr>
                </pic:pic>
              </a:graphicData>
            </a:graphic>
          </wp:inline>
        </w:drawing>
      </w:r>
    </w:p>
    <w:p>
      <w:pPr>
        <w:pStyle w:val="NotasTablasImagenes"/>
      </w:pPr>
      <w:r>
        <w:rPr>
          <w:bCs/>
          <w:b/>
        </w:rPr>
        <w:t xml:space="preserve">Fuente:</w:t>
      </w:r>
      <w:r>
        <w:t xml:space="preserve"> </w:t>
      </w:r>
      <w:r>
        <w:t xml:space="preserve">Elaboración propia con datos publicados por la Autoridad del Sistema Financiero</w:t>
      </w:r>
      <w:r>
        <w:t xml:space="preserve"> </w:t>
      </w:r>
      <w:r>
        <w:t xml:space="preserve">(ASFI, s. f.)</w:t>
      </w:r>
      <w: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TABLA  </w:t>
      </w:r>
      <w:bookmarkStart w:id="2900669c-dcbf-4876-9288-1bc72c0ec269" w:name="carteraCctcTabla"/>
      <w:r>
        <w:rPr>
          <w:rFonts/>
          <w:b w:val="true"/>
        </w:rPr>
        <w:fldChar w:fldCharType="begin" w:dirty="true"/>
      </w:r>
      <w:r>
        <w:rPr>
          <w:rFonts/>
          <w:b w:val="true"/>
        </w:rPr>
        <w:instrText xml:space="preserve" w:dirty="true">SEQ tab \* Arabic</w:instrText>
      </w:r>
      <w:r>
        <w:rPr>
          <w:rFonts/>
          <w:b w:val="true"/>
        </w:rPr>
        <w:fldChar w:fldCharType="end" w:dirty="true"/>
      </w:r>
      <w:bookmarkEnd w:id="2900669c-dcbf-4876-9288-1bc72c0ec269"/>
      <w:r>
        <w:rPr>
          <w:rFonts/>
          <w:b w:val="true"/>
        </w:rPr>
        <w:t xml:space="preserve">
          <w:br/>
        </w:t>
      </w:r>
      <w:r>
        <w:rPr>
          <w:rFonts w:ascii="Arial" w:hAnsi="Arial" w:eastAsia="Arial" w:cs="Arial"/>
          <w:i w:val="false"/>
          <w:b w:val="false"/>
          <w:u w:val="none"/>
          <w:sz w:val="22"/>
          <w:szCs w:val="22"/>
          <w:color w:val="000000"/>
        </w:rPr>
        <w:t xml:space="preserve">ESTADÍSTICAS DE RESUMEN DE LA COMPOSICIÓN DE CARTERA DEL SISTEMA FINANCIERO DE BOLIVIA POR TIPO DE CRÉDITO, 2020-2023 </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 (En porcentajes)</w:t>
      </w:r>
    </w:p>
    <w:tbl xmlns:w14="http://schemas.microsoft.com/office/word/2010/wordml">
      <w:tblPr>
        <w:tblLayout w:type="fixed"/>
        <w:jc w:val="center"/>
        <w:tblLook w:firstRow="1" w:lastRow="0" w:firstColumn="0" w:lastColumn="0" w:noHBand="0" w:noVBand="1"/>
      </w:tblPr>
      <w:tblGrid>
        <w:gridCol w:w="2409"/>
        <w:gridCol w:w="1226"/>
        <w:gridCol w:w="1335"/>
        <w:gridCol w:w="892"/>
        <w:gridCol w:w="985"/>
        <w:gridCol w:w="1040"/>
        <w:gridCol w:w="1281"/>
        <w:gridCol w:w="892"/>
      </w:tblGrid>
      <w:tr>
        <w:trPr>
          <w:trHeight w:val="489"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TIPO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PROMEDIO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DESVIACION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CV</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MINIMO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MAXIMO</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TENDENCIA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true"/>
                <w:u w:val="none"/>
                <w:sz w:val="14"/>
                <w:szCs w:val="14"/>
                <w:color w:val="000000"/>
              </w:rPr>
              <w:t xml:space="preserve">P(t)</w:t>
            </w:r>
          </w:p>
        </w:tc>
      </w:tr>
      <w:tr>
        <w:trPr>
          <w:trHeight w:val="461"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CREDITOS EMPRESARIALES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22.5510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0.9405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0.0417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20.1822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24.0123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0.0290</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0.0000</w:t>
            </w:r>
          </w:p>
        </w:tc>
      </w:tr>
      <w:tr>
        <w:trPr>
          <w:trHeight w:val="46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CREDTIOS PYME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12.4977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0.7601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10.6887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14.2525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0.0000</w:t>
            </w:r>
          </w:p>
        </w:tc>
      </w:tr>
      <w:tr>
        <w:trPr>
          <w:trHeight w:val="46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MICROCREDITOS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29.8366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0.7850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28.6343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31.2334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0.0000</w:t>
            </w:r>
          </w:p>
        </w:tc>
      </w:tr>
      <w:tr>
        <w:trPr>
          <w:trHeight w:val="46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CREDITOS DE VIVIENDA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25.4641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23.8587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26.3150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0.0000</w:t>
            </w:r>
          </w:p>
        </w:tc>
      </w:tr>
      <w:tr>
        <w:trPr>
          <w:trHeight w:val="461" w:hRule="auto"/>
        </w:trPr>
        body6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CREDITOS DE CONSUMO</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9.7327</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0.2671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0.0274</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9.3009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10.3903</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-0.0035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80" w:before="80" w:line="240"/>
              <w:ind w:left="120" w:right="120" w:firstLine="0" w:firstLineChars="0"/>
            </w:pPr>
            <w:r>
              <w:rPr>
                <w:rFonts w:ascii="Arial" w:hAnsi="Arial" w:eastAsia="Arial" w:cs="Arial"/>
                <w:i w:val="false"/>
                <w:b w:val="false"/>
                <w:u w:val="none"/>
                <w:sz w:val="14"/>
                <w:szCs w:val="14"/>
                <w:color w:val="000000"/>
              </w:rPr>
              <w:t xml:space="preserve">0.0026</w:t>
            </w:r>
          </w:p>
        </w:tc>
      </w:tr>
    </w:tbl>
    <w:p>
      <w:pPr>
        <w:pStyle w:val="NotasTablasImagenes"/>
      </w:pPr>
      <w:r>
        <w:rPr>
          <w:bCs/>
          <w:b/>
        </w:rPr>
        <w:t xml:space="preserve">Fuente:</w:t>
      </w:r>
      <w:r>
        <w:t xml:space="preserve"> </w:t>
      </w:r>
      <w:r>
        <w:t xml:space="preserve">Elaboración propia con datos publicados por la Autoridad del Sistema Financiero</w:t>
      </w:r>
      <w:r>
        <w:t xml:space="preserve"> </w:t>
      </w:r>
      <w:r>
        <w:t xml:space="preserve">(ASFI, s. f.)</w:t>
      </w:r>
      <w:r>
        <w:t xml:space="preserve">.</w:t>
      </w:r>
    </w:p>
    <w:p>
      <w:pPr>
        <w:pStyle w:val="Titulo1enum"/>
      </w:pPr>
      <w:r>
        <w:t xml:space="preserve">Conclusión</w:t>
      </w:r>
    </w:p>
    <w:p>
      <w:pPr>
        <w:pStyle w:val="BodyText"/>
      </w:pPr>
      <w:r>
        <w:t xml:space="preserve">Con base a los resultados encontrados, existe evidencia que sugiere: Que los créditos concedidos al sector productivo y servicios, conjuntamente con los clasificados como microcréditos desempeñaran un papel importante en periodos a porvenir del sistema financiero de Bolivia.</w:t>
      </w:r>
    </w:p>
    <w:p>
      <w:r>
        <w:br w:type="page"/>
      </w:r>
    </w:p>
    <w:p>
      <w:pPr>
        <w:pStyle w:val="Titulo1enum"/>
      </w:pPr>
      <w:r>
        <w:t xml:space="preserve">Referencias bibliográficas</w:t>
      </w:r>
    </w:p>
    <w:bookmarkStart w:id="24" w:name="refs"/>
    <w:bookmarkStart w:id="22" w:name="ref-ASFI-WEB"/>
    <w:p>
      <w:pPr>
        <w:pStyle w:val="Bibliografa"/>
      </w:pPr>
      <w:r>
        <w:t xml:space="preserve">ASFI. (s. f.).</w:t>
      </w:r>
      <w:r>
        <w:t xml:space="preserve"> </w:t>
      </w:r>
      <w:r>
        <w:t xml:space="preserve">Autoridad de Supervisión del Sistema Financiero</w:t>
      </w:r>
      <w:r>
        <w:t xml:space="preserve">. Recuperado 27 de abril de 2023, de</w:t>
      </w:r>
      <w:r>
        <w:t xml:space="preserve"> </w:t>
      </w:r>
      <w:hyperlink r:id="rId21">
        <w:r>
          <w:rPr>
            <w:rStyle w:val="Hyperlink"/>
          </w:rPr>
          <w:t xml:space="preserve">https://www.asfi.gob.bo/</w:t>
        </w:r>
      </w:hyperlink>
    </w:p>
    <w:bookmarkEnd w:id="22"/>
    <w:bookmarkStart w:id="23" w:name="ref-MANUAL_CUENTAS_ASFI"/>
    <w:p>
      <w:pPr>
        <w:pStyle w:val="Bibliografa"/>
      </w:pPr>
      <w:r>
        <w:t xml:space="preserve">ASFI. (2022).</w:t>
      </w:r>
      <w:r>
        <w:t xml:space="preserve"> </w:t>
      </w:r>
      <w:r>
        <w:rPr>
          <w:iCs/>
          <w:i/>
        </w:rPr>
        <w:t xml:space="preserve">Manual de cuentas para entidades financieras</w:t>
      </w:r>
      <w:r>
        <w:t xml:space="preserve">. La paz, Bolivia: Autoridad de Supervisión del Sistema Financiero.</w:t>
      </w:r>
    </w:p>
    <w:bookmarkEnd w:id="23"/>
    <w:bookmarkEnd w:id="24"/>
    <w:bookmarkEnd w:id="25"/>
    <w:sectPr w:rsidR="005C5729" w:rsidRPr="005C5729" w:rsidSect="00F47CD4">
      <w:pgSz w:code="9" w:h="16838" w:w="11906"/>
      <w:pgMar w:bottom="1418" w:footer="709" w:gutter="0" w:header="709" w:left="1701" w:right="1701" w:top="1418"/>
      <w:cols w:space="708"/>
      <w:docGrid w:linePitch="36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11F313D"/>
    <w:multiLevelType w:val="multilevel"/>
    <w:tmpl w:val="39CE1A78"/>
    <w:numStyleLink w:val="StyleListRevistaBusqueda"/>
  </w:abstractNum>
  <w:abstractNum w15:restartNumberingAfterBreak="0" w:abstractNumId="1">
    <w:nsid w:val="037D726A"/>
    <w:multiLevelType w:val="multilevel"/>
    <w:tmpl w:val="39CE1A78"/>
    <w:numStyleLink w:val="StyleListRevistaBusqueda"/>
  </w:abstractNum>
  <w:abstractNum w15:restartNumberingAfterBreak="0" w:abstractNumId="2">
    <w:nsid w:val="05EC4F62"/>
    <w:multiLevelType w:val="multilevel"/>
    <w:tmpl w:val="39CE1A78"/>
    <w:numStyleLink w:val="StyleListRevistaBusqueda"/>
  </w:abstractNum>
  <w:abstractNum w15:restartNumberingAfterBreak="0" w:abstractNumId="3">
    <w:nsid w:val="147C1C9E"/>
    <w:multiLevelType w:val="hybridMultilevel"/>
    <w:tmpl w:val="6D4C6B24"/>
    <w:lvl w:ilvl="0" w:tplc="033C5346">
      <w:start w:val="1"/>
      <w:numFmt w:val="decimal"/>
      <w:lvlText w:val="2.%1."/>
      <w:lvlJc w:val="center"/>
      <w:pPr>
        <w:ind w:hanging="360" w:left="720"/>
      </w:pPr>
      <w:rPr>
        <w:rFonts w:hint="default"/>
      </w:rPr>
    </w:lvl>
    <w:lvl w:ilvl="1" w:tentative="1" w:tplc="400A0019">
      <w:start w:val="1"/>
      <w:numFmt w:val="lowerLetter"/>
      <w:lvlText w:val="%2."/>
      <w:lvlJc w:val="left"/>
      <w:pPr>
        <w:ind w:hanging="360" w:left="1440"/>
      </w:pPr>
    </w:lvl>
    <w:lvl w:ilvl="2" w:tentative="1" w:tplc="400A001B">
      <w:start w:val="1"/>
      <w:numFmt w:val="lowerRoman"/>
      <w:lvlText w:val="%3."/>
      <w:lvlJc w:val="right"/>
      <w:pPr>
        <w:ind w:hanging="180" w:left="2160"/>
      </w:pPr>
    </w:lvl>
    <w:lvl w:ilvl="3" w:tentative="1" w:tplc="400A000F">
      <w:start w:val="1"/>
      <w:numFmt w:val="decimal"/>
      <w:lvlText w:val="%4."/>
      <w:lvlJc w:val="left"/>
      <w:pPr>
        <w:ind w:hanging="360" w:left="2880"/>
      </w:pPr>
    </w:lvl>
    <w:lvl w:ilvl="4" w:tentative="1" w:tplc="400A0019">
      <w:start w:val="1"/>
      <w:numFmt w:val="lowerLetter"/>
      <w:lvlText w:val="%5."/>
      <w:lvlJc w:val="left"/>
      <w:pPr>
        <w:ind w:hanging="360" w:left="3600"/>
      </w:pPr>
    </w:lvl>
    <w:lvl w:ilvl="5" w:tentative="1" w:tplc="400A001B">
      <w:start w:val="1"/>
      <w:numFmt w:val="lowerRoman"/>
      <w:lvlText w:val="%6."/>
      <w:lvlJc w:val="right"/>
      <w:pPr>
        <w:ind w:hanging="180" w:left="4320"/>
      </w:pPr>
    </w:lvl>
    <w:lvl w:ilvl="6" w:tentative="1" w:tplc="400A000F">
      <w:start w:val="1"/>
      <w:numFmt w:val="decimal"/>
      <w:lvlText w:val="%7."/>
      <w:lvlJc w:val="left"/>
      <w:pPr>
        <w:ind w:hanging="360" w:left="5040"/>
      </w:pPr>
    </w:lvl>
    <w:lvl w:ilvl="7" w:tentative="1" w:tplc="400A0019">
      <w:start w:val="1"/>
      <w:numFmt w:val="lowerLetter"/>
      <w:lvlText w:val="%8."/>
      <w:lvlJc w:val="left"/>
      <w:pPr>
        <w:ind w:hanging="360" w:left="5760"/>
      </w:pPr>
    </w:lvl>
    <w:lvl w:ilvl="8" w:tentative="1" w:tplc="400A001B">
      <w:start w:val="1"/>
      <w:numFmt w:val="lowerRoman"/>
      <w:lvlText w:val="%9."/>
      <w:lvlJc w:val="right"/>
      <w:pPr>
        <w:ind w:hanging="180" w:left="6480"/>
      </w:pPr>
    </w:lvl>
  </w:abstractNum>
  <w:abstractNum w15:restartNumberingAfterBreak="0" w:abstractNumId="4">
    <w:nsid w:val="174B4ED4"/>
    <w:multiLevelType w:val="multilevel"/>
    <w:tmpl w:val="39CE1A78"/>
    <w:styleLink w:val="StyleListRevistaBusqueda"/>
    <w:lvl w:ilvl="0">
      <w:start w:val="2"/>
      <w:numFmt w:val="decimal"/>
      <w:pStyle w:val="Ttulo1"/>
      <w:suff w:val="space"/>
      <w:lvlText w:val="%1."/>
      <w:lvlJc w:val="left"/>
      <w:pPr>
        <w:ind w:firstLine="0" w:left="0"/>
      </w:pPr>
      <w:rPr>
        <w:rFonts w:ascii="Times New Roman" w:hAnsi="Times New Roman" w:hint="default"/>
        <w:b/>
        <w:i w:val="0"/>
        <w:sz w:val="24"/>
      </w:rPr>
    </w:lvl>
    <w:lvl w:ilvl="1">
      <w:start w:val="1"/>
      <w:numFmt w:val="decimal"/>
      <w:pStyle w:val="Ttulo2"/>
      <w:suff w:val="space"/>
      <w:lvlText w:val="%1.%2."/>
      <w:lvlJc w:val="left"/>
      <w:pPr>
        <w:ind w:firstLine="0" w:left="0"/>
      </w:pPr>
      <w:rPr>
        <w:rFonts w:ascii="Times New Roman" w:hAnsi="Times New Roman" w:hint="default"/>
        <w:b/>
        <w:i w:val="0"/>
        <w:sz w:val="24"/>
      </w:rPr>
    </w:lvl>
    <w:lvl w:ilvl="2">
      <w:start w:val="1"/>
      <w:numFmt w:val="decimal"/>
      <w:pStyle w:val="Ttulo3"/>
      <w:suff w:val="space"/>
      <w:lvlText w:val="%1.%2.%3."/>
      <w:lvlJc w:val="left"/>
      <w:pPr>
        <w:ind w:firstLine="0" w:left="0"/>
      </w:pPr>
      <w:rPr>
        <w:rFonts w:ascii="Times New Roman" w:hAnsi="Times New Roman" w:hint="default"/>
        <w:b/>
        <w:i w:val="0"/>
        <w:sz w:val="24"/>
      </w:rPr>
    </w:lvl>
    <w:lvl w:ilvl="3">
      <w:start w:val="1"/>
      <w:numFmt w:val="lowerLetter"/>
      <w:pStyle w:val="Ttulo4"/>
      <w:suff w:val="space"/>
      <w:lvlText w:val="%4."/>
      <w:lvlJc w:val="left"/>
      <w:pPr>
        <w:ind w:firstLine="0" w:left="0"/>
      </w:pPr>
      <w:rPr>
        <w:rFonts w:hint="default"/>
      </w:rPr>
    </w:lvl>
    <w:lvl w:ilvl="4">
      <w:start w:val="1"/>
      <w:numFmt w:val="lowerRoman"/>
      <w:pStyle w:val="Ttulo5"/>
      <w:suff w:val="space"/>
      <w:lvlText w:val="%5."/>
      <w:lvlJc w:val="left"/>
      <w:pPr>
        <w:ind w:firstLine="0" w:left="0"/>
      </w:pPr>
      <w:rPr>
        <w:rFonts w:hint="default"/>
      </w:rPr>
    </w:lvl>
    <w:lvl w:ilvl="5">
      <w:start w:val="1"/>
      <w:numFmt w:val="lowerRoman"/>
      <w:pStyle w:val="Ttulo6"/>
      <w:suff w:val="space"/>
      <w:lvlText w:val="(%6)"/>
      <w:lvlJc w:val="left"/>
      <w:pPr>
        <w:ind w:firstLine="0" w:left="0"/>
      </w:pPr>
      <w:rPr>
        <w:rFonts w:hint="default"/>
      </w:rPr>
    </w:lvl>
    <w:lvl w:ilvl="6">
      <w:start w:val="1"/>
      <w:numFmt w:val="decimal"/>
      <w:pStyle w:val="Ttulo7"/>
      <w:suff w:val="space"/>
      <w:lvlText w:val="%7."/>
      <w:lvlJc w:val="left"/>
      <w:pPr>
        <w:ind w:firstLine="0" w:left="0"/>
      </w:pPr>
      <w:rPr>
        <w:rFonts w:hint="default"/>
      </w:rPr>
    </w:lvl>
    <w:lvl w:ilvl="7">
      <w:start w:val="1"/>
      <w:numFmt w:val="lowerLetter"/>
      <w:pStyle w:val="Ttulo8"/>
      <w:suff w:val="space"/>
      <w:lvlText w:val="%8."/>
      <w:lvlJc w:val="left"/>
      <w:pPr>
        <w:ind w:firstLine="0" w:left="0"/>
      </w:pPr>
      <w:rPr>
        <w:rFonts w:hint="default"/>
      </w:rPr>
    </w:lvl>
    <w:lvl w:ilvl="8">
      <w:start w:val="1"/>
      <w:numFmt w:val="lowerRoman"/>
      <w:pStyle w:val="Ttulo9"/>
      <w:suff w:val="space"/>
      <w:lvlText w:val="%9."/>
      <w:lvlJc w:val="left"/>
      <w:pPr>
        <w:ind w:firstLine="0" w:left="0"/>
      </w:pPr>
      <w:rPr>
        <w:rFonts w:hint="default"/>
      </w:rPr>
    </w:lvl>
  </w:abstractNum>
  <w:abstractNum w15:restartNumberingAfterBreak="0" w:abstractNumId="5">
    <w:nsid w:val="19F57459"/>
    <w:multiLevelType w:val="multilevel"/>
    <w:tmpl w:val="39CE1A78"/>
    <w:numStyleLink w:val="StyleListRevistaBusqueda"/>
  </w:abstractNum>
  <w:abstractNum w15:restartNumberingAfterBreak="0" w:abstractNumId="6">
    <w:nsid w:val="25061D52"/>
    <w:multiLevelType w:val="multilevel"/>
    <w:tmpl w:val="39CE1A78"/>
    <w:numStyleLink w:val="StyleListRevistaBusqueda"/>
  </w:abstractNum>
  <w:abstractNum w15:restartNumberingAfterBreak="0" w:abstractNumId="7">
    <w:nsid w:val="28C53531"/>
    <w:multiLevelType w:val="multilevel"/>
    <w:tmpl w:val="39CE1A78"/>
    <w:numStyleLink w:val="StyleListRevistaBusqueda"/>
  </w:abstractNum>
  <w:abstractNum w15:restartNumberingAfterBreak="0" w:abstractNumId="8">
    <w:nsid w:val="413D0E58"/>
    <w:multiLevelType w:val="multilevel"/>
    <w:tmpl w:val="39CE1A78"/>
    <w:numStyleLink w:val="StyleListRevistaBusqueda"/>
  </w:abstractNum>
  <w:abstractNum w15:restartNumberingAfterBreak="0" w:abstractNumId="9">
    <w:nsid w:val="512A038F"/>
    <w:multiLevelType w:val="hybridMultilevel"/>
    <w:tmpl w:val="6E08BBB0"/>
    <w:lvl w:ilvl="0" w:tplc="33B40AAA">
      <w:start w:val="1"/>
      <w:numFmt w:val="decimal"/>
      <w:lvlText w:val="%1."/>
      <w:lvlJc w:val="center"/>
      <w:pPr>
        <w:ind w:hanging="360" w:left="720"/>
      </w:pPr>
      <w:rPr>
        <w:rFonts w:hint="default"/>
      </w:rPr>
    </w:lvl>
    <w:lvl w:ilvl="1" w:tentative="1" w:tplc="400A0019">
      <w:start w:val="1"/>
      <w:numFmt w:val="lowerLetter"/>
      <w:lvlText w:val="%2."/>
      <w:lvlJc w:val="left"/>
      <w:pPr>
        <w:ind w:hanging="360" w:left="1440"/>
      </w:pPr>
    </w:lvl>
    <w:lvl w:ilvl="2" w:tentative="1" w:tplc="400A001B">
      <w:start w:val="1"/>
      <w:numFmt w:val="lowerRoman"/>
      <w:lvlText w:val="%3."/>
      <w:lvlJc w:val="right"/>
      <w:pPr>
        <w:ind w:hanging="180" w:left="2160"/>
      </w:pPr>
    </w:lvl>
    <w:lvl w:ilvl="3" w:tentative="1" w:tplc="400A000F">
      <w:start w:val="1"/>
      <w:numFmt w:val="decimal"/>
      <w:lvlText w:val="%4."/>
      <w:lvlJc w:val="left"/>
      <w:pPr>
        <w:ind w:hanging="360" w:left="2880"/>
      </w:pPr>
    </w:lvl>
    <w:lvl w:ilvl="4" w:tentative="1" w:tplc="400A0019">
      <w:start w:val="1"/>
      <w:numFmt w:val="lowerLetter"/>
      <w:lvlText w:val="%5."/>
      <w:lvlJc w:val="left"/>
      <w:pPr>
        <w:ind w:hanging="360" w:left="3600"/>
      </w:pPr>
    </w:lvl>
    <w:lvl w:ilvl="5" w:tentative="1" w:tplc="400A001B">
      <w:start w:val="1"/>
      <w:numFmt w:val="lowerRoman"/>
      <w:lvlText w:val="%6."/>
      <w:lvlJc w:val="right"/>
      <w:pPr>
        <w:ind w:hanging="180" w:left="4320"/>
      </w:pPr>
    </w:lvl>
    <w:lvl w:ilvl="6" w:tentative="1" w:tplc="400A000F">
      <w:start w:val="1"/>
      <w:numFmt w:val="decimal"/>
      <w:lvlText w:val="%7."/>
      <w:lvlJc w:val="left"/>
      <w:pPr>
        <w:ind w:hanging="360" w:left="5040"/>
      </w:pPr>
    </w:lvl>
    <w:lvl w:ilvl="7" w:tentative="1" w:tplc="400A0019">
      <w:start w:val="1"/>
      <w:numFmt w:val="lowerLetter"/>
      <w:lvlText w:val="%8."/>
      <w:lvlJc w:val="left"/>
      <w:pPr>
        <w:ind w:hanging="360" w:left="5760"/>
      </w:pPr>
    </w:lvl>
    <w:lvl w:ilvl="8" w:tentative="1" w:tplc="400A001B">
      <w:start w:val="1"/>
      <w:numFmt w:val="lowerRoman"/>
      <w:lvlText w:val="%9."/>
      <w:lvlJc w:val="right"/>
      <w:pPr>
        <w:ind w:hanging="180" w:left="6480"/>
      </w:pPr>
    </w:lvl>
  </w:abstractNum>
  <w:abstractNum w15:restartNumberingAfterBreak="0" w:abstractNumId="10">
    <w:nsid w:val="5B906B58"/>
    <w:multiLevelType w:val="multilevel"/>
    <w:tmpl w:val="8C180C26"/>
    <w:name w:val="listEmpezar2"/>
    <w:lvl w:ilvl="0">
      <w:start w:val="2"/>
      <w:numFmt w:val="decimal"/>
      <w:lvlText w:val="%1."/>
      <w:lvlJc w:val="left"/>
      <w:pPr>
        <w:ind w:hanging="360" w:left="360"/>
      </w:pPr>
      <w:rPr>
        <w:rFonts w:hint="default"/>
      </w:rPr>
    </w:lvl>
    <w:lvl w:ilvl="1">
      <w:start w:val="1"/>
      <w:numFmt w:val="decimal"/>
      <w:lvlText w:val="%2."/>
      <w:lvlJc w:val="left"/>
      <w:pPr>
        <w:ind w:hanging="360" w:left="720"/>
      </w:pPr>
      <w:rPr>
        <w:rFonts w:ascii="Times New Roman" w:hAnsi="Times New Roman" w:hint="default"/>
        <w:b w:val="0"/>
        <w:i w:val="0"/>
        <w:sz w:val="24"/>
      </w:rPr>
    </w:lvl>
    <w:lvl w:ilvl="2">
      <w:start w:val="1"/>
      <w:numFmt w:val="decimal"/>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decimal"/>
      <w:lvlText w:val="%5."/>
      <w:lvlJc w:val="left"/>
      <w:pPr>
        <w:ind w:hanging="360" w:left="1800"/>
      </w:pPr>
      <w:rPr>
        <w:rFonts w:hint="default"/>
      </w:rPr>
    </w:lvl>
    <w:lvl w:ilvl="5">
      <w:start w:val="1"/>
      <w:numFmt w:val="decimal"/>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decimal"/>
      <w:lvlText w:val="%8."/>
      <w:lvlJc w:val="left"/>
      <w:pPr>
        <w:ind w:hanging="360" w:left="2880"/>
      </w:pPr>
      <w:rPr>
        <w:rFonts w:hint="default"/>
      </w:rPr>
    </w:lvl>
    <w:lvl w:ilvl="8">
      <w:start w:val="1"/>
      <w:numFmt w:val="decimal"/>
      <w:lvlText w:val="%9."/>
      <w:lvlJc w:val="left"/>
      <w:pPr>
        <w:ind w:hanging="360" w:left="3240"/>
      </w:pPr>
      <w:rPr>
        <w:rFonts w:hint="default"/>
      </w:rPr>
    </w:lvl>
  </w:abstractNum>
  <w:abstractNum w15:restartNumberingAfterBreak="0" w:abstractNumId="11">
    <w:nsid w:val="5CE8763B"/>
    <w:multiLevelType w:val="multilevel"/>
    <w:tmpl w:val="39CE1A78"/>
    <w:numStyleLink w:val="StyleListRevistaBusqueda"/>
  </w:abstractNum>
  <w:abstractNum w15:restartNumberingAfterBreak="0" w:abstractNumId="12">
    <w:nsid w:val="77E43D99"/>
    <w:multiLevelType w:val="multilevel"/>
    <w:tmpl w:val="66342F6C"/>
    <w:name w:val="listaApaRevistaBusqueda"/>
    <w:lvl w:ilvl="0">
      <w:start w:val="2"/>
      <w:numFmt w:val="decimal"/>
      <w:lvlText w:val="%1."/>
      <w:lvlJc w:val="left"/>
      <w:pPr>
        <w:ind w:hanging="360" w:left="360"/>
      </w:pPr>
      <w:rPr>
        <w:rFonts w:hint="default"/>
      </w:rPr>
    </w:lvl>
    <w:lvl w:ilvl="1">
      <w:start w:val="1"/>
      <w:numFmt w:val="decimal"/>
      <w:lvlText w:val="%2."/>
      <w:lvlJc w:val="left"/>
      <w:pPr>
        <w:ind w:hanging="360" w:left="720"/>
      </w:pPr>
      <w:rPr>
        <w:rFonts w:hint="default"/>
      </w:rPr>
    </w:lvl>
    <w:lvl w:ilvl="2">
      <w:start w:val="1"/>
      <w:numFmt w:val="decimal"/>
      <w:lvlText w:val="%3."/>
      <w:lvlJc w:val="left"/>
      <w:pPr>
        <w:ind w:hanging="360" w:left="1080"/>
      </w:pPr>
      <w:rPr>
        <w:rFonts w:hint="default"/>
      </w:rPr>
    </w:lvl>
    <w:lvl w:ilvl="3">
      <w:start w:val="1"/>
      <w:numFmt w:val="lowerLetter"/>
      <w:lvlText w:val="%4."/>
      <w:lvlJc w:val="left"/>
      <w:pPr>
        <w:ind w:hanging="360" w:left="1440"/>
      </w:pPr>
      <w:rPr>
        <w:rFonts w:hint="default"/>
      </w:rPr>
    </w:lvl>
    <w:lvl w:ilvl="4">
      <w:start w:val="1"/>
      <w:numFmt w:val="lowerRoman"/>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3">
    <w:nsid w:val="79674455"/>
    <w:multiLevelType w:val="multilevel"/>
    <w:tmpl w:val="39CE1A78"/>
    <w:numStyleLink w:val="StyleListRevistaBusqueda"/>
  </w:abstractNum>
  <w:abstractNum w15:restartNumberingAfterBreak="0" w:abstractNumId="14">
    <w:nsid w:val="7C022229"/>
    <w:multiLevelType w:val="multilevel"/>
    <w:tmpl w:val="39CE1A78"/>
    <w:numStyleLink w:val="StyleListRevistaBusqueda"/>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86520416" w:numId="1">
    <w:abstractNumId w:val="10"/>
  </w:num>
  <w:num w16cid:durableId="1646545948" w:numId="2">
    <w:abstractNumId w:val="3"/>
  </w:num>
  <w:num w16cid:durableId="1045569693" w:numId="3">
    <w:abstractNumId w:val="9"/>
  </w:num>
  <w:num w16cid:durableId="1568035217" w:numId="4">
    <w:abstractNumId w:val="12"/>
  </w:num>
  <w:num w16cid:durableId="2004819559" w:numId="5">
    <w:abstractNumId w:val="4"/>
  </w:num>
  <w:num w16cid:durableId="715618728" w:numId="6">
    <w:abstractNumId w:val="2"/>
  </w:num>
  <w:num w16cid:durableId="246621130" w:numId="7">
    <w:abstractNumId w:val="7"/>
  </w:num>
  <w:num w16cid:durableId="1834837694" w:numId="8">
    <w:abstractNumId w:val="11"/>
  </w:num>
  <w:num w16cid:durableId="439374342" w:numId="9">
    <w:abstractNumId w:val="1"/>
  </w:num>
  <w:num w16cid:durableId="1276870621" w:numId="10">
    <w:abstractNumId w:val="5"/>
  </w:num>
  <w:num w16cid:durableId="1959486983" w:numId="11">
    <w:abstractNumId w:val="13"/>
  </w:num>
  <w:num w16cid:durableId="179201303" w:numId="12">
    <w:abstractNumId w:val="14"/>
  </w:num>
  <w:num w16cid:durableId="1212376839" w:numId="13">
    <w:abstractNumId w:val="8"/>
  </w:num>
  <w:num w16cid:durableId="1574657553" w:numId="14">
    <w:abstractNumId w:val="0"/>
  </w:num>
  <w:num w16cid:durableId="484512509" w:numId="15">
    <w:abstractNumId w:val="6"/>
  </w:num>
  <w:num w:numId="1000">
    <w:abstractNumId w:val="990"/>
  </w:num>
  <w:num w:numId="1001">
    <w:abstractNumId w:val="991"/>
  </w:num>
  <w:num w:numId="1002">
    <w:abstractNumId w:val="991"/>
  </w:num>
  <w:num w:numId="1003">
    <w:abstractNumId w:val="991"/>
  </w:num>
</w:numbering>
</file>

<file path=word/settings.xml><?xml version="1.0" encoding="utf-8"?>
<w:settings xmlns:w="http://schemas.openxmlformats.org/wordprocessingml/2006/main">
  <w:zoom w:percent="10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kern w:val="2"/>
        <w:sz w:val="22"/>
        <w:szCs w:val="22"/>
        <w:lang w:bidi="ar-SA" w:eastAsia="en-US" w:val="es-BO"/>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3586"/>
    <w:pPr>
      <w:spacing w:line="360" w:lineRule="auto"/>
      <w:ind w:firstLine="720"/>
      <w:jc w:val="both"/>
    </w:pPr>
    <w:rPr>
      <w:rFonts w:ascii="Arial" w:hAnsi="Arial"/>
      <w:sz w:val="24"/>
    </w:rPr>
  </w:style>
  <w:style w:styleId="Ttulo1" w:type="paragraph">
    <w:name w:val="heading 1"/>
    <w:basedOn w:val="Normal"/>
    <w:next w:val="Normal"/>
    <w:link w:val="Ttulo1Car"/>
    <w:uiPriority w:val="9"/>
    <w:qFormat/>
    <w:rsid w:val="00BC4725"/>
    <w:pPr>
      <w:keepNext/>
      <w:keepLines/>
      <w:numPr>
        <w:numId w:val="15"/>
      </w:numPr>
      <w:spacing w:after="360" w:before="360"/>
      <w:outlineLvl w:val="0"/>
    </w:pPr>
    <w:rPr>
      <w:rFonts w:cstheme="majorBidi" w:eastAsiaTheme="majorEastAsia"/>
      <w:b/>
      <w:szCs w:val="32"/>
    </w:rPr>
  </w:style>
  <w:style w:styleId="Ttulo2" w:type="paragraph">
    <w:name w:val="heading 2"/>
    <w:basedOn w:val="Normal"/>
    <w:next w:val="Normal"/>
    <w:link w:val="Ttulo2Car"/>
    <w:uiPriority w:val="9"/>
    <w:semiHidden/>
    <w:unhideWhenUsed/>
    <w:qFormat/>
    <w:rsid w:val="00D62EFE"/>
    <w:pPr>
      <w:keepNext/>
      <w:keepLines/>
      <w:numPr>
        <w:ilvl w:val="1"/>
        <w:numId w:val="15"/>
      </w:numPr>
      <w:spacing w:after="240" w:before="240"/>
      <w:outlineLvl w:val="1"/>
    </w:pPr>
    <w:rPr>
      <w:rFonts w:cstheme="majorBidi" w:eastAsiaTheme="majorEastAsia"/>
      <w:b/>
      <w:szCs w:val="26"/>
    </w:rPr>
  </w:style>
  <w:style w:styleId="Ttulo3" w:type="paragraph">
    <w:name w:val="heading 3"/>
    <w:basedOn w:val="Normal"/>
    <w:next w:val="Normal"/>
    <w:link w:val="Ttulo3Car"/>
    <w:uiPriority w:val="9"/>
    <w:semiHidden/>
    <w:unhideWhenUsed/>
    <w:qFormat/>
    <w:rsid w:val="00863153"/>
    <w:pPr>
      <w:keepNext/>
      <w:keepLines/>
      <w:numPr>
        <w:ilvl w:val="2"/>
        <w:numId w:val="15"/>
      </w:numPr>
      <w:spacing w:after="240" w:before="240"/>
      <w:outlineLvl w:val="2"/>
    </w:pPr>
    <w:rPr>
      <w:rFonts w:cstheme="majorBidi" w:eastAsiaTheme="majorEastAsia"/>
      <w:b/>
      <w:i/>
      <w:szCs w:val="24"/>
    </w:rPr>
  </w:style>
  <w:style w:styleId="Ttulo4" w:type="paragraph">
    <w:name w:val="heading 4"/>
    <w:basedOn w:val="Normal"/>
    <w:next w:val="Normal"/>
    <w:link w:val="Ttulo4Car"/>
    <w:uiPriority w:val="9"/>
    <w:semiHidden/>
    <w:unhideWhenUsed/>
    <w:qFormat/>
    <w:rsid w:val="00B27DA2"/>
    <w:pPr>
      <w:numPr>
        <w:ilvl w:val="3"/>
        <w:numId w:val="15"/>
      </w:numPr>
      <w:spacing w:after="0" w:before="40"/>
      <w:ind w:firstLine="720"/>
      <w:contextualSpacing/>
      <w:outlineLvl w:val="3"/>
    </w:pPr>
    <w:rPr>
      <w:rFonts w:cstheme="majorBidi" w:eastAsiaTheme="majorEastAsia"/>
      <w:b/>
      <w:iCs/>
    </w:rPr>
  </w:style>
  <w:style w:styleId="Ttulo5" w:type="paragraph">
    <w:name w:val="heading 5"/>
    <w:basedOn w:val="Normal"/>
    <w:next w:val="Normal"/>
    <w:link w:val="Ttulo5Car"/>
    <w:uiPriority w:val="9"/>
    <w:semiHidden/>
    <w:unhideWhenUsed/>
    <w:qFormat/>
    <w:rsid w:val="00B27DA2"/>
    <w:pPr>
      <w:numPr>
        <w:ilvl w:val="4"/>
        <w:numId w:val="15"/>
      </w:numPr>
      <w:spacing w:after="0" w:before="40"/>
      <w:ind w:firstLine="720"/>
      <w:outlineLvl w:val="4"/>
    </w:pPr>
    <w:rPr>
      <w:rFonts w:cstheme="majorBidi" w:eastAsiaTheme="majorEastAsia"/>
      <w:b/>
      <w:i/>
    </w:rPr>
  </w:style>
  <w:style w:styleId="Ttulo6" w:type="paragraph">
    <w:name w:val="heading 6"/>
    <w:basedOn w:val="Normal"/>
    <w:next w:val="Normal"/>
    <w:link w:val="Ttulo6Car"/>
    <w:uiPriority w:val="9"/>
    <w:semiHidden/>
    <w:unhideWhenUsed/>
    <w:qFormat/>
    <w:rsid w:val="00E7387A"/>
    <w:pPr>
      <w:keepNext/>
      <w:keepLines/>
      <w:numPr>
        <w:ilvl w:val="5"/>
        <w:numId w:val="15"/>
      </w:numPr>
      <w:spacing w:after="0" w:before="40"/>
      <w:outlineLvl w:val="5"/>
    </w:pPr>
    <w:rPr>
      <w:rFonts w:asciiTheme="majorHAnsi" w:cstheme="majorBidi" w:eastAsiaTheme="majorEastAsia" w:hAnsiTheme="majorHAnsi"/>
      <w:color w:themeColor="accent1" w:themeShade="7F" w:val="1F3763"/>
    </w:rPr>
  </w:style>
  <w:style w:styleId="Ttulo7" w:type="paragraph">
    <w:name w:val="heading 7"/>
    <w:basedOn w:val="Normal"/>
    <w:next w:val="Normal"/>
    <w:link w:val="Ttulo7Car"/>
    <w:uiPriority w:val="9"/>
    <w:semiHidden/>
    <w:unhideWhenUsed/>
    <w:qFormat/>
    <w:rsid w:val="00E7387A"/>
    <w:pPr>
      <w:keepNext/>
      <w:keepLines/>
      <w:numPr>
        <w:ilvl w:val="6"/>
        <w:numId w:val="15"/>
      </w:numPr>
      <w:spacing w:after="0" w:before="40"/>
      <w:outlineLvl w:val="6"/>
    </w:pPr>
    <w:rPr>
      <w:rFonts w:asciiTheme="majorHAnsi" w:cstheme="majorBidi" w:eastAsiaTheme="majorEastAsia" w:hAnsiTheme="majorHAnsi"/>
      <w:i/>
      <w:iCs/>
      <w:color w:themeColor="accent1" w:themeShade="7F" w:val="1F3763"/>
    </w:rPr>
  </w:style>
  <w:style w:styleId="Ttulo8" w:type="paragraph">
    <w:name w:val="heading 8"/>
    <w:basedOn w:val="Normal"/>
    <w:next w:val="Normal"/>
    <w:link w:val="Ttulo8Car"/>
    <w:uiPriority w:val="9"/>
    <w:semiHidden/>
    <w:unhideWhenUsed/>
    <w:qFormat/>
    <w:rsid w:val="00E7387A"/>
    <w:pPr>
      <w:keepNext/>
      <w:keepLines/>
      <w:numPr>
        <w:ilvl w:val="7"/>
        <w:numId w:val="15"/>
      </w:numPr>
      <w:spacing w:after="0" w:before="40"/>
      <w:outlineLvl w:val="7"/>
    </w:pPr>
    <w:rPr>
      <w:rFonts w:asciiTheme="majorHAnsi" w:cstheme="majorBidi" w:eastAsiaTheme="majorEastAsia" w:hAnsiTheme="majorHAnsi"/>
      <w:color w:themeColor="text1" w:themeTint="D8" w:val="272727"/>
      <w:sz w:val="21"/>
      <w:szCs w:val="21"/>
    </w:rPr>
  </w:style>
  <w:style w:styleId="Ttulo9" w:type="paragraph">
    <w:name w:val="heading 9"/>
    <w:basedOn w:val="Normal"/>
    <w:next w:val="Normal"/>
    <w:link w:val="Ttulo9Car"/>
    <w:uiPriority w:val="9"/>
    <w:semiHidden/>
    <w:unhideWhenUsed/>
    <w:qFormat/>
    <w:rsid w:val="00E7387A"/>
    <w:pPr>
      <w:keepNext/>
      <w:keepLines/>
      <w:numPr>
        <w:ilvl w:val="8"/>
        <w:numId w:val="15"/>
      </w:numPr>
      <w:spacing w:after="0" w:before="40"/>
      <w:outlineLvl w:val="8"/>
    </w:pPr>
    <w:rPr>
      <w:rFonts w:asciiTheme="majorHAnsi" w:cstheme="majorBidi" w:eastAsiaTheme="majorEastAsia" w:hAnsiTheme="majorHAnsi"/>
      <w:i/>
      <w:iCs/>
      <w:color w:themeColor="text1" w:themeTint="D8" w:val="272727"/>
      <w:sz w:val="21"/>
      <w:szCs w:val="21"/>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BC4725"/>
    <w:rPr>
      <w:rFonts w:ascii="Times New Roman" w:cstheme="majorBidi" w:eastAsiaTheme="majorEastAsia" w:hAnsi="Times New Roman"/>
      <w:b/>
      <w:sz w:val="24"/>
      <w:szCs w:val="32"/>
    </w:rPr>
  </w:style>
  <w:style w:styleId="Ttulo" w:type="paragraph">
    <w:name w:val="Title"/>
    <w:basedOn w:val="Normal"/>
    <w:next w:val="Normal"/>
    <w:link w:val="TtuloCar"/>
    <w:uiPriority w:val="10"/>
    <w:qFormat/>
    <w:rsid w:val="000720ED"/>
    <w:pPr>
      <w:spacing w:after="0" w:line="240" w:lineRule="auto"/>
      <w:contextualSpacing/>
    </w:pPr>
    <w:rPr>
      <w:rFonts w:cstheme="majorBidi" w:eastAsiaTheme="majorEastAsia"/>
      <w:b/>
      <w:spacing w:val="-10"/>
      <w:kern w:val="28"/>
      <w:sz w:val="28"/>
      <w:szCs w:val="56"/>
    </w:rPr>
  </w:style>
  <w:style w:customStyle="1" w:styleId="TtuloCar" w:type="character">
    <w:name w:val="Título Car"/>
    <w:basedOn w:val="Fuentedeprrafopredeter"/>
    <w:link w:val="Ttulo"/>
    <w:uiPriority w:val="10"/>
    <w:rsid w:val="000720ED"/>
    <w:rPr>
      <w:rFonts w:ascii="Times New Roman" w:cstheme="majorBidi" w:eastAsiaTheme="majorEastAsia" w:hAnsi="Times New Roman"/>
      <w:b/>
      <w:spacing w:val="-10"/>
      <w:kern w:val="28"/>
      <w:sz w:val="28"/>
      <w:szCs w:val="56"/>
    </w:rPr>
  </w:style>
  <w:style w:customStyle="1" w:styleId="Ttulo2Car" w:type="character">
    <w:name w:val="Título 2 Car"/>
    <w:basedOn w:val="Fuentedeprrafopredeter"/>
    <w:link w:val="Ttulo2"/>
    <w:uiPriority w:val="9"/>
    <w:semiHidden/>
    <w:rsid w:val="00D62EFE"/>
    <w:rPr>
      <w:rFonts w:ascii="Times New Roman" w:cstheme="majorBidi" w:eastAsiaTheme="majorEastAsia" w:hAnsi="Times New Roman"/>
      <w:b/>
      <w:sz w:val="24"/>
      <w:szCs w:val="26"/>
    </w:rPr>
  </w:style>
  <w:style w:customStyle="1" w:styleId="Ttulo3Car" w:type="character">
    <w:name w:val="Título 3 Car"/>
    <w:basedOn w:val="Fuentedeprrafopredeter"/>
    <w:link w:val="Ttulo3"/>
    <w:uiPriority w:val="9"/>
    <w:semiHidden/>
    <w:rsid w:val="00863153"/>
    <w:rPr>
      <w:rFonts w:ascii="Times New Roman" w:cstheme="majorBidi" w:eastAsiaTheme="majorEastAsia" w:hAnsi="Times New Roman"/>
      <w:b/>
      <w:i/>
      <w:sz w:val="24"/>
      <w:szCs w:val="24"/>
    </w:rPr>
  </w:style>
  <w:style w:customStyle="1" w:styleId="Ttulo4Car" w:type="character">
    <w:name w:val="Título 4 Car"/>
    <w:basedOn w:val="Fuentedeprrafopredeter"/>
    <w:link w:val="Ttulo4"/>
    <w:uiPriority w:val="9"/>
    <w:semiHidden/>
    <w:rsid w:val="00B27DA2"/>
    <w:rPr>
      <w:rFonts w:ascii="Times New Roman" w:cstheme="majorBidi" w:eastAsiaTheme="majorEastAsia" w:hAnsi="Times New Roman"/>
      <w:b/>
      <w:iCs/>
      <w:sz w:val="24"/>
    </w:rPr>
  </w:style>
  <w:style w:customStyle="1" w:styleId="Ttulo5Car" w:type="character">
    <w:name w:val="Título 5 Car"/>
    <w:basedOn w:val="Fuentedeprrafopredeter"/>
    <w:link w:val="Ttulo5"/>
    <w:uiPriority w:val="9"/>
    <w:semiHidden/>
    <w:rsid w:val="00B27DA2"/>
    <w:rPr>
      <w:rFonts w:ascii="Times New Roman" w:cstheme="majorBidi" w:eastAsiaTheme="majorEastAsia" w:hAnsi="Times New Roman"/>
      <w:b/>
      <w:i/>
      <w:sz w:val="24"/>
    </w:rPr>
  </w:style>
  <w:style w:styleId="Descripcin" w:type="paragraph">
    <w:name w:val="caption"/>
    <w:basedOn w:val="Normal"/>
    <w:next w:val="Normal"/>
    <w:uiPriority w:val="35"/>
    <w:semiHidden/>
    <w:unhideWhenUsed/>
    <w:qFormat/>
    <w:rsid w:val="00F224A1"/>
    <w:pPr>
      <w:spacing w:after="200" w:line="240" w:lineRule="auto"/>
    </w:pPr>
    <w:rPr>
      <w:i/>
      <w:iCs/>
      <w:color w:themeColor="text2" w:val="44546A"/>
      <w:sz w:val="18"/>
      <w:szCs w:val="18"/>
    </w:rPr>
  </w:style>
  <w:style w:styleId="Prrafodelista" w:type="paragraph">
    <w:name w:val="List Paragraph"/>
    <w:basedOn w:val="Normal"/>
    <w:uiPriority w:val="34"/>
    <w:qFormat/>
    <w:rsid w:val="00AF5C7A"/>
    <w:pPr>
      <w:ind w:left="720"/>
      <w:contextualSpacing/>
    </w:pPr>
  </w:style>
  <w:style w:customStyle="1" w:styleId="TableCaption" w:type="paragraph">
    <w:name w:val="Table Caption"/>
    <w:basedOn w:val="Normal"/>
    <w:qFormat/>
    <w:rsid w:val="00D45B06"/>
    <w:pPr>
      <w:spacing w:line="240" w:lineRule="auto"/>
      <w:jc w:val="center"/>
    </w:pPr>
  </w:style>
  <w:style w:customStyle="1" w:styleId="ImageCaption" w:type="paragraph">
    <w:name w:val="Image Caption"/>
    <w:basedOn w:val="Normal"/>
    <w:qFormat/>
    <w:rsid w:val="00D45B06"/>
    <w:pPr>
      <w:spacing w:line="240" w:lineRule="auto"/>
      <w:jc w:val="center"/>
    </w:pPr>
  </w:style>
  <w:style w:customStyle="1" w:styleId="StyleListRevistaBusqueda" w:type="numbering">
    <w:name w:val="StyleListRevistaBusqueda"/>
    <w:uiPriority w:val="99"/>
    <w:rsid w:val="00E7387A"/>
    <w:pPr>
      <w:numPr>
        <w:numId w:val="5"/>
      </w:numPr>
    </w:pPr>
  </w:style>
  <w:style w:customStyle="1" w:styleId="Titulo1enum" w:type="paragraph">
    <w:name w:val="Titulo 1 enum"/>
    <w:basedOn w:val="Ttulo1"/>
    <w:qFormat/>
    <w:rsid w:val="001B5850"/>
    <w:pPr>
      <w:numPr>
        <w:numId w:val="0"/>
      </w:numPr>
    </w:pPr>
  </w:style>
  <w:style w:customStyle="1" w:styleId="Ttulo6Car" w:type="character">
    <w:name w:val="Título 6 Car"/>
    <w:basedOn w:val="Fuentedeprrafopredeter"/>
    <w:link w:val="Ttulo6"/>
    <w:uiPriority w:val="9"/>
    <w:semiHidden/>
    <w:rsid w:val="00120899"/>
    <w:rPr>
      <w:rFonts w:asciiTheme="majorHAnsi" w:cstheme="majorBidi" w:eastAsiaTheme="majorEastAsia" w:hAnsiTheme="majorHAnsi"/>
      <w:color w:themeColor="accent1" w:themeShade="7F" w:val="1F3763"/>
      <w:sz w:val="24"/>
    </w:rPr>
  </w:style>
  <w:style w:customStyle="1" w:styleId="Ttulo7Car" w:type="character">
    <w:name w:val="Título 7 Car"/>
    <w:basedOn w:val="Fuentedeprrafopredeter"/>
    <w:link w:val="Ttulo7"/>
    <w:uiPriority w:val="9"/>
    <w:semiHidden/>
    <w:rsid w:val="00120899"/>
    <w:rPr>
      <w:rFonts w:asciiTheme="majorHAnsi" w:cstheme="majorBidi" w:eastAsiaTheme="majorEastAsia" w:hAnsiTheme="majorHAnsi"/>
      <w:i/>
      <w:iCs/>
      <w:color w:themeColor="accent1" w:themeShade="7F" w:val="1F3763"/>
      <w:sz w:val="24"/>
    </w:rPr>
  </w:style>
  <w:style w:customStyle="1" w:styleId="Ttulo8Car" w:type="character">
    <w:name w:val="Título 8 Car"/>
    <w:basedOn w:val="Fuentedeprrafopredeter"/>
    <w:link w:val="Ttulo8"/>
    <w:uiPriority w:val="9"/>
    <w:semiHidden/>
    <w:rsid w:val="00120899"/>
    <w:rPr>
      <w:rFonts w:asciiTheme="majorHAnsi" w:cstheme="majorBidi" w:eastAsiaTheme="majorEastAsia" w:hAnsiTheme="majorHAnsi"/>
      <w:color w:themeColor="text1" w:themeTint="D8" w:val="272727"/>
      <w:sz w:val="21"/>
      <w:szCs w:val="21"/>
    </w:rPr>
  </w:style>
  <w:style w:customStyle="1" w:styleId="Ttulo9Car" w:type="character">
    <w:name w:val="Título 9 Car"/>
    <w:basedOn w:val="Fuentedeprrafopredeter"/>
    <w:link w:val="Ttulo9"/>
    <w:uiPriority w:val="9"/>
    <w:semiHidden/>
    <w:rsid w:val="00120899"/>
    <w:rPr>
      <w:rFonts w:asciiTheme="majorHAnsi" w:cstheme="majorBidi" w:eastAsiaTheme="majorEastAsia" w:hAnsiTheme="majorHAnsi"/>
      <w:i/>
      <w:iCs/>
      <w:color w:themeColor="text1" w:themeTint="D8" w:val="272727"/>
      <w:sz w:val="21"/>
      <w:szCs w:val="21"/>
    </w:rPr>
  </w:style>
  <w:style w:styleId="Bibliografa" w:type="paragraph">
    <w:name w:val="Bibliography"/>
    <w:basedOn w:val="Normal"/>
    <w:next w:val="Normal"/>
    <w:uiPriority w:val="37"/>
    <w:semiHidden/>
    <w:unhideWhenUsed/>
    <w:rsid w:val="00C73355"/>
    <w:pPr>
      <w:spacing w:after="240" w:before="240" w:line="240" w:lineRule="auto"/>
      <w:ind w:hanging="720" w:left="720"/>
    </w:pPr>
  </w:style>
  <w:style w:styleId="Tablaconcuadrcula" w:type="table">
    <w:name w:val="Table Grid"/>
    <w:basedOn w:val="Tablanormal"/>
    <w:uiPriority w:val="39"/>
    <w:rsid w:val="00E70EB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NotasTablasImagenes" w:type="paragraph">
    <w:name w:val="NotasTablasImagenes"/>
    <w:basedOn w:val="Normal"/>
    <w:next w:val="Normal"/>
    <w:link w:val="NotasTablasImagenesCar"/>
    <w:qFormat/>
    <w:rsid w:val="005C09EA"/>
    <w:pPr>
      <w:spacing w:after="240" w:before="120" w:line="240" w:lineRule="auto"/>
      <w:jc w:val="center"/>
    </w:pPr>
    <w:rPr>
      <w:sz w:val="22"/>
    </w:rPr>
  </w:style>
  <w:style w:customStyle="1" w:styleId="NotasTablasImagenesCar" w:type="character">
    <w:name w:val="NotasTablasImagenes Car"/>
    <w:basedOn w:val="Fuentedeprrafopredeter"/>
    <w:link w:val="NotasTablasImagenes"/>
    <w:rsid w:val="005C09EA"/>
    <w:rPr>
      <w:rFonts w:ascii="Times New Roman" w:hAnsi="Times New Roman"/>
    </w:rPr>
  </w:style>
  <w:style w:styleId="Sangradetextonormal" w:type="paragraph">
    <w:name w:val="Body Text Indent"/>
    <w:basedOn w:val="Normal"/>
    <w:link w:val="SangradetextonormalCar"/>
    <w:uiPriority w:val="99"/>
    <w:semiHidden/>
    <w:unhideWhenUsed/>
    <w:rsid w:val="006A7A01"/>
    <w:pPr>
      <w:spacing w:after="120"/>
      <w:ind w:left="283"/>
    </w:pPr>
  </w:style>
  <w:style w:customStyle="1" w:styleId="SangradetextonormalCar" w:type="character">
    <w:name w:val="Sangría de texto normal Car"/>
    <w:basedOn w:val="Fuentedeprrafopredeter"/>
    <w:link w:val="Sangradetextonormal"/>
    <w:uiPriority w:val="99"/>
    <w:semiHidden/>
    <w:rsid w:val="006A7A01"/>
    <w:rPr>
      <w:rFonts w:ascii="Times New Roman" w:hAnsi="Times New Roman"/>
      <w:sz w:val="24"/>
    </w:rPr>
  </w:style>
  <w:style w:customStyle="1" w:styleId="Titulo2enum" w:type="paragraph">
    <w:name w:val="Titulo 2 enum"/>
    <w:basedOn w:val="Ttulo2"/>
    <w:next w:val="Normal"/>
    <w:qFormat/>
    <w:rsid w:val="007D1A6D"/>
    <w:pPr>
      <w:numPr>
        <w:ilvl w:val="0"/>
        <w:numId w:val="0"/>
      </w:numPr>
    </w:pPr>
    <w:rPr>
      <w:lang w:val="es-MX"/>
    </w:rPr>
  </w:style>
  <w:style w:customStyle="1" w:styleId="SuperScriptStyle" w:type="paragraph">
    <w:name w:val="SuperScriptStyle"/>
    <w:basedOn w:val="NotasTablasImagenes"/>
    <w:link w:val="SuperScriptStyleCar"/>
    <w:qFormat/>
    <w:rsid w:val="00C11752"/>
    <w:pPr>
      <w:jc w:val="left"/>
    </w:pPr>
    <w:rPr>
      <w:sz w:val="20"/>
      <w:vertAlign w:val="superscript"/>
      <w:lang w:val="es-MX"/>
    </w:rPr>
  </w:style>
  <w:style w:customStyle="1" w:styleId="SuperScriptStyleCar" w:type="character">
    <w:name w:val="SuperScriptStyle Car"/>
    <w:basedOn w:val="NotasTablasImagenesCar"/>
    <w:link w:val="SuperScriptStyle"/>
    <w:rsid w:val="00C11752"/>
    <w:rPr>
      <w:rFonts w:ascii="Arial" w:hAnsi="Arial"/>
      <w:sz w:val="20"/>
      <w:vertAlign w:val="superscript"/>
      <w:lang w:val="es-MX"/>
    </w:rPr>
  </w:style>
  <w:style w:styleId="Textonotapie" w:type="paragraph">
    <w:name w:val="footnote text"/>
    <w:basedOn w:val="Normal"/>
    <w:link w:val="TextonotapieCar"/>
    <w:uiPriority w:val="99"/>
    <w:semiHidden/>
    <w:unhideWhenUsed/>
    <w:rsid w:val="00867DEA"/>
    <w:pPr>
      <w:spacing w:after="0" w:line="240" w:lineRule="auto"/>
    </w:pPr>
    <w:rPr>
      <w:sz w:val="16"/>
      <w:szCs w:val="20"/>
    </w:rPr>
  </w:style>
  <w:style w:customStyle="1" w:styleId="TextonotapieCar" w:type="character">
    <w:name w:val="Texto nota pie Car"/>
    <w:basedOn w:val="Fuentedeprrafopredeter"/>
    <w:link w:val="Textonotapie"/>
    <w:uiPriority w:val="99"/>
    <w:semiHidden/>
    <w:rsid w:val="00867DEA"/>
    <w:rPr>
      <w:rFonts w:ascii="Arial" w:hAnsi="Arial"/>
      <w:sz w:val="16"/>
      <w:szCs w:val="20"/>
    </w:rPr>
  </w:style>
  <w:style w:customStyle="1" w:styleId="NormalSinSangria" w:type="paragraph">
    <w:name w:val="Normal Sin Sangria"/>
    <w:basedOn w:val="Normal"/>
    <w:qFormat/>
    <w:rsid w:val="00CB3586"/>
    <w:pPr>
      <w:ind w:firstLine="0"/>
    </w:pPr>
    <w:rPr>
      <w:lang w:val="es-MX"/>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21" Type="http://schemas.openxmlformats.org/officeDocument/2006/relationships/hyperlink" Target="https://www.asfi.gob.bo/" TargetMode="External"/>
<Relationship Id="rId22" Type="http://schemas.openxmlformats.org/officeDocument/2006/relationships/aFChunk" Target=".//PRIMERA-PAGINA.docx"/>
<Relationship Id="rId23" Type="http://schemas.openxmlformats.org/officeDocument/2006/relationships/image" Target="media/1c24d844870d304f70ed72efddc37172400630c5.png"/>
<Relationship Id="rId24" Type="http://schemas.openxmlformats.org/officeDocument/2006/relationships/image" Target="media/cd914ecf09d1f4830e3eb1bcb7ce9039a5efb347.png"/>
</Relationships>

</file>

<file path=word/_rels/footnotes.xml.rels><?xml version="1.0" encoding="UTF-8" standalone="yes"?>

<Relationships  xmlns="http://schemas.openxmlformats.org/package/2006/relationships">
<Relationship Id="rId21" Type="http://schemas.openxmlformats.org/officeDocument/2006/relationships/hyperlink" Target="https://www.asfi.gob.bo/" TargetMode="External"/>
</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2024-06-11T06:19:58Z</dcterms:created>
  <dcterms:modified xsi:type="dcterms:W3CDTF">2024-06-11T00:19:59Z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ASSETS/WORD-DOCUMENT/CLS/apa.csl</vt:lpwstr>
  </property>
  <property fmtid="{D5CDD505-2E9C-101B-9397-08002B2CF9AE}" pid="4" name="nocite">
    <vt:lpwstr>@*</vt:lpwstr>
  </property>
  <property fmtid="{D5CDD505-2E9C-101B-9397-08002B2CF9AE}" pid="5" name="output">
    <vt:lpwstr/>
  </property>
</Properties>
</file>