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6D77"/>
          <w:sz w:val="36"/>
        </w:rPr>
        <w:t>#BBUS publication strategy</w:t>
      </w:r>
    </w:p>
    <w:p>
      <w:pPr>
        <w:spacing w:after="160"/>
      </w:pPr>
      <w:r>
        <w:rPr>
          <w:i/>
          <w:color w:val="555555"/>
          <w:sz w:val="18"/>
        </w:rPr>
        <w:t>Journal quartiles, and which paper comes out of which model  ·  CEEW  ·  September 2026</w:t>
      </w:r>
    </w:p>
    <w:tbl>
      <w:tblPr>
        <w:tblStyle w:val="TableGrid"/>
        <w:tblW w:type="auto" w:w="0"/>
        <w:tblLook w:firstColumn="1" w:firstRow="1" w:lastColumn="0" w:lastRow="0" w:noHBand="0" w:noVBand="1" w:val="04A0"/>
      </w:tblPr>
      <w:tblGrid>
        <w:gridCol w:w="10086"/>
      </w:tblGrid>
      <w:tr>
        <w:tc>
          <w:tcPr>
            <w:tcW w:type="dxa" w:w="9751"/>
            <w:shd w:val="clear" w:color="auto" w:fill="FBEAEA"/>
          </w:tcPr>
          <w:p>
            <w:pPr>
              <w:spacing w:after="40"/>
            </w:pPr>
            <w:r>
              <w:rPr>
                <w:b/>
                <w:color w:val="992222"/>
                <w:sz w:val="20"/>
              </w:rPr>
              <w:t>These quartiles are not yet verified</w:t>
            </w:r>
          </w:p>
          <w:p>
            <w:pPr>
              <w:spacing w:after="20"/>
            </w:pPr>
            <w:r>
              <w:rPr>
                <w:sz w:val="19"/>
              </w:rPr>
              <w:t>Scimago itself was blocked by network policy, so no quartile below was read off a Scimago journal page directly. Each comes from search results quoting Scimago, cross-checked against at least one aggregator such as Resurchify or journalmetrics. Before this guides a submission decision, open scimagojr.com, search the journal, and read the quartile chart with its year. Quartiles also move year to year and differ by subject category, so always state which category and which year you are quoting.</w:t>
            </w:r>
          </w:p>
        </w:tc>
      </w:tr>
    </w:tbl>
    <w:p>
      <w:pPr>
        <w:spacing w:after="60"/>
      </w:pPr>
    </w:p>
    <w:p>
      <w:pPr>
        <w:spacing w:before="280" w:after="80"/>
        <w:pBdr>
          <w:bottom w:val="single" w:sz="6" w:space="3" w:color="006D77"/>
        </w:pBdr>
      </w:pPr>
      <w:r>
        <w:rPr>
          <w:b/>
          <w:color w:val="006D77"/>
          <w:sz w:val="26"/>
        </w:rPr>
        <w:t>1. Quartiles, as far as they could be checked</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402"/>
            <w:shd w:val="clear" w:color="auto" w:fill="E8F2F2"/>
          </w:tcPr>
          <w:p>
            <w:pPr>
              <w:spacing w:after="20" w:before="20"/>
            </w:pPr>
            <w:r>
              <w:rPr>
                <w:b/>
                <w:color w:val="006D77"/>
                <w:sz w:val="16"/>
              </w:rPr>
              <w:t>Journal</w:t>
            </w:r>
          </w:p>
        </w:tc>
        <w:tc>
          <w:tcPr>
            <w:tcW w:type="dxa" w:w="3628"/>
            <w:shd w:val="clear" w:color="auto" w:fill="E8F2F2"/>
          </w:tcPr>
          <w:p>
            <w:pPr>
              <w:spacing w:after="20" w:before="20"/>
            </w:pPr>
            <w:r>
              <w:rPr>
                <w:b/>
                <w:color w:val="006D77"/>
                <w:sz w:val="16"/>
              </w:rPr>
              <w:t>Best quartile and category</w:t>
            </w:r>
          </w:p>
        </w:tc>
        <w:tc>
          <w:tcPr>
            <w:tcW w:type="dxa" w:w="1077"/>
            <w:shd w:val="clear" w:color="auto" w:fill="E8F2F2"/>
          </w:tcPr>
          <w:p>
            <w:pPr>
              <w:spacing w:after="20" w:before="20"/>
            </w:pPr>
            <w:r>
              <w:rPr>
                <w:b/>
                <w:color w:val="006D77"/>
                <w:sz w:val="16"/>
              </w:rPr>
              <w:t>Year</w:t>
            </w:r>
          </w:p>
        </w:tc>
        <w:tc>
          <w:tcPr>
            <w:tcW w:type="dxa" w:w="1417"/>
            <w:shd w:val="clear" w:color="auto" w:fill="E8F2F2"/>
          </w:tcPr>
          <w:p>
            <w:pPr>
              <w:spacing w:after="20" w:before="20"/>
            </w:pPr>
            <w:r>
              <w:rPr>
                <w:b/>
                <w:color w:val="006D77"/>
                <w:sz w:val="16"/>
              </w:rPr>
              <w:t>Confidence</w:t>
            </w:r>
          </w:p>
        </w:tc>
      </w:tr>
      <w:tr>
        <w:tc>
          <w:tcPr>
            <w:tcW w:type="dxa" w:w="3402"/>
          </w:tcPr>
          <w:p>
            <w:pPr>
              <w:spacing w:after="20" w:before="20"/>
            </w:pPr>
            <w:r>
              <w:rPr>
                <w:b/>
                <w:sz w:val="16"/>
              </w:rPr>
              <w:t>Nature Sustainability</w:t>
            </w:r>
          </w:p>
        </w:tc>
        <w:tc>
          <w:tcPr>
            <w:tcW w:type="dxa" w:w="3628"/>
          </w:tcPr>
          <w:p>
            <w:pPr>
              <w:spacing w:after="20" w:before="20"/>
            </w:pPr>
            <w:r>
              <w:rPr>
                <w:sz w:val="16"/>
              </w:rPr>
              <w:t>Q1, several categories</w:t>
            </w:r>
          </w:p>
        </w:tc>
        <w:tc>
          <w:tcPr>
            <w:tcW w:type="dxa" w:w="1077"/>
          </w:tcPr>
          <w:p>
            <w:pPr>
              <w:spacing w:after="20" w:before="20"/>
            </w:pPr>
            <w:r>
              <w:rPr>
                <w:sz w:val="16"/>
              </w:rPr>
              <w:t>2024</w:t>
            </w:r>
          </w:p>
        </w:tc>
        <w:tc>
          <w:tcPr>
            <w:tcW w:type="dxa" w:w="1417"/>
          </w:tcPr>
          <w:p>
            <w:pPr>
              <w:spacing w:after="20" w:before="20"/>
            </w:pPr>
            <w:r>
              <w:rPr>
                <w:sz w:val="16"/>
              </w:rPr>
              <w:t>High</w:t>
            </w:r>
          </w:p>
        </w:tc>
      </w:tr>
      <w:tr>
        <w:tc>
          <w:tcPr>
            <w:tcW w:type="dxa" w:w="3402"/>
          </w:tcPr>
          <w:p>
            <w:pPr>
              <w:spacing w:after="20" w:before="20"/>
            </w:pPr>
            <w:r>
              <w:rPr>
                <w:b/>
                <w:sz w:val="16"/>
              </w:rPr>
              <w:t>Applied Energy</w:t>
            </w:r>
          </w:p>
        </w:tc>
        <w:tc>
          <w:tcPr>
            <w:tcW w:type="dxa" w:w="3628"/>
          </w:tcPr>
          <w:p>
            <w:pPr>
              <w:spacing w:after="20" w:before="20"/>
            </w:pPr>
            <w:r>
              <w:rPr>
                <w:sz w:val="16"/>
              </w:rPr>
              <w:t>Q1, energy and several others</w:t>
            </w:r>
          </w:p>
        </w:tc>
        <w:tc>
          <w:tcPr>
            <w:tcW w:type="dxa" w:w="1077"/>
          </w:tcPr>
          <w:p>
            <w:pPr>
              <w:spacing w:after="20" w:before="20"/>
            </w:pPr>
            <w:r>
              <w:rPr>
                <w:sz w:val="16"/>
              </w:rPr>
              <w:t>2024</w:t>
            </w:r>
          </w:p>
        </w:tc>
        <w:tc>
          <w:tcPr>
            <w:tcW w:type="dxa" w:w="1417"/>
          </w:tcPr>
          <w:p>
            <w:pPr>
              <w:spacing w:after="20" w:before="20"/>
            </w:pPr>
            <w:r>
              <w:rPr>
                <w:sz w:val="16"/>
              </w:rPr>
              <w:t>High</w:t>
            </w:r>
          </w:p>
        </w:tc>
      </w:tr>
      <w:tr>
        <w:tc>
          <w:tcPr>
            <w:tcW w:type="dxa" w:w="3402"/>
          </w:tcPr>
          <w:p>
            <w:pPr>
              <w:spacing w:after="20" w:before="20"/>
            </w:pPr>
            <w:r>
              <w:rPr>
                <w:b/>
                <w:sz w:val="16"/>
              </w:rPr>
              <w:t>The Lancet Planetary Health</w:t>
            </w:r>
          </w:p>
        </w:tc>
        <w:tc>
          <w:tcPr>
            <w:tcW w:type="dxa" w:w="3628"/>
          </w:tcPr>
          <w:p>
            <w:pPr>
              <w:spacing w:after="20" w:before="20"/>
            </w:pPr>
            <w:r>
              <w:rPr>
                <w:sz w:val="16"/>
              </w:rPr>
              <w:t>Q1, environmental science and public health</w:t>
            </w:r>
          </w:p>
        </w:tc>
        <w:tc>
          <w:tcPr>
            <w:tcW w:type="dxa" w:w="1077"/>
          </w:tcPr>
          <w:p>
            <w:pPr>
              <w:spacing w:after="20" w:before="20"/>
            </w:pPr>
            <w:r>
              <w:rPr>
                <w:sz w:val="16"/>
              </w:rPr>
              <w:t>2024</w:t>
            </w:r>
          </w:p>
        </w:tc>
        <w:tc>
          <w:tcPr>
            <w:tcW w:type="dxa" w:w="1417"/>
          </w:tcPr>
          <w:p>
            <w:pPr>
              <w:spacing w:after="20" w:before="20"/>
            </w:pPr>
            <w:r>
              <w:rPr>
                <w:sz w:val="16"/>
              </w:rPr>
              <w:t>Medium</w:t>
            </w:r>
          </w:p>
        </w:tc>
      </w:tr>
      <w:tr>
        <w:tc>
          <w:tcPr>
            <w:tcW w:type="dxa" w:w="3402"/>
          </w:tcPr>
          <w:p>
            <w:pPr>
              <w:spacing w:after="20" w:before="20"/>
            </w:pPr>
            <w:r>
              <w:rPr>
                <w:b/>
                <w:sz w:val="16"/>
              </w:rPr>
              <w:t>Environment International</w:t>
            </w:r>
          </w:p>
        </w:tc>
        <w:tc>
          <w:tcPr>
            <w:tcW w:type="dxa" w:w="3628"/>
          </w:tcPr>
          <w:p>
            <w:pPr>
              <w:spacing w:after="20" w:before="20"/>
            </w:pPr>
            <w:r>
              <w:rPr>
                <w:sz w:val="16"/>
              </w:rPr>
              <w:t>Q1, environmental science and pollution</w:t>
            </w:r>
          </w:p>
        </w:tc>
        <w:tc>
          <w:tcPr>
            <w:tcW w:type="dxa" w:w="1077"/>
          </w:tcPr>
          <w:p>
            <w:pPr>
              <w:spacing w:after="20" w:before="20"/>
            </w:pPr>
            <w:r>
              <w:rPr>
                <w:sz w:val="16"/>
              </w:rPr>
              <w:t>2024</w:t>
            </w:r>
          </w:p>
        </w:tc>
        <w:tc>
          <w:tcPr>
            <w:tcW w:type="dxa" w:w="1417"/>
          </w:tcPr>
          <w:p>
            <w:pPr>
              <w:spacing w:after="20" w:before="20"/>
            </w:pPr>
            <w:r>
              <w:rPr>
                <w:sz w:val="16"/>
              </w:rPr>
              <w:t>Medium</w:t>
            </w:r>
          </w:p>
        </w:tc>
      </w:tr>
      <w:tr>
        <w:tc>
          <w:tcPr>
            <w:tcW w:type="dxa" w:w="3402"/>
          </w:tcPr>
          <w:p>
            <w:pPr>
              <w:spacing w:after="20" w:before="20"/>
            </w:pPr>
            <w:r>
              <w:rPr>
                <w:b/>
                <w:sz w:val="16"/>
              </w:rPr>
              <w:t>Environmental Health Perspectives</w:t>
            </w:r>
          </w:p>
        </w:tc>
        <w:tc>
          <w:tcPr>
            <w:tcW w:type="dxa" w:w="3628"/>
          </w:tcPr>
          <w:p>
            <w:pPr>
              <w:spacing w:after="20" w:before="20"/>
            </w:pPr>
            <w:r>
              <w:rPr>
                <w:sz w:val="16"/>
              </w:rPr>
              <w:t>Q1, toxicology and public health</w:t>
            </w:r>
          </w:p>
        </w:tc>
        <w:tc>
          <w:tcPr>
            <w:tcW w:type="dxa" w:w="1077"/>
          </w:tcPr>
          <w:p>
            <w:pPr>
              <w:spacing w:after="20" w:before="20"/>
            </w:pPr>
            <w:r>
              <w:rPr>
                <w:sz w:val="16"/>
              </w:rPr>
              <w:t>2024</w:t>
            </w:r>
          </w:p>
        </w:tc>
        <w:tc>
          <w:tcPr>
            <w:tcW w:type="dxa" w:w="1417"/>
          </w:tcPr>
          <w:p>
            <w:pPr>
              <w:spacing w:after="20" w:before="20"/>
            </w:pPr>
            <w:r>
              <w:rPr>
                <w:sz w:val="16"/>
              </w:rPr>
              <w:t>Medium-high</w:t>
            </w:r>
          </w:p>
        </w:tc>
      </w:tr>
      <w:tr>
        <w:tc>
          <w:tcPr>
            <w:tcW w:type="dxa" w:w="3402"/>
          </w:tcPr>
          <w:p>
            <w:pPr>
              <w:spacing w:after="20" w:before="20"/>
            </w:pPr>
            <w:r>
              <w:rPr>
                <w:b/>
                <w:sz w:val="16"/>
              </w:rPr>
              <w:t>Journal of Urban Health</w:t>
            </w:r>
          </w:p>
        </w:tc>
        <w:tc>
          <w:tcPr>
            <w:tcW w:type="dxa" w:w="3628"/>
          </w:tcPr>
          <w:p>
            <w:pPr>
              <w:spacing w:after="20" w:before="20"/>
            </w:pPr>
            <w:r>
              <w:rPr>
                <w:sz w:val="16"/>
              </w:rPr>
              <w:t>Q1, public health and urban studies</w:t>
            </w:r>
          </w:p>
        </w:tc>
        <w:tc>
          <w:tcPr>
            <w:tcW w:type="dxa" w:w="1077"/>
          </w:tcPr>
          <w:p>
            <w:pPr>
              <w:spacing w:after="20" w:before="20"/>
            </w:pPr>
            <w:r>
              <w:rPr>
                <w:sz w:val="16"/>
              </w:rPr>
              <w:t>2025</w:t>
            </w:r>
          </w:p>
        </w:tc>
        <w:tc>
          <w:tcPr>
            <w:tcW w:type="dxa" w:w="1417"/>
          </w:tcPr>
          <w:p>
            <w:pPr>
              <w:spacing w:after="20" w:before="20"/>
            </w:pPr>
            <w:r>
              <w:rPr>
                <w:sz w:val="16"/>
              </w:rPr>
              <w:t>Medium-high</w:t>
            </w:r>
          </w:p>
        </w:tc>
      </w:tr>
      <w:tr>
        <w:tc>
          <w:tcPr>
            <w:tcW w:type="dxa" w:w="3402"/>
          </w:tcPr>
          <w:p>
            <w:pPr>
              <w:spacing w:after="20" w:before="20"/>
            </w:pPr>
            <w:r>
              <w:rPr>
                <w:b/>
                <w:sz w:val="16"/>
              </w:rPr>
              <w:t>Accident Analysis and Prevention</w:t>
            </w:r>
          </w:p>
        </w:tc>
        <w:tc>
          <w:tcPr>
            <w:tcW w:type="dxa" w:w="3628"/>
          </w:tcPr>
          <w:p>
            <w:pPr>
              <w:spacing w:after="20" w:before="20"/>
            </w:pPr>
            <w:r>
              <w:rPr>
                <w:sz w:val="16"/>
              </w:rPr>
              <w:t>Q1, safety, human factors, public health</w:t>
            </w:r>
          </w:p>
        </w:tc>
        <w:tc>
          <w:tcPr>
            <w:tcW w:type="dxa" w:w="1077"/>
          </w:tcPr>
          <w:p>
            <w:pPr>
              <w:spacing w:after="20" w:before="20"/>
            </w:pPr>
            <w:r>
              <w:rPr>
                <w:sz w:val="16"/>
              </w:rPr>
              <w:t>2024</w:t>
            </w:r>
          </w:p>
        </w:tc>
        <w:tc>
          <w:tcPr>
            <w:tcW w:type="dxa" w:w="1417"/>
          </w:tcPr>
          <w:p>
            <w:pPr>
              <w:spacing w:after="20" w:before="20"/>
            </w:pPr>
            <w:r>
              <w:rPr>
                <w:sz w:val="16"/>
              </w:rPr>
              <w:t>Medium-high</w:t>
            </w:r>
          </w:p>
        </w:tc>
      </w:tr>
      <w:tr>
        <w:tc>
          <w:tcPr>
            <w:tcW w:type="dxa" w:w="3402"/>
          </w:tcPr>
          <w:p>
            <w:pPr>
              <w:spacing w:after="20" w:before="20"/>
            </w:pPr>
            <w:r>
              <w:rPr>
                <w:b/>
                <w:sz w:val="16"/>
              </w:rPr>
              <w:t>Environmental Research</w:t>
            </w:r>
          </w:p>
        </w:tc>
        <w:tc>
          <w:tcPr>
            <w:tcW w:type="dxa" w:w="3628"/>
          </w:tcPr>
          <w:p>
            <w:pPr>
              <w:spacing w:after="20" w:before="20"/>
            </w:pPr>
            <w:r>
              <w:rPr>
                <w:sz w:val="16"/>
              </w:rPr>
              <w:t>Q1, environmental science general</w:t>
            </w:r>
          </w:p>
        </w:tc>
        <w:tc>
          <w:tcPr>
            <w:tcW w:type="dxa" w:w="1077"/>
          </w:tcPr>
          <w:p>
            <w:pPr>
              <w:spacing w:after="20" w:before="20"/>
            </w:pPr>
            <w:r>
              <w:rPr>
                <w:sz w:val="16"/>
              </w:rPr>
              <w:t>2024</w:t>
            </w:r>
          </w:p>
        </w:tc>
        <w:tc>
          <w:tcPr>
            <w:tcW w:type="dxa" w:w="1417"/>
          </w:tcPr>
          <w:p>
            <w:pPr>
              <w:spacing w:after="20" w:before="20"/>
            </w:pPr>
            <w:r>
              <w:rPr>
                <w:sz w:val="16"/>
              </w:rPr>
              <w:t>Medium</w:t>
            </w:r>
          </w:p>
        </w:tc>
      </w:tr>
      <w:tr>
        <w:tc>
          <w:tcPr>
            <w:tcW w:type="dxa" w:w="3402"/>
          </w:tcPr>
          <w:p>
            <w:pPr>
              <w:spacing w:after="20" w:before="20"/>
            </w:pPr>
            <w:r>
              <w:rPr>
                <w:b/>
                <w:sz w:val="16"/>
              </w:rPr>
              <w:t>Atmospheric Environment</w:t>
            </w:r>
          </w:p>
        </w:tc>
        <w:tc>
          <w:tcPr>
            <w:tcW w:type="dxa" w:w="3628"/>
          </w:tcPr>
          <w:p>
            <w:pPr>
              <w:spacing w:after="20" w:before="20"/>
            </w:pPr>
            <w:r>
              <w:rPr>
                <w:sz w:val="16"/>
              </w:rPr>
              <w:t>Q1, atmospheric science</w:t>
            </w:r>
          </w:p>
        </w:tc>
        <w:tc>
          <w:tcPr>
            <w:tcW w:type="dxa" w:w="1077"/>
          </w:tcPr>
          <w:p>
            <w:pPr>
              <w:spacing w:after="20" w:before="20"/>
            </w:pPr>
            <w:r>
              <w:rPr>
                <w:sz w:val="16"/>
              </w:rPr>
              <w:t>2025</w:t>
            </w:r>
          </w:p>
        </w:tc>
        <w:tc>
          <w:tcPr>
            <w:tcW w:type="dxa" w:w="1417"/>
          </w:tcPr>
          <w:p>
            <w:pPr>
              <w:spacing w:after="20" w:before="20"/>
            </w:pPr>
            <w:r>
              <w:rPr>
                <w:sz w:val="16"/>
              </w:rPr>
              <w:t>Medium</w:t>
            </w:r>
          </w:p>
        </w:tc>
      </w:tr>
      <w:tr>
        <w:tc>
          <w:tcPr>
            <w:tcW w:type="dxa" w:w="3402"/>
          </w:tcPr>
          <w:p>
            <w:pPr>
              <w:spacing w:after="20" w:before="20"/>
            </w:pPr>
            <w:r>
              <w:rPr>
                <w:b/>
                <w:sz w:val="16"/>
              </w:rPr>
              <w:t>Scientific Reports</w:t>
            </w:r>
          </w:p>
        </w:tc>
        <w:tc>
          <w:tcPr>
            <w:tcW w:type="dxa" w:w="3628"/>
          </w:tcPr>
          <w:p>
            <w:pPr>
              <w:spacing w:after="20" w:before="20"/>
            </w:pPr>
            <w:r>
              <w:rPr>
                <w:sz w:val="16"/>
              </w:rPr>
              <w:t>Q1, multidisciplinary</w:t>
            </w:r>
          </w:p>
        </w:tc>
        <w:tc>
          <w:tcPr>
            <w:tcW w:type="dxa" w:w="1077"/>
          </w:tcPr>
          <w:p>
            <w:pPr>
              <w:spacing w:after="20" w:before="20"/>
            </w:pPr>
            <w:r>
              <w:rPr>
                <w:sz w:val="16"/>
              </w:rPr>
              <w:t>2024</w:t>
            </w:r>
          </w:p>
        </w:tc>
        <w:tc>
          <w:tcPr>
            <w:tcW w:type="dxa" w:w="1417"/>
          </w:tcPr>
          <w:p>
            <w:pPr>
              <w:spacing w:after="20" w:before="20"/>
            </w:pPr>
            <w:r>
              <w:rPr>
                <w:sz w:val="16"/>
              </w:rPr>
              <w:t>Medium</w:t>
            </w:r>
          </w:p>
        </w:tc>
      </w:tr>
      <w:tr>
        <w:tc>
          <w:tcPr>
            <w:tcW w:type="dxa" w:w="3402"/>
          </w:tcPr>
          <w:p>
            <w:pPr>
              <w:spacing w:after="20" w:before="20"/>
            </w:pPr>
            <w:r>
              <w:rPr>
                <w:b/>
                <w:sz w:val="16"/>
              </w:rPr>
              <w:t>American Economic Review</w:t>
            </w:r>
          </w:p>
        </w:tc>
        <w:tc>
          <w:tcPr>
            <w:tcW w:type="dxa" w:w="3628"/>
          </w:tcPr>
          <w:p>
            <w:pPr>
              <w:spacing w:after="20" w:before="20"/>
            </w:pPr>
            <w:r>
              <w:rPr>
                <w:sz w:val="16"/>
              </w:rPr>
              <w:t>Q1, economics</w:t>
            </w:r>
          </w:p>
        </w:tc>
        <w:tc>
          <w:tcPr>
            <w:tcW w:type="dxa" w:w="1077"/>
          </w:tcPr>
          <w:p>
            <w:pPr>
              <w:spacing w:after="20" w:before="20"/>
            </w:pPr>
            <w:r>
              <w:rPr>
                <w:sz w:val="16"/>
              </w:rPr>
              <w:t>2025</w:t>
            </w:r>
          </w:p>
        </w:tc>
        <w:tc>
          <w:tcPr>
            <w:tcW w:type="dxa" w:w="1417"/>
          </w:tcPr>
          <w:p>
            <w:pPr>
              <w:spacing w:after="20" w:before="20"/>
            </w:pPr>
            <w:r>
              <w:rPr>
                <w:sz w:val="16"/>
              </w:rPr>
              <w:t>Medium</w:t>
            </w:r>
          </w:p>
        </w:tc>
      </w:tr>
      <w:tr>
        <w:tc>
          <w:tcPr>
            <w:tcW w:type="dxa" w:w="3402"/>
          </w:tcPr>
          <w:p>
            <w:pPr>
              <w:spacing w:after="20" w:before="20"/>
            </w:pPr>
            <w:r>
              <w:rPr>
                <w:b/>
                <w:sz w:val="16"/>
              </w:rPr>
              <w:t>AEJ: Applied Economics</w:t>
            </w:r>
          </w:p>
        </w:tc>
        <w:tc>
          <w:tcPr>
            <w:tcW w:type="dxa" w:w="3628"/>
          </w:tcPr>
          <w:p>
            <w:pPr>
              <w:spacing w:after="20" w:before="20"/>
            </w:pPr>
            <w:r>
              <w:rPr>
                <w:sz w:val="16"/>
              </w:rPr>
              <w:t>Q1, economics</w:t>
            </w:r>
          </w:p>
        </w:tc>
        <w:tc>
          <w:tcPr>
            <w:tcW w:type="dxa" w:w="1077"/>
          </w:tcPr>
          <w:p>
            <w:pPr>
              <w:spacing w:after="20" w:before="20"/>
            </w:pPr>
            <w:r>
              <w:rPr>
                <w:sz w:val="16"/>
              </w:rPr>
              <w:t>2024</w:t>
            </w:r>
          </w:p>
        </w:tc>
        <w:tc>
          <w:tcPr>
            <w:tcW w:type="dxa" w:w="1417"/>
          </w:tcPr>
          <w:p>
            <w:pPr>
              <w:spacing w:after="20" w:before="20"/>
            </w:pPr>
            <w:r>
              <w:rPr>
                <w:sz w:val="16"/>
              </w:rPr>
              <w:t>Medium</w:t>
            </w:r>
          </w:p>
        </w:tc>
      </w:tr>
      <w:tr>
        <w:tc>
          <w:tcPr>
            <w:tcW w:type="dxa" w:w="3402"/>
          </w:tcPr>
          <w:p>
            <w:pPr>
              <w:spacing w:after="20" w:before="20"/>
            </w:pPr>
            <w:r>
              <w:rPr>
                <w:b/>
                <w:sz w:val="16"/>
              </w:rPr>
              <w:t>World Development</w:t>
            </w:r>
          </w:p>
        </w:tc>
        <w:tc>
          <w:tcPr>
            <w:tcW w:type="dxa" w:w="3628"/>
          </w:tcPr>
          <w:p>
            <w:pPr>
              <w:spacing w:after="20" w:before="20"/>
            </w:pPr>
            <w:r>
              <w:rPr>
                <w:sz w:val="16"/>
              </w:rPr>
              <w:t>Q1, development and economics</w:t>
            </w:r>
          </w:p>
        </w:tc>
        <w:tc>
          <w:tcPr>
            <w:tcW w:type="dxa" w:w="1077"/>
          </w:tcPr>
          <w:p>
            <w:pPr>
              <w:spacing w:after="20" w:before="20"/>
            </w:pPr>
            <w:r>
              <w:rPr>
                <w:sz w:val="16"/>
              </w:rPr>
              <w:t>2024</w:t>
            </w:r>
          </w:p>
        </w:tc>
        <w:tc>
          <w:tcPr>
            <w:tcW w:type="dxa" w:w="1417"/>
          </w:tcPr>
          <w:p>
            <w:pPr>
              <w:spacing w:after="20" w:before="20"/>
            </w:pPr>
            <w:r>
              <w:rPr>
                <w:sz w:val="16"/>
              </w:rPr>
              <w:t>Medium</w:t>
            </w:r>
          </w:p>
        </w:tc>
      </w:tr>
      <w:tr>
        <w:tc>
          <w:tcPr>
            <w:tcW w:type="dxa" w:w="3402"/>
          </w:tcPr>
          <w:p>
            <w:pPr>
              <w:spacing w:after="20" w:before="20"/>
            </w:pPr>
            <w:r>
              <w:rPr>
                <w:b/>
                <w:sz w:val="16"/>
              </w:rPr>
              <w:t>Cities</w:t>
            </w:r>
          </w:p>
        </w:tc>
        <w:tc>
          <w:tcPr>
            <w:tcW w:type="dxa" w:w="3628"/>
          </w:tcPr>
          <w:p>
            <w:pPr>
              <w:spacing w:after="20" w:before="20"/>
            </w:pPr>
            <w:r>
              <w:rPr>
                <w:sz w:val="16"/>
              </w:rPr>
              <w:t>Q1, urban studies and development</w:t>
            </w:r>
          </w:p>
        </w:tc>
        <w:tc>
          <w:tcPr>
            <w:tcW w:type="dxa" w:w="1077"/>
          </w:tcPr>
          <w:p>
            <w:pPr>
              <w:spacing w:after="20" w:before="20"/>
            </w:pPr>
            <w:r>
              <w:rPr>
                <w:sz w:val="16"/>
              </w:rPr>
              <w:t>2025</w:t>
            </w:r>
          </w:p>
        </w:tc>
        <w:tc>
          <w:tcPr>
            <w:tcW w:type="dxa" w:w="1417"/>
          </w:tcPr>
          <w:p>
            <w:pPr>
              <w:spacing w:after="20" w:before="20"/>
            </w:pPr>
            <w:r>
              <w:rPr>
                <w:sz w:val="16"/>
              </w:rPr>
              <w:t>Medium</w:t>
            </w:r>
          </w:p>
        </w:tc>
      </w:tr>
      <w:tr>
        <w:tc>
          <w:tcPr>
            <w:tcW w:type="dxa" w:w="3402"/>
          </w:tcPr>
          <w:p>
            <w:pPr>
              <w:spacing w:after="20" w:before="20"/>
            </w:pPr>
            <w:r>
              <w:rPr>
                <w:b/>
                <w:sz w:val="16"/>
              </w:rPr>
              <w:t>Transportation Research Part A</w:t>
            </w:r>
          </w:p>
        </w:tc>
        <w:tc>
          <w:tcPr>
            <w:tcW w:type="dxa" w:w="3628"/>
          </w:tcPr>
          <w:p>
            <w:pPr>
              <w:spacing w:after="20" w:before="20"/>
            </w:pPr>
            <w:r>
              <w:rPr>
                <w:sz w:val="16"/>
              </w:rPr>
              <w:t>Q1, transportation and civil engineering</w:t>
            </w:r>
          </w:p>
        </w:tc>
        <w:tc>
          <w:tcPr>
            <w:tcW w:type="dxa" w:w="1077"/>
          </w:tcPr>
          <w:p>
            <w:pPr>
              <w:spacing w:after="20" w:before="20"/>
            </w:pPr>
            <w:r>
              <w:rPr>
                <w:sz w:val="16"/>
              </w:rPr>
              <w:t>2024</w:t>
            </w:r>
          </w:p>
        </w:tc>
        <w:tc>
          <w:tcPr>
            <w:tcW w:type="dxa" w:w="1417"/>
          </w:tcPr>
          <w:p>
            <w:pPr>
              <w:spacing w:after="20" w:before="20"/>
            </w:pPr>
            <w:r>
              <w:rPr>
                <w:sz w:val="16"/>
              </w:rPr>
              <w:t>Medium</w:t>
            </w:r>
          </w:p>
        </w:tc>
      </w:tr>
      <w:tr>
        <w:tc>
          <w:tcPr>
            <w:tcW w:type="dxa" w:w="3402"/>
          </w:tcPr>
          <w:p>
            <w:pPr>
              <w:spacing w:after="20" w:before="20"/>
            </w:pPr>
            <w:r>
              <w:rPr>
                <w:b/>
                <w:sz w:val="16"/>
              </w:rPr>
              <w:t>Transportation Research Part C</w:t>
            </w:r>
          </w:p>
        </w:tc>
        <w:tc>
          <w:tcPr>
            <w:tcW w:type="dxa" w:w="3628"/>
          </w:tcPr>
          <w:p>
            <w:pPr>
              <w:spacing w:after="20" w:before="20"/>
            </w:pPr>
            <w:r>
              <w:rPr>
                <w:sz w:val="16"/>
              </w:rPr>
              <w:t>Q1, transportation</w:t>
            </w:r>
          </w:p>
        </w:tc>
        <w:tc>
          <w:tcPr>
            <w:tcW w:type="dxa" w:w="1077"/>
          </w:tcPr>
          <w:p>
            <w:pPr>
              <w:spacing w:after="20" w:before="20"/>
            </w:pPr>
            <w:r>
              <w:rPr>
                <w:sz w:val="16"/>
              </w:rPr>
              <w:t>2024</w:t>
            </w:r>
          </w:p>
        </w:tc>
        <w:tc>
          <w:tcPr>
            <w:tcW w:type="dxa" w:w="1417"/>
          </w:tcPr>
          <w:p>
            <w:pPr>
              <w:spacing w:after="20" w:before="20"/>
            </w:pPr>
            <w:r>
              <w:rPr>
                <w:sz w:val="16"/>
              </w:rPr>
              <w:t>Medium-high</w:t>
            </w:r>
          </w:p>
        </w:tc>
      </w:tr>
      <w:tr>
        <w:tc>
          <w:tcPr>
            <w:tcW w:type="dxa" w:w="3402"/>
          </w:tcPr>
          <w:p>
            <w:pPr>
              <w:spacing w:after="20" w:before="20"/>
            </w:pPr>
            <w:r>
              <w:rPr>
                <w:b/>
                <w:sz w:val="16"/>
              </w:rPr>
              <w:t>Transportation Research Part D</w:t>
            </w:r>
          </w:p>
        </w:tc>
        <w:tc>
          <w:tcPr>
            <w:tcW w:type="dxa" w:w="3628"/>
          </w:tcPr>
          <w:p>
            <w:pPr>
              <w:spacing w:after="20" w:before="20"/>
            </w:pPr>
            <w:r>
              <w:rPr>
                <w:sz w:val="16"/>
              </w:rPr>
              <w:t>Q1, transportation and environmental studies</w:t>
            </w:r>
          </w:p>
        </w:tc>
        <w:tc>
          <w:tcPr>
            <w:tcW w:type="dxa" w:w="1077"/>
          </w:tcPr>
          <w:p>
            <w:pPr>
              <w:spacing w:after="20" w:before="20"/>
            </w:pPr>
            <w:r>
              <w:rPr>
                <w:sz w:val="16"/>
              </w:rPr>
              <w:t>2025</w:t>
            </w:r>
          </w:p>
        </w:tc>
        <w:tc>
          <w:tcPr>
            <w:tcW w:type="dxa" w:w="1417"/>
          </w:tcPr>
          <w:p>
            <w:pPr>
              <w:spacing w:after="20" w:before="20"/>
            </w:pPr>
            <w:r>
              <w:rPr>
                <w:sz w:val="16"/>
              </w:rPr>
              <w:t>Medium</w:t>
            </w:r>
          </w:p>
        </w:tc>
      </w:tr>
      <w:tr>
        <w:tc>
          <w:tcPr>
            <w:tcW w:type="dxa" w:w="3402"/>
          </w:tcPr>
          <w:p>
            <w:pPr>
              <w:spacing w:after="20" w:before="20"/>
            </w:pPr>
            <w:r>
              <w:rPr>
                <w:b/>
                <w:sz w:val="16"/>
              </w:rPr>
              <w:t>Journal of Transport Geography</w:t>
            </w:r>
          </w:p>
        </w:tc>
        <w:tc>
          <w:tcPr>
            <w:tcW w:type="dxa" w:w="3628"/>
          </w:tcPr>
          <w:p>
            <w:pPr>
              <w:spacing w:after="20" w:before="20"/>
            </w:pPr>
            <w:r>
              <w:rPr>
                <w:sz w:val="16"/>
              </w:rPr>
              <w:t>Q1, geography, planning, transportation</w:t>
            </w:r>
          </w:p>
        </w:tc>
        <w:tc>
          <w:tcPr>
            <w:tcW w:type="dxa" w:w="1077"/>
          </w:tcPr>
          <w:p>
            <w:pPr>
              <w:spacing w:after="20" w:before="20"/>
            </w:pPr>
            <w:r>
              <w:rPr>
                <w:sz w:val="16"/>
              </w:rPr>
              <w:t>2024</w:t>
            </w:r>
          </w:p>
        </w:tc>
        <w:tc>
          <w:tcPr>
            <w:tcW w:type="dxa" w:w="1417"/>
          </w:tcPr>
          <w:p>
            <w:pPr>
              <w:spacing w:after="20" w:before="20"/>
            </w:pPr>
            <w:r>
              <w:rPr>
                <w:sz w:val="16"/>
              </w:rPr>
              <w:t>Medium-high</w:t>
            </w:r>
          </w:p>
        </w:tc>
      </w:tr>
      <w:tr>
        <w:tc>
          <w:tcPr>
            <w:tcW w:type="dxa" w:w="3402"/>
          </w:tcPr>
          <w:p>
            <w:pPr>
              <w:spacing w:after="20" w:before="20"/>
            </w:pPr>
            <w:r>
              <w:rPr>
                <w:b/>
                <w:sz w:val="16"/>
              </w:rPr>
              <w:t>Travel Behaviour and Society</w:t>
            </w:r>
          </w:p>
        </w:tc>
        <w:tc>
          <w:tcPr>
            <w:tcW w:type="dxa" w:w="3628"/>
          </w:tcPr>
          <w:p>
            <w:pPr>
              <w:spacing w:after="20" w:before="20"/>
            </w:pPr>
            <w:r>
              <w:rPr>
                <w:sz w:val="16"/>
              </w:rPr>
              <w:t>Q1, transportation</w:t>
            </w:r>
          </w:p>
        </w:tc>
        <w:tc>
          <w:tcPr>
            <w:tcW w:type="dxa" w:w="1077"/>
          </w:tcPr>
          <w:p>
            <w:pPr>
              <w:spacing w:after="20" w:before="20"/>
            </w:pPr>
            <w:r>
              <w:rPr>
                <w:sz w:val="16"/>
              </w:rPr>
              <w:t>2024</w:t>
            </w:r>
          </w:p>
        </w:tc>
        <w:tc>
          <w:tcPr>
            <w:tcW w:type="dxa" w:w="1417"/>
          </w:tcPr>
          <w:p>
            <w:pPr>
              <w:spacing w:after="20" w:before="20"/>
            </w:pPr>
            <w:r>
              <w:rPr>
                <w:sz w:val="16"/>
              </w:rPr>
              <w:t>Medium-high</w:t>
            </w:r>
          </w:p>
        </w:tc>
      </w:tr>
      <w:tr>
        <w:tc>
          <w:tcPr>
            <w:tcW w:type="dxa" w:w="3402"/>
          </w:tcPr>
          <w:p>
            <w:pPr>
              <w:spacing w:after="20" w:before="20"/>
            </w:pPr>
            <w:r>
              <w:rPr>
                <w:b/>
                <w:sz w:val="16"/>
              </w:rPr>
              <w:t>Sustainable Cities and Society</w:t>
            </w:r>
          </w:p>
        </w:tc>
        <w:tc>
          <w:tcPr>
            <w:tcW w:type="dxa" w:w="3628"/>
          </w:tcPr>
          <w:p>
            <w:pPr>
              <w:spacing w:after="20" w:before="20"/>
            </w:pPr>
            <w:r>
              <w:rPr>
                <w:sz w:val="16"/>
              </w:rPr>
              <w:t>Q1, several categories</w:t>
            </w:r>
          </w:p>
        </w:tc>
        <w:tc>
          <w:tcPr>
            <w:tcW w:type="dxa" w:w="1077"/>
          </w:tcPr>
          <w:p>
            <w:pPr>
              <w:spacing w:after="20" w:before="20"/>
            </w:pPr>
            <w:r>
              <w:rPr>
                <w:sz w:val="16"/>
              </w:rPr>
              <w:t>2024</w:t>
            </w:r>
          </w:p>
        </w:tc>
        <w:tc>
          <w:tcPr>
            <w:tcW w:type="dxa" w:w="1417"/>
          </w:tcPr>
          <w:p>
            <w:pPr>
              <w:spacing w:after="20" w:before="20"/>
            </w:pPr>
            <w:r>
              <w:rPr>
                <w:sz w:val="16"/>
              </w:rPr>
              <w:t>Medium-high</w:t>
            </w:r>
          </w:p>
        </w:tc>
      </w:tr>
      <w:tr>
        <w:tc>
          <w:tcPr>
            <w:tcW w:type="dxa" w:w="3402"/>
          </w:tcPr>
          <w:p>
            <w:pPr>
              <w:spacing w:after="20" w:before="20"/>
            </w:pPr>
            <w:r>
              <w:rPr>
                <w:b/>
                <w:sz w:val="16"/>
              </w:rPr>
              <w:t>Research in Transportation Economics</w:t>
            </w:r>
          </w:p>
        </w:tc>
        <w:tc>
          <w:tcPr>
            <w:tcW w:type="dxa" w:w="3628"/>
          </w:tcPr>
          <w:p>
            <w:pPr>
              <w:spacing w:after="20" w:before="20"/>
            </w:pPr>
            <w:r>
              <w:rPr>
                <w:sz w:val="16"/>
              </w:rPr>
              <w:t>Q1, transportation and economics</w:t>
            </w:r>
          </w:p>
        </w:tc>
        <w:tc>
          <w:tcPr>
            <w:tcW w:type="dxa" w:w="1077"/>
          </w:tcPr>
          <w:p>
            <w:pPr>
              <w:spacing w:after="20" w:before="20"/>
            </w:pPr>
            <w:r>
              <w:rPr>
                <w:sz w:val="16"/>
              </w:rPr>
              <w:t>2024</w:t>
            </w:r>
          </w:p>
        </w:tc>
        <w:tc>
          <w:tcPr>
            <w:tcW w:type="dxa" w:w="1417"/>
          </w:tcPr>
          <w:p>
            <w:pPr>
              <w:spacing w:after="20" w:before="20"/>
            </w:pPr>
            <w:r>
              <w:rPr>
                <w:sz w:val="16"/>
              </w:rPr>
              <w:t>Medium</w:t>
            </w:r>
          </w:p>
        </w:tc>
      </w:tr>
      <w:tr>
        <w:tc>
          <w:tcPr>
            <w:tcW w:type="dxa" w:w="3402"/>
          </w:tcPr>
          <w:p>
            <w:pPr>
              <w:spacing w:after="20" w:before="20"/>
            </w:pPr>
            <w:r>
              <w:rPr>
                <w:b/>
                <w:sz w:val="16"/>
              </w:rPr>
              <w:t>Case Studies on Transport Policy</w:t>
            </w:r>
          </w:p>
        </w:tc>
        <w:tc>
          <w:tcPr>
            <w:tcW w:type="dxa" w:w="3628"/>
          </w:tcPr>
          <w:p>
            <w:pPr>
              <w:spacing w:after="20" w:before="20"/>
            </w:pPr>
            <w:r>
              <w:rPr>
                <w:sz w:val="16"/>
              </w:rPr>
              <w:t>Q1 in geography and urban studies, Q2 in transportation</w:t>
            </w:r>
          </w:p>
        </w:tc>
        <w:tc>
          <w:tcPr>
            <w:tcW w:type="dxa" w:w="1077"/>
          </w:tcPr>
          <w:p>
            <w:pPr>
              <w:spacing w:after="20" w:before="20"/>
            </w:pPr>
            <w:r>
              <w:rPr>
                <w:sz w:val="16"/>
              </w:rPr>
              <w:t>2024</w:t>
            </w:r>
          </w:p>
        </w:tc>
        <w:tc>
          <w:tcPr>
            <w:tcW w:type="dxa" w:w="1417"/>
          </w:tcPr>
          <w:p>
            <w:pPr>
              <w:spacing w:after="20" w:before="20"/>
            </w:pPr>
            <w:r>
              <w:rPr>
                <w:sz w:val="16"/>
              </w:rPr>
              <w:t>Medium-high</w:t>
            </w:r>
          </w:p>
        </w:tc>
      </w:tr>
      <w:tr>
        <w:tc>
          <w:tcPr>
            <w:tcW w:type="dxa" w:w="3402"/>
          </w:tcPr>
          <w:p>
            <w:pPr>
              <w:spacing w:after="20" w:before="20"/>
            </w:pPr>
            <w:r>
              <w:rPr>
                <w:b/>
                <w:sz w:val="16"/>
              </w:rPr>
              <w:t>Energy Policy</w:t>
            </w:r>
          </w:p>
        </w:tc>
        <w:tc>
          <w:tcPr>
            <w:tcW w:type="dxa" w:w="3628"/>
          </w:tcPr>
          <w:p>
            <w:pPr>
              <w:spacing w:after="20" w:before="20"/>
            </w:pPr>
            <w:r>
              <w:rPr>
                <w:sz w:val="16"/>
              </w:rPr>
              <w:t>Q1, energy policy and law</w:t>
            </w:r>
          </w:p>
        </w:tc>
        <w:tc>
          <w:tcPr>
            <w:tcW w:type="dxa" w:w="1077"/>
          </w:tcPr>
          <w:p>
            <w:pPr>
              <w:spacing w:after="20" w:before="20"/>
            </w:pPr>
            <w:r>
              <w:rPr>
                <w:sz w:val="16"/>
              </w:rPr>
              <w:t>—</w:t>
            </w:r>
          </w:p>
        </w:tc>
        <w:tc>
          <w:tcPr>
            <w:tcW w:type="dxa" w:w="1417"/>
          </w:tcPr>
          <w:p>
            <w:pPr>
              <w:spacing w:after="20" w:before="20"/>
            </w:pPr>
            <w:r>
              <w:rPr>
                <w:sz w:val="16"/>
              </w:rPr>
              <w:t>Medium-high</w:t>
            </w:r>
          </w:p>
        </w:tc>
      </w:tr>
      <w:tr>
        <w:tc>
          <w:tcPr>
            <w:tcW w:type="dxa" w:w="3402"/>
          </w:tcPr>
          <w:p>
            <w:pPr>
              <w:spacing w:after="20" w:before="20"/>
            </w:pPr>
            <w:r>
              <w:rPr>
                <w:b/>
                <w:sz w:val="16"/>
              </w:rPr>
              <w:t>Transport Policy</w:t>
            </w:r>
          </w:p>
        </w:tc>
        <w:tc>
          <w:tcPr>
            <w:tcW w:type="dxa" w:w="3628"/>
          </w:tcPr>
          <w:p>
            <w:pPr>
              <w:spacing w:after="20" w:before="20"/>
            </w:pPr>
            <w:r>
              <w:rPr>
                <w:sz w:val="16"/>
              </w:rPr>
              <w:t>Q1 on Clarivate; Scimago page not retrieved</w:t>
            </w:r>
          </w:p>
        </w:tc>
        <w:tc>
          <w:tcPr>
            <w:tcW w:type="dxa" w:w="1077"/>
          </w:tcPr>
          <w:p>
            <w:pPr>
              <w:spacing w:after="20" w:before="20"/>
            </w:pPr>
            <w:r>
              <w:rPr>
                <w:sz w:val="16"/>
              </w:rPr>
              <w:t>—</w:t>
            </w:r>
          </w:p>
        </w:tc>
        <w:tc>
          <w:tcPr>
            <w:tcW w:type="dxa" w:w="1417"/>
          </w:tcPr>
          <w:p>
            <w:pPr>
              <w:spacing w:after="20" w:before="20"/>
            </w:pPr>
            <w:r>
              <w:rPr>
                <w:sz w:val="16"/>
              </w:rPr>
              <w:t>Low-medium</w:t>
            </w:r>
          </w:p>
        </w:tc>
      </w:tr>
      <w:tr>
        <w:tc>
          <w:tcPr>
            <w:tcW w:type="dxa" w:w="3402"/>
          </w:tcPr>
          <w:p>
            <w:pPr>
              <w:spacing w:after="20" w:before="20"/>
            </w:pPr>
            <w:r>
              <w:rPr>
                <w:b/>
                <w:sz w:val="16"/>
              </w:rPr>
              <w:t>Transportation (Springer)</w:t>
            </w:r>
          </w:p>
        </w:tc>
        <w:tc>
          <w:tcPr>
            <w:tcW w:type="dxa" w:w="3628"/>
          </w:tcPr>
          <w:p>
            <w:pPr>
              <w:spacing w:after="20" w:before="20"/>
            </w:pPr>
            <w:r>
              <w:rPr>
                <w:sz w:val="16"/>
              </w:rPr>
              <w:t>Q1 on Clarivate; Scimago page not retrieved</w:t>
            </w:r>
          </w:p>
        </w:tc>
        <w:tc>
          <w:tcPr>
            <w:tcW w:type="dxa" w:w="1077"/>
          </w:tcPr>
          <w:p>
            <w:pPr>
              <w:spacing w:after="20" w:before="20"/>
            </w:pPr>
            <w:r>
              <w:rPr>
                <w:sz w:val="16"/>
              </w:rPr>
              <w:t>—</w:t>
            </w:r>
          </w:p>
        </w:tc>
        <w:tc>
          <w:tcPr>
            <w:tcW w:type="dxa" w:w="1417"/>
          </w:tcPr>
          <w:p>
            <w:pPr>
              <w:spacing w:after="20" w:before="20"/>
            </w:pPr>
            <w:r>
              <w:rPr>
                <w:sz w:val="16"/>
              </w:rPr>
              <w:t>Low-medium</w:t>
            </w:r>
          </w:p>
        </w:tc>
      </w:tr>
      <w:tr>
        <w:tc>
          <w:tcPr>
            <w:tcW w:type="dxa" w:w="3402"/>
          </w:tcPr>
          <w:p>
            <w:pPr>
              <w:spacing w:after="20" w:before="20"/>
            </w:pPr>
            <w:r>
              <w:rPr>
                <w:b/>
                <w:sz w:val="16"/>
              </w:rPr>
              <w:t>Journal of Transport and Health</w:t>
            </w:r>
          </w:p>
        </w:tc>
        <w:tc>
          <w:tcPr>
            <w:tcW w:type="dxa" w:w="3628"/>
          </w:tcPr>
          <w:p>
            <w:pPr>
              <w:spacing w:after="20" w:before="20"/>
            </w:pPr>
            <w:r>
              <w:rPr>
                <w:sz w:val="16"/>
              </w:rPr>
              <w:t>Q2 in geography and urban studies, Q3 in transportation</w:t>
            </w:r>
          </w:p>
        </w:tc>
        <w:tc>
          <w:tcPr>
            <w:tcW w:type="dxa" w:w="1077"/>
          </w:tcPr>
          <w:p>
            <w:pPr>
              <w:spacing w:after="20" w:before="20"/>
            </w:pPr>
            <w:r>
              <w:rPr>
                <w:sz w:val="16"/>
              </w:rPr>
              <w:t>2024-25</w:t>
            </w:r>
          </w:p>
        </w:tc>
        <w:tc>
          <w:tcPr>
            <w:tcW w:type="dxa" w:w="1417"/>
          </w:tcPr>
          <w:p>
            <w:pPr>
              <w:spacing w:after="20" w:before="20"/>
            </w:pPr>
            <w:r>
              <w:rPr>
                <w:sz w:val="16"/>
              </w:rPr>
              <w:t>Medium</w:t>
            </w:r>
          </w:p>
        </w:tc>
      </w:tr>
      <w:tr>
        <w:tc>
          <w:tcPr>
            <w:tcW w:type="dxa" w:w="3402"/>
          </w:tcPr>
          <w:p>
            <w:pPr>
              <w:spacing w:after="20" w:before="20"/>
            </w:pPr>
            <w:r>
              <w:rPr>
                <w:b/>
                <w:sz w:val="16"/>
              </w:rPr>
              <w:t>Air Quality, Atmosphere and Health</w:t>
            </w:r>
          </w:p>
        </w:tc>
        <w:tc>
          <w:tcPr>
            <w:tcW w:type="dxa" w:w="3628"/>
          </w:tcPr>
          <w:p>
            <w:pPr>
              <w:spacing w:after="20" w:before="20"/>
            </w:pPr>
            <w:r>
              <w:rPr>
                <w:sz w:val="16"/>
              </w:rPr>
              <w:t>Q2 in earth sciences, Q3 in atmospheric science</w:t>
            </w:r>
          </w:p>
        </w:tc>
        <w:tc>
          <w:tcPr>
            <w:tcW w:type="dxa" w:w="1077"/>
          </w:tcPr>
          <w:p>
            <w:pPr>
              <w:spacing w:after="20" w:before="20"/>
            </w:pPr>
            <w:r>
              <w:rPr>
                <w:sz w:val="16"/>
              </w:rPr>
              <w:t>—</w:t>
            </w:r>
          </w:p>
        </w:tc>
        <w:tc>
          <w:tcPr>
            <w:tcW w:type="dxa" w:w="1417"/>
          </w:tcPr>
          <w:p>
            <w:pPr>
              <w:spacing w:after="20" w:before="20"/>
            </w:pPr>
            <w:r>
              <w:rPr>
                <w:sz w:val="16"/>
              </w:rPr>
              <w:t>Medium</w:t>
            </w:r>
          </w:p>
        </w:tc>
      </w:tr>
      <w:tr>
        <w:tc>
          <w:tcPr>
            <w:tcW w:type="dxa" w:w="3402"/>
          </w:tcPr>
          <w:p>
            <w:pPr>
              <w:spacing w:after="20" w:before="20"/>
            </w:pPr>
            <w:r>
              <w:rPr>
                <w:b/>
                <w:sz w:val="16"/>
              </w:rPr>
              <w:t>Transportation Research Record</w:t>
            </w:r>
          </w:p>
        </w:tc>
        <w:tc>
          <w:tcPr>
            <w:tcW w:type="dxa" w:w="3628"/>
          </w:tcPr>
          <w:p>
            <w:pPr>
              <w:spacing w:after="20" w:before="20"/>
            </w:pPr>
            <w:r>
              <w:rPr>
                <w:sz w:val="16"/>
              </w:rPr>
              <w:t>Q2 in mechanical engineering, Q3 in civil engineering</w:t>
            </w:r>
          </w:p>
        </w:tc>
        <w:tc>
          <w:tcPr>
            <w:tcW w:type="dxa" w:w="1077"/>
          </w:tcPr>
          <w:p>
            <w:pPr>
              <w:spacing w:after="20" w:before="20"/>
            </w:pPr>
            <w:r>
              <w:rPr>
                <w:sz w:val="16"/>
              </w:rPr>
              <w:t>—</w:t>
            </w:r>
          </w:p>
        </w:tc>
        <w:tc>
          <w:tcPr>
            <w:tcW w:type="dxa" w:w="1417"/>
          </w:tcPr>
          <w:p>
            <w:pPr>
              <w:spacing w:after="20" w:before="20"/>
            </w:pPr>
            <w:r>
              <w:rPr>
                <w:sz w:val="16"/>
              </w:rPr>
              <w:t>Medium</w:t>
            </w:r>
          </w:p>
        </w:tc>
      </w:tr>
      <w:tr>
        <w:tc>
          <w:tcPr>
            <w:tcW w:type="dxa" w:w="3402"/>
          </w:tcPr>
          <w:p>
            <w:pPr>
              <w:spacing w:after="20" w:before="20"/>
            </w:pPr>
            <w:r>
              <w:rPr>
                <w:b/>
                <w:sz w:val="16"/>
              </w:rPr>
              <w:t>Int. J. Environmental Research and Public Health</w:t>
            </w:r>
          </w:p>
        </w:tc>
        <w:tc>
          <w:tcPr>
            <w:tcW w:type="dxa" w:w="3628"/>
          </w:tcPr>
          <w:p>
            <w:pPr>
              <w:spacing w:after="20" w:before="20"/>
            </w:pPr>
            <w:r>
              <w:rPr>
                <w:sz w:val="16"/>
              </w:rPr>
              <w:t>Q2, but see the warning below</w:t>
            </w:r>
          </w:p>
        </w:tc>
        <w:tc>
          <w:tcPr>
            <w:tcW w:type="dxa" w:w="1077"/>
          </w:tcPr>
          <w:p>
            <w:pPr>
              <w:spacing w:after="20" w:before="20"/>
            </w:pPr>
            <w:r>
              <w:rPr>
                <w:sz w:val="16"/>
              </w:rPr>
              <w:t>2024</w:t>
            </w:r>
          </w:p>
        </w:tc>
        <w:tc>
          <w:tcPr>
            <w:tcW w:type="dxa" w:w="1417"/>
          </w:tcPr>
          <w:p>
            <w:pPr>
              <w:spacing w:after="20" w:before="20"/>
            </w:pPr>
            <w:r>
              <w:rPr>
                <w:sz w:val="16"/>
              </w:rPr>
              <w:t>Medium</w:t>
            </w:r>
          </w:p>
        </w:tc>
      </w:tr>
      <w:tr>
        <w:tc>
          <w:tcPr>
            <w:tcW w:type="dxa" w:w="3402"/>
          </w:tcPr>
          <w:p>
            <w:pPr>
              <w:spacing w:after="20" w:before="20"/>
            </w:pPr>
            <w:r>
              <w:rPr>
                <w:b/>
                <w:sz w:val="16"/>
              </w:rPr>
              <w:t>Journal of Transport Economics and Policy</w:t>
            </w:r>
          </w:p>
        </w:tc>
        <w:tc>
          <w:tcPr>
            <w:tcW w:type="dxa" w:w="3628"/>
          </w:tcPr>
          <w:p>
            <w:pPr>
              <w:spacing w:after="20" w:before="20"/>
            </w:pPr>
            <w:r>
              <w:rPr>
                <w:sz w:val="16"/>
              </w:rPr>
              <w:t>Sources conflict, Q2 versus Q3</w:t>
            </w:r>
          </w:p>
        </w:tc>
        <w:tc>
          <w:tcPr>
            <w:tcW w:type="dxa" w:w="1077"/>
          </w:tcPr>
          <w:p>
            <w:pPr>
              <w:spacing w:after="20" w:before="20"/>
            </w:pPr>
            <w:r>
              <w:rPr>
                <w:sz w:val="16"/>
              </w:rPr>
              <w:t>—</w:t>
            </w:r>
          </w:p>
        </w:tc>
        <w:tc>
          <w:tcPr>
            <w:tcW w:type="dxa" w:w="1417"/>
          </w:tcPr>
          <w:p>
            <w:pPr>
              <w:spacing w:after="20" w:before="20"/>
            </w:pPr>
            <w:r>
              <w:rPr>
                <w:sz w:val="16"/>
              </w:rPr>
              <w:t>Not confirmed</w:t>
            </w:r>
          </w:p>
        </w:tc>
      </w:tr>
    </w:tbl>
    <w:p>
      <w:pPr>
        <w:spacing w:after="40"/>
      </w:pPr>
    </w:p>
    <w:tbl>
      <w:tblPr>
        <w:tblStyle w:val="TableGrid"/>
        <w:tblW w:type="auto" w:w="0"/>
        <w:tblLook w:firstColumn="1" w:firstRow="1" w:lastColumn="0" w:lastRow="0" w:noHBand="0" w:noVBand="1" w:val="04A0"/>
      </w:tblPr>
      <w:tblGrid>
        <w:gridCol w:w="10086"/>
      </w:tblGrid>
      <w:tr>
        <w:tc>
          <w:tcPr>
            <w:tcW w:type="dxa" w:w="9751"/>
            <w:shd w:val="clear" w:color="auto" w:fill="FBEAEA"/>
          </w:tcPr>
          <w:p>
            <w:pPr>
              <w:spacing w:after="40"/>
            </w:pPr>
            <w:r>
              <w:rPr>
                <w:b/>
                <w:color w:val="992222"/>
                <w:sz w:val="20"/>
              </w:rPr>
              <w:t>Two findings that change plans</w:t>
            </w:r>
          </w:p>
          <w:p>
            <w:pPr>
              <w:spacing w:after="20"/>
            </w:pPr>
            <w:r>
              <w:rPr>
                <w:sz w:val="19"/>
              </w:rPr>
              <w:t>First, the Journal of Transport and Health is NOT Q1. It sits at Q2 in its best category and Q3 in transportation. It is the natural disciplinary home for ITHIM-style work and a perfectly respectable venue, but if the requirement is genuinely Q1 then the M2 paper has to go to Environment International, Journal of Urban Health or Environmental Health Perspectives instead. Second, the International Journal of Environmental Research and Public Health was delisted from Web of Science by Clarivate in February 2023. It may still show a Scopus quartile. Do not submit there.</w:t>
            </w:r>
          </w:p>
        </w:tc>
      </w:tr>
    </w:tbl>
    <w:p>
      <w:pPr>
        <w:spacing w:after="60"/>
      </w:pPr>
    </w:p>
    <w:p>
      <w:r>
        <w:br w:type="page"/>
      </w:r>
    </w:p>
    <w:p>
      <w:pPr>
        <w:spacing w:before="280" w:after="80"/>
        <w:pBdr>
          <w:bottom w:val="single" w:sz="6" w:space="3" w:color="006D77"/>
        </w:pBdr>
      </w:pPr>
      <w:r>
        <w:rPr>
          <w:b/>
          <w:color w:val="006D77"/>
          <w:sz w:val="26"/>
        </w:rPr>
        <w:t>2. One paper per model, and where each goes</w:t>
      </w:r>
    </w:p>
    <w:p>
      <w:pPr>
        <w:spacing w:after="100"/>
      </w:pPr>
      <w:r>
        <w:rPr>
          <w:i w:val="0"/>
          <w:color w:val="1A1A1A"/>
          <w:sz w:val="20"/>
        </w:rPr>
        <w:t>Four papers come out of this project. Each maps to a model, draws on specific output tables, and has a different natural home. Ranked first choice downwards.</w:t>
      </w:r>
    </w:p>
    <w:p>
      <w:pPr>
        <w:spacing w:before="200" w:after="40"/>
      </w:pPr>
      <w:r>
        <w:rPr>
          <w:b/>
          <w:color w:val="1A1A1A"/>
          <w:sz w:val="22"/>
        </w:rPr>
        <w:t>Paper 1  ·  from M1  ·  socio-economic and gender co-benefits</w:t>
      </w:r>
    </w:p>
    <w:tbl>
      <w:tblPr>
        <w:tblStyle w:val="TableGrid"/>
        <w:tblW w:type="auto" w:w="0"/>
        <w:jc w:val="center"/>
        <w:tblLook w:firstColumn="1" w:firstRow="1" w:lastColumn="0" w:lastRow="0" w:noHBand="0" w:noVBand="1" w:val="04A0"/>
      </w:tblPr>
      <w:tblGrid>
        <w:gridCol w:w="5043"/>
        <w:gridCol w:w="5043"/>
      </w:tblGrid>
      <w:tr>
        <w:tc>
          <w:tcPr>
            <w:tcW w:type="dxa" w:w="1814"/>
            <w:shd w:val="clear" w:color="auto" w:fill="E8F2F2"/>
          </w:tcPr>
          <w:p>
            <w:pPr>
              <w:spacing w:after="20" w:before="20"/>
            </w:pPr>
            <w:r>
              <w:rPr>
                <w:b/>
                <w:color w:val="006D77"/>
                <w:sz w:val="16"/>
              </w:rPr>
            </w:r>
          </w:p>
        </w:tc>
        <w:tc>
          <w:tcPr>
            <w:tcW w:type="dxa" w:w="7937"/>
            <w:shd w:val="clear" w:color="auto" w:fill="E8F2F2"/>
          </w:tcPr>
          <w:p>
            <w:pPr>
              <w:spacing w:after="20" w:before="20"/>
            </w:pPr>
            <w:r>
              <w:rPr>
                <w:b/>
                <w:color w:val="006D77"/>
                <w:sz w:val="16"/>
              </w:rPr>
              <w:t>Detail</w:t>
            </w:r>
          </w:p>
        </w:tc>
      </w:tr>
      <w:tr>
        <w:tc>
          <w:tcPr>
            <w:tcW w:type="dxa" w:w="1814"/>
          </w:tcPr>
          <w:p>
            <w:pPr>
              <w:spacing w:after="20" w:before="20"/>
            </w:pPr>
            <w:r>
              <w:rPr>
                <w:b/>
                <w:sz w:val="16"/>
              </w:rPr>
              <w:t>Question</w:t>
            </w:r>
          </w:p>
        </w:tc>
        <w:tc>
          <w:tcPr>
            <w:tcW w:type="dxa" w:w="7937"/>
          </w:tcPr>
          <w:p>
            <w:pPr>
              <w:spacing w:after="20" w:before="20"/>
            </w:pPr>
            <w:r>
              <w:rPr>
                <w:sz w:val="16"/>
              </w:rPr>
              <w:t>Does bus access change household transport spending, employment and women’s mobility in Indian cities, and for whom most?</w:t>
            </w:r>
          </w:p>
        </w:tc>
      </w:tr>
      <w:tr>
        <w:tc>
          <w:tcPr>
            <w:tcW w:type="dxa" w:w="1814"/>
          </w:tcPr>
          <w:p>
            <w:pPr>
              <w:spacing w:after="20" w:before="20"/>
            </w:pPr>
            <w:r>
              <w:rPr>
                <w:b/>
                <w:sz w:val="16"/>
              </w:rPr>
              <w:t>Method</w:t>
            </w:r>
          </w:p>
        </w:tc>
        <w:tc>
          <w:tcPr>
            <w:tcW w:type="dxa" w:w="7937"/>
          </w:tcPr>
          <w:p>
            <w:pPr>
              <w:spacing w:after="20" w:before="20"/>
            </w:pPr>
            <w:r>
              <w:rPr>
                <w:sz w:val="16"/>
              </w:rPr>
              <w:t>Difference-in-differences in Group B, cross-sectional regression with rich controls in Group A, vulnerability index interaction throughout</w:t>
            </w:r>
          </w:p>
        </w:tc>
      </w:tr>
      <w:tr>
        <w:tc>
          <w:tcPr>
            <w:tcW w:type="dxa" w:w="1814"/>
          </w:tcPr>
          <w:p>
            <w:pPr>
              <w:spacing w:after="20" w:before="20"/>
            </w:pPr>
            <w:r>
              <w:rPr>
                <w:b/>
                <w:sz w:val="16"/>
              </w:rPr>
              <w:t>Outputs it uses</w:t>
            </w:r>
          </w:p>
        </w:tc>
        <w:tc>
          <w:tcPr>
            <w:tcW w:type="dxa" w:w="7937"/>
          </w:tcPr>
          <w:p>
            <w:pPr>
              <w:spacing w:after="20" w:before="20"/>
            </w:pPr>
            <w:r>
              <w:rPr>
                <w:sz w:val="16"/>
              </w:rPr>
              <w:t>Tables M1.1 regression, M1.2 monetised benefits, M1.3 accessibility</w:t>
            </w:r>
          </w:p>
        </w:tc>
      </w:tr>
      <w:tr>
        <w:tc>
          <w:tcPr>
            <w:tcW w:type="dxa" w:w="1814"/>
          </w:tcPr>
          <w:p>
            <w:pPr>
              <w:spacing w:after="20" w:before="20"/>
            </w:pPr>
            <w:r>
              <w:rPr>
                <w:b/>
                <w:sz w:val="16"/>
              </w:rPr>
              <w:t>First choice</w:t>
            </w:r>
          </w:p>
        </w:tc>
        <w:tc>
          <w:tcPr>
            <w:tcW w:type="dxa" w:w="7937"/>
          </w:tcPr>
          <w:p>
            <w:pPr>
              <w:spacing w:after="20" w:before="20"/>
            </w:pPr>
            <w:r>
              <w:rPr>
                <w:sz w:val="16"/>
              </w:rPr>
              <w:t>Journal of Transport Geography, Q1. There is direct precedent: it published an India gendered bus-subsidy paper in February 2026, which is already in our evidence file</w:t>
            </w:r>
          </w:p>
        </w:tc>
      </w:tr>
      <w:tr>
        <w:tc>
          <w:tcPr>
            <w:tcW w:type="dxa" w:w="1814"/>
          </w:tcPr>
          <w:p>
            <w:pPr>
              <w:spacing w:after="20" w:before="20"/>
            </w:pPr>
            <w:r>
              <w:rPr>
                <w:b/>
                <w:sz w:val="16"/>
              </w:rPr>
              <w:t>Second</w:t>
            </w:r>
          </w:p>
        </w:tc>
        <w:tc>
          <w:tcPr>
            <w:tcW w:type="dxa" w:w="7937"/>
          </w:tcPr>
          <w:p>
            <w:pPr>
              <w:spacing w:after="20" w:before="20"/>
            </w:pPr>
            <w:r>
              <w:rPr>
                <w:sz w:val="16"/>
              </w:rPr>
              <w:t>Transportation Research Part A, Q1. Policy-facing flagship, has carried Indian bus and BRT case studies</w:t>
            </w:r>
          </w:p>
        </w:tc>
      </w:tr>
      <w:tr>
        <w:tc>
          <w:tcPr>
            <w:tcW w:type="dxa" w:w="1814"/>
          </w:tcPr>
          <w:p>
            <w:pPr>
              <w:spacing w:after="20" w:before="20"/>
            </w:pPr>
            <w:r>
              <w:rPr>
                <w:b/>
                <w:sz w:val="16"/>
              </w:rPr>
              <w:t>Third</w:t>
            </w:r>
          </w:p>
        </w:tc>
        <w:tc>
          <w:tcPr>
            <w:tcW w:type="dxa" w:w="7937"/>
          </w:tcPr>
          <w:p>
            <w:pPr>
              <w:spacing w:after="20" w:before="20"/>
            </w:pPr>
            <w:r>
              <w:rPr>
                <w:sz w:val="16"/>
              </w:rPr>
              <w:t>World Development, Q1, if framed as development economics with the identification strategy foregrounded rather than as a transport paper</w:t>
            </w:r>
          </w:p>
        </w:tc>
      </w:tr>
      <w:tr>
        <w:tc>
          <w:tcPr>
            <w:tcW w:type="dxa" w:w="1814"/>
          </w:tcPr>
          <w:p>
            <w:pPr>
              <w:spacing w:after="20" w:before="20"/>
            </w:pPr>
            <w:r>
              <w:rPr>
                <w:b/>
                <w:sz w:val="16"/>
              </w:rPr>
              <w:t>Fallback</w:t>
            </w:r>
          </w:p>
        </w:tc>
        <w:tc>
          <w:tcPr>
            <w:tcW w:type="dxa" w:w="7937"/>
          </w:tcPr>
          <w:p>
            <w:pPr>
              <w:spacing w:after="20" w:before="20"/>
            </w:pPr>
            <w:r>
              <w:rPr>
                <w:sz w:val="16"/>
              </w:rPr>
              <w:t>Case Studies on Transport Policy. Q1 in geography and urban studies, explicitly welcomes developing-country case studies, and the cheapest article charge of the group</w:t>
            </w:r>
          </w:p>
        </w:tc>
      </w:tr>
    </w:tbl>
    <w:p>
      <w:pPr>
        <w:spacing w:after="40"/>
      </w:pPr>
    </w:p>
    <w:p>
      <w:pPr>
        <w:spacing w:before="200" w:after="40"/>
      </w:pPr>
      <w:r>
        <w:rPr>
          <w:b/>
          <w:color w:val="1A1A1A"/>
          <w:sz w:val="22"/>
        </w:rPr>
        <w:t>Paper 2  ·  from M2  ·  health co-benefits</w:t>
      </w:r>
    </w:p>
    <w:tbl>
      <w:tblPr>
        <w:tblStyle w:val="TableGrid"/>
        <w:tblW w:type="auto" w:w="0"/>
        <w:jc w:val="center"/>
        <w:tblLook w:firstColumn="1" w:firstRow="1" w:lastColumn="0" w:lastRow="0" w:noHBand="0" w:noVBand="1" w:val="04A0"/>
      </w:tblPr>
      <w:tblGrid>
        <w:gridCol w:w="5043"/>
        <w:gridCol w:w="5043"/>
      </w:tblGrid>
      <w:tr>
        <w:tc>
          <w:tcPr>
            <w:tcW w:type="dxa" w:w="1814"/>
            <w:shd w:val="clear" w:color="auto" w:fill="E8F2F2"/>
          </w:tcPr>
          <w:p>
            <w:pPr>
              <w:spacing w:after="20" w:before="20"/>
            </w:pPr>
            <w:r>
              <w:rPr>
                <w:b/>
                <w:color w:val="006D77"/>
                <w:sz w:val="16"/>
              </w:rPr>
            </w:r>
          </w:p>
        </w:tc>
        <w:tc>
          <w:tcPr>
            <w:tcW w:type="dxa" w:w="7937"/>
            <w:shd w:val="clear" w:color="auto" w:fill="E8F2F2"/>
          </w:tcPr>
          <w:p>
            <w:pPr>
              <w:spacing w:after="20" w:before="20"/>
            </w:pPr>
            <w:r>
              <w:rPr>
                <w:b/>
                <w:color w:val="006D77"/>
                <w:sz w:val="16"/>
              </w:rPr>
              <w:t>Detail</w:t>
            </w:r>
          </w:p>
        </w:tc>
      </w:tr>
      <w:tr>
        <w:tc>
          <w:tcPr>
            <w:tcW w:type="dxa" w:w="1814"/>
          </w:tcPr>
          <w:p>
            <w:pPr>
              <w:spacing w:after="20" w:before="20"/>
            </w:pPr>
            <w:r>
              <w:rPr>
                <w:b/>
                <w:sz w:val="16"/>
              </w:rPr>
              <w:t>Question</w:t>
            </w:r>
          </w:p>
        </w:tc>
        <w:tc>
          <w:tcPr>
            <w:tcW w:type="dxa" w:w="7937"/>
          </w:tcPr>
          <w:p>
            <w:pPr>
              <w:spacing w:after="20" w:before="20"/>
            </w:pPr>
            <w:r>
              <w:rPr>
                <w:sz w:val="16"/>
              </w:rPr>
              <w:t>What is the health value, in years of life lost averted, of shifting Indian urban travel from two-wheelers, cars and autos to buses?</w:t>
            </w:r>
          </w:p>
        </w:tc>
      </w:tr>
      <w:tr>
        <w:tc>
          <w:tcPr>
            <w:tcW w:type="dxa" w:w="1814"/>
          </w:tcPr>
          <w:p>
            <w:pPr>
              <w:spacing w:after="20" w:before="20"/>
            </w:pPr>
            <w:r>
              <w:rPr>
                <w:b/>
                <w:sz w:val="16"/>
              </w:rPr>
              <w:t>Method</w:t>
            </w:r>
          </w:p>
        </w:tc>
        <w:tc>
          <w:tcPr>
            <w:tcW w:type="dxa" w:w="7937"/>
          </w:tcPr>
          <w:p>
            <w:pPr>
              <w:spacing w:after="20" w:before="20"/>
            </w:pPr>
            <w:r>
              <w:rPr>
                <w:sz w:val="16"/>
              </w:rPr>
              <w:t>ITHIM-style comparative risk assessment across physical activity, air pollution and road injury, with Monte Carlo uncertainty; WHO HEAT for the walking pathway</w:t>
            </w:r>
          </w:p>
        </w:tc>
      </w:tr>
      <w:tr>
        <w:tc>
          <w:tcPr>
            <w:tcW w:type="dxa" w:w="1814"/>
          </w:tcPr>
          <w:p>
            <w:pPr>
              <w:spacing w:after="20" w:before="20"/>
            </w:pPr>
            <w:r>
              <w:rPr>
                <w:b/>
                <w:sz w:val="16"/>
              </w:rPr>
              <w:t>Outputs it uses</w:t>
            </w:r>
          </w:p>
        </w:tc>
        <w:tc>
          <w:tcPr>
            <w:tcW w:type="dxa" w:w="7937"/>
          </w:tcPr>
          <w:p>
            <w:pPr>
              <w:spacing w:after="20" w:before="20"/>
            </w:pPr>
            <w:r>
              <w:rPr>
                <w:sz w:val="16"/>
              </w:rPr>
              <w:t>Tables M2.1 HEAT, M2.2 pathway decomposition, M2.3 equity disaggregation</w:t>
            </w:r>
          </w:p>
        </w:tc>
      </w:tr>
      <w:tr>
        <w:tc>
          <w:tcPr>
            <w:tcW w:type="dxa" w:w="1814"/>
          </w:tcPr>
          <w:p>
            <w:pPr>
              <w:spacing w:after="20" w:before="20"/>
            </w:pPr>
            <w:r>
              <w:rPr>
                <w:b/>
                <w:sz w:val="16"/>
              </w:rPr>
              <w:t>First choice</w:t>
            </w:r>
          </w:p>
        </w:tc>
        <w:tc>
          <w:tcPr>
            <w:tcW w:type="dxa" w:w="7937"/>
          </w:tcPr>
          <w:p>
            <w:pPr>
              <w:spacing w:after="20" w:before="20"/>
            </w:pPr>
            <w:r>
              <w:rPr>
                <w:sz w:val="16"/>
              </w:rPr>
              <w:t>Environment International, Q1. Best realistic high-impact home for a quantitative environmental health burden paper</w:t>
            </w:r>
          </w:p>
        </w:tc>
      </w:tr>
      <w:tr>
        <w:tc>
          <w:tcPr>
            <w:tcW w:type="dxa" w:w="1814"/>
          </w:tcPr>
          <w:p>
            <w:pPr>
              <w:spacing w:after="20" w:before="20"/>
            </w:pPr>
            <w:r>
              <w:rPr>
                <w:b/>
                <w:sz w:val="16"/>
              </w:rPr>
              <w:t>Second</w:t>
            </w:r>
          </w:p>
        </w:tc>
        <w:tc>
          <w:tcPr>
            <w:tcW w:type="dxa" w:w="7937"/>
          </w:tcPr>
          <w:p>
            <w:pPr>
              <w:spacing w:after="20" w:before="20"/>
            </w:pPr>
            <w:r>
              <w:rPr>
                <w:sz w:val="16"/>
              </w:rPr>
              <w:t>Journal of Urban Health, Q1, or Environmental Health Perspectives, Q1. Both explicitly urban and public health facing</w:t>
            </w:r>
          </w:p>
        </w:tc>
      </w:tr>
      <w:tr>
        <w:tc>
          <w:tcPr>
            <w:tcW w:type="dxa" w:w="1814"/>
          </w:tcPr>
          <w:p>
            <w:pPr>
              <w:spacing w:after="20" w:before="20"/>
            </w:pPr>
            <w:r>
              <w:rPr>
                <w:b/>
                <w:sz w:val="16"/>
              </w:rPr>
              <w:t>Third</w:t>
            </w:r>
          </w:p>
        </w:tc>
        <w:tc>
          <w:tcPr>
            <w:tcW w:type="dxa" w:w="7937"/>
          </w:tcPr>
          <w:p>
            <w:pPr>
              <w:spacing w:after="20" w:before="20"/>
            </w:pPr>
            <w:r>
              <w:rPr>
                <w:sz w:val="16"/>
              </w:rPr>
              <w:t>Journal of Transport and Health. The natural disciplinary home and where most ITHIM applications sit, but it is Q2, so only if the Q1 requirement is soft</w:t>
            </w:r>
          </w:p>
        </w:tc>
      </w:tr>
      <w:tr>
        <w:tc>
          <w:tcPr>
            <w:tcW w:type="dxa" w:w="1814"/>
          </w:tcPr>
          <w:p>
            <w:pPr>
              <w:spacing w:after="20" w:before="20"/>
            </w:pPr>
            <w:r>
              <w:rPr>
                <w:b/>
                <w:sz w:val="16"/>
              </w:rPr>
              <w:t>Aspirational</w:t>
            </w:r>
          </w:p>
        </w:tc>
        <w:tc>
          <w:tcPr>
            <w:tcW w:type="dxa" w:w="7937"/>
          </w:tcPr>
          <w:p>
            <w:pPr>
              <w:spacing w:after="20" w:before="20"/>
            </w:pPr>
            <w:r>
              <w:rPr>
                <w:sz w:val="16"/>
              </w:rPr>
              <w:t>The Lancet Planetary Health, Q1. Very high bar and a large article charge, though discounts for authors in India are likely</w:t>
            </w:r>
          </w:p>
        </w:tc>
      </w:tr>
      <w:tr>
        <w:tc>
          <w:tcPr>
            <w:tcW w:type="dxa" w:w="1814"/>
          </w:tcPr>
          <w:p>
            <w:pPr>
              <w:spacing w:after="20" w:before="20"/>
            </w:pPr>
            <w:r>
              <w:rPr>
                <w:b/>
                <w:sz w:val="16"/>
              </w:rPr>
              <w:t>Avoid</w:t>
            </w:r>
          </w:p>
        </w:tc>
        <w:tc>
          <w:tcPr>
            <w:tcW w:type="dxa" w:w="7937"/>
          </w:tcPr>
          <w:p>
            <w:pPr>
              <w:spacing w:after="20" w:before="20"/>
            </w:pPr>
            <w:r>
              <w:rPr>
                <w:sz w:val="16"/>
              </w:rPr>
              <w:t>IJERPH, regardless of quartile shown, because of the 2023 Web of Science delisting</w:t>
            </w:r>
          </w:p>
        </w:tc>
      </w:tr>
    </w:tbl>
    <w:p>
      <w:pPr>
        <w:spacing w:after="40"/>
      </w:pPr>
    </w:p>
    <w:p>
      <w:pPr>
        <w:spacing w:before="200" w:after="40"/>
      </w:pPr>
      <w:r>
        <w:rPr>
          <w:b/>
          <w:color w:val="1A1A1A"/>
          <w:sz w:val="22"/>
        </w:rPr>
        <w:t>Paper 3  ·  from the data method  ·  fusing passive GPS with a household survey</w:t>
      </w:r>
    </w:p>
    <w:tbl>
      <w:tblPr>
        <w:tblStyle w:val="TableGrid"/>
        <w:tblW w:type="auto" w:w="0"/>
        <w:jc w:val="center"/>
        <w:tblLook w:firstColumn="1" w:firstRow="1" w:lastColumn="0" w:lastRow="0" w:noHBand="0" w:noVBand="1" w:val="04A0"/>
      </w:tblPr>
      <w:tblGrid>
        <w:gridCol w:w="5043"/>
        <w:gridCol w:w="5043"/>
      </w:tblGrid>
      <w:tr>
        <w:tc>
          <w:tcPr>
            <w:tcW w:type="dxa" w:w="1814"/>
            <w:shd w:val="clear" w:color="auto" w:fill="E8F2F2"/>
          </w:tcPr>
          <w:p>
            <w:pPr>
              <w:spacing w:after="20" w:before="20"/>
            </w:pPr>
            <w:r>
              <w:rPr>
                <w:b/>
                <w:color w:val="006D77"/>
                <w:sz w:val="16"/>
              </w:rPr>
            </w:r>
          </w:p>
        </w:tc>
        <w:tc>
          <w:tcPr>
            <w:tcW w:type="dxa" w:w="7937"/>
            <w:shd w:val="clear" w:color="auto" w:fill="E8F2F2"/>
          </w:tcPr>
          <w:p>
            <w:pPr>
              <w:spacing w:after="20" w:before="20"/>
            </w:pPr>
            <w:r>
              <w:rPr>
                <w:b/>
                <w:color w:val="006D77"/>
                <w:sz w:val="16"/>
              </w:rPr>
              <w:t>Detail</w:t>
            </w:r>
          </w:p>
        </w:tc>
      </w:tr>
      <w:tr>
        <w:tc>
          <w:tcPr>
            <w:tcW w:type="dxa" w:w="1814"/>
          </w:tcPr>
          <w:p>
            <w:pPr>
              <w:spacing w:after="20" w:before="20"/>
            </w:pPr>
            <w:r>
              <w:rPr>
                <w:b/>
                <w:sz w:val="16"/>
              </w:rPr>
              <w:t>Question</w:t>
            </w:r>
          </w:p>
        </w:tc>
        <w:tc>
          <w:tcPr>
            <w:tcW w:type="dxa" w:w="7937"/>
          </w:tcPr>
          <w:p>
            <w:pPr>
              <w:spacing w:after="20" w:before="20"/>
            </w:pPr>
            <w:r>
              <w:rPr>
                <w:sz w:val="16"/>
              </w:rPr>
              <w:t>Can a large passive GPS trip dataset and a small household survey be jointly estimated to recover mode choice and travel demand for an Indian city?</w:t>
            </w:r>
          </w:p>
        </w:tc>
      </w:tr>
      <w:tr>
        <w:tc>
          <w:tcPr>
            <w:tcW w:type="dxa" w:w="1814"/>
          </w:tcPr>
          <w:p>
            <w:pPr>
              <w:spacing w:after="20" w:before="20"/>
            </w:pPr>
            <w:r>
              <w:rPr>
                <w:b/>
                <w:sz w:val="16"/>
              </w:rPr>
              <w:t>Method</w:t>
            </w:r>
          </w:p>
        </w:tc>
        <w:tc>
          <w:tcPr>
            <w:tcW w:type="dxa" w:w="7937"/>
          </w:tcPr>
          <w:p>
            <w:pPr>
              <w:spacing w:after="20" w:before="20"/>
            </w:pPr>
            <w:r>
              <w:rPr>
                <w:sz w:val="16"/>
              </w:rPr>
              <w:t>GPS mode classification with route matching, joint revealed and stated preference estimation with a scale parameter, bias correction by multilevel regression and poststratification, expansion by iterative proportional fitting</w:t>
            </w:r>
          </w:p>
        </w:tc>
      </w:tr>
      <w:tr>
        <w:tc>
          <w:tcPr>
            <w:tcW w:type="dxa" w:w="1814"/>
          </w:tcPr>
          <w:p>
            <w:pPr>
              <w:spacing w:after="20" w:before="20"/>
            </w:pPr>
            <w:r>
              <w:rPr>
                <w:b/>
                <w:sz w:val="16"/>
              </w:rPr>
              <w:t>Outputs it uses</w:t>
            </w:r>
          </w:p>
        </w:tc>
        <w:tc>
          <w:tcPr>
            <w:tcW w:type="dxa" w:w="7937"/>
          </w:tcPr>
          <w:p>
            <w:pPr>
              <w:spacing w:after="20" w:before="20"/>
            </w:pPr>
            <w:r>
              <w:rPr>
                <w:sz w:val="16"/>
              </w:rPr>
              <w:t>The mode classifier validation, the choice model coefficients, and the bias diagnostic</w:t>
            </w:r>
          </w:p>
        </w:tc>
      </w:tr>
      <w:tr>
        <w:tc>
          <w:tcPr>
            <w:tcW w:type="dxa" w:w="1814"/>
          </w:tcPr>
          <w:p>
            <w:pPr>
              <w:spacing w:after="20" w:before="20"/>
            </w:pPr>
            <w:r>
              <w:rPr>
                <w:b/>
                <w:sz w:val="16"/>
              </w:rPr>
              <w:t>First choice</w:t>
            </w:r>
          </w:p>
        </w:tc>
        <w:tc>
          <w:tcPr>
            <w:tcW w:type="dxa" w:w="7937"/>
          </w:tcPr>
          <w:p>
            <w:pPr>
              <w:spacing w:after="20" w:before="20"/>
            </w:pPr>
            <w:r>
              <w:rPr>
                <w:sz w:val="16"/>
              </w:rPr>
              <w:t>Transportation Research Part C, Q1. Data-driven and methods-facing; this is precisely its remit</w:t>
            </w:r>
          </w:p>
        </w:tc>
      </w:tr>
      <w:tr>
        <w:tc>
          <w:tcPr>
            <w:tcW w:type="dxa" w:w="1814"/>
          </w:tcPr>
          <w:p>
            <w:pPr>
              <w:spacing w:after="20" w:before="20"/>
            </w:pPr>
            <w:r>
              <w:rPr>
                <w:b/>
                <w:sz w:val="16"/>
              </w:rPr>
              <w:t>Second</w:t>
            </w:r>
          </w:p>
        </w:tc>
        <w:tc>
          <w:tcPr>
            <w:tcW w:type="dxa" w:w="7937"/>
          </w:tcPr>
          <w:p>
            <w:pPr>
              <w:spacing w:after="20" w:before="20"/>
            </w:pPr>
            <w:r>
              <w:rPr>
                <w:sz w:val="16"/>
              </w:rPr>
              <w:t>Transportation, Springer, Q1 on Clarivate. The home journal for travel survey methodology, and it recently published closely related GPS travel-diary work</w:t>
            </w:r>
          </w:p>
        </w:tc>
      </w:tr>
      <w:tr>
        <w:tc>
          <w:tcPr>
            <w:tcW w:type="dxa" w:w="1814"/>
          </w:tcPr>
          <w:p>
            <w:pPr>
              <w:spacing w:after="20" w:before="20"/>
            </w:pPr>
            <w:r>
              <w:rPr>
                <w:b/>
                <w:sz w:val="16"/>
              </w:rPr>
              <w:t>Third</w:t>
            </w:r>
          </w:p>
        </w:tc>
        <w:tc>
          <w:tcPr>
            <w:tcW w:type="dxa" w:w="7937"/>
          </w:tcPr>
          <w:p>
            <w:pPr>
              <w:spacing w:after="20" w:before="20"/>
            </w:pPr>
            <w:r>
              <w:rPr>
                <w:sz w:val="16"/>
              </w:rPr>
              <w:t>Travel Behaviour and Society, Q1, or Journal of Transport Geography, Q1, if the paper leans behavioural rather than methodological</w:t>
            </w:r>
          </w:p>
        </w:tc>
      </w:tr>
      <w:tr>
        <w:tc>
          <w:tcPr>
            <w:tcW w:type="dxa" w:w="1814"/>
          </w:tcPr>
          <w:p>
            <w:pPr>
              <w:spacing w:after="20" w:before="20"/>
            </w:pPr>
            <w:r>
              <w:rPr>
                <w:b/>
                <w:sz w:val="16"/>
              </w:rPr>
              <w:t>Note</w:t>
            </w:r>
          </w:p>
        </w:tc>
        <w:tc>
          <w:tcPr>
            <w:tcW w:type="dxa" w:w="7937"/>
          </w:tcPr>
          <w:p>
            <w:pPr>
              <w:spacing w:after="20" w:before="20"/>
            </w:pPr>
            <w:r>
              <w:rPr>
                <w:sz w:val="16"/>
              </w:rPr>
              <w:t>No India-based GPS and household-survey mode choice paper was found in any of these. That is a genuine gap and a strong claim to novelty, though it also means there is no precedent to point to in the cover letter</w:t>
            </w:r>
          </w:p>
        </w:tc>
      </w:tr>
    </w:tbl>
    <w:p>
      <w:pPr>
        <w:spacing w:after="40"/>
      </w:pPr>
    </w:p>
    <w:p>
      <w:pPr>
        <w:spacing w:before="200" w:after="40"/>
      </w:pPr>
      <w:r>
        <w:rPr>
          <w:b/>
          <w:color w:val="1A1A1A"/>
          <w:sz w:val="22"/>
        </w:rPr>
        <w:t>Paper 4  ·  from the integration  ·  cost-benefit and social return framework</w:t>
      </w:r>
    </w:p>
    <w:tbl>
      <w:tblPr>
        <w:tblStyle w:val="TableGrid"/>
        <w:tblW w:type="auto" w:w="0"/>
        <w:jc w:val="center"/>
        <w:tblLook w:firstColumn="1" w:firstRow="1" w:lastColumn="0" w:lastRow="0" w:noHBand="0" w:noVBand="1" w:val="04A0"/>
      </w:tblPr>
      <w:tblGrid>
        <w:gridCol w:w="5043"/>
        <w:gridCol w:w="5043"/>
      </w:tblGrid>
      <w:tr>
        <w:tc>
          <w:tcPr>
            <w:tcW w:type="dxa" w:w="1814"/>
            <w:shd w:val="clear" w:color="auto" w:fill="E8F2F2"/>
          </w:tcPr>
          <w:p>
            <w:pPr>
              <w:spacing w:after="20" w:before="20"/>
            </w:pPr>
            <w:r>
              <w:rPr>
                <w:b/>
                <w:color w:val="006D77"/>
                <w:sz w:val="16"/>
              </w:rPr>
            </w:r>
          </w:p>
        </w:tc>
        <w:tc>
          <w:tcPr>
            <w:tcW w:type="dxa" w:w="7937"/>
            <w:shd w:val="clear" w:color="auto" w:fill="E8F2F2"/>
          </w:tcPr>
          <w:p>
            <w:pPr>
              <w:spacing w:after="20" w:before="20"/>
            </w:pPr>
            <w:r>
              <w:rPr>
                <w:b/>
                <w:color w:val="006D77"/>
                <w:sz w:val="16"/>
              </w:rPr>
              <w:t>Detail</w:t>
            </w:r>
          </w:p>
        </w:tc>
      </w:tr>
      <w:tr>
        <w:tc>
          <w:tcPr>
            <w:tcW w:type="dxa" w:w="1814"/>
          </w:tcPr>
          <w:p>
            <w:pPr>
              <w:spacing w:after="20" w:before="20"/>
            </w:pPr>
            <w:r>
              <w:rPr>
                <w:b/>
                <w:sz w:val="16"/>
              </w:rPr>
              <w:t>Question</w:t>
            </w:r>
          </w:p>
        </w:tc>
        <w:tc>
          <w:tcPr>
            <w:tcW w:type="dxa" w:w="7937"/>
          </w:tcPr>
          <w:p>
            <w:pPr>
              <w:spacing w:after="20" w:before="20"/>
            </w:pPr>
            <w:r>
              <w:rPr>
                <w:sz w:val="16"/>
              </w:rPr>
              <w:t>How should the full social return to bus investment be appraised in a developing country, and what does it come to across six Indian cities?</w:t>
            </w:r>
          </w:p>
        </w:tc>
      </w:tr>
      <w:tr>
        <w:tc>
          <w:tcPr>
            <w:tcW w:type="dxa" w:w="1814"/>
          </w:tcPr>
          <w:p>
            <w:pPr>
              <w:spacing w:after="20" w:before="20"/>
            </w:pPr>
            <w:r>
              <w:rPr>
                <w:b/>
                <w:sz w:val="16"/>
              </w:rPr>
              <w:t>Method</w:t>
            </w:r>
          </w:p>
        </w:tc>
        <w:tc>
          <w:tcPr>
            <w:tcW w:type="dxa" w:w="7937"/>
          </w:tcPr>
          <w:p>
            <w:pPr>
              <w:spacing w:after="20" w:before="20"/>
            </w:pPr>
            <w:r>
              <w:rPr>
                <w:sz w:val="16"/>
              </w:rPr>
              <w:t>Cost-benefit analysis with switching values, three social-return lenses, Monte Carlo sensitivity</w:t>
            </w:r>
          </w:p>
        </w:tc>
      </w:tr>
      <w:tr>
        <w:tc>
          <w:tcPr>
            <w:tcW w:type="dxa" w:w="1814"/>
          </w:tcPr>
          <w:p>
            <w:pPr>
              <w:spacing w:after="20" w:before="20"/>
            </w:pPr>
            <w:r>
              <w:rPr>
                <w:b/>
                <w:sz w:val="16"/>
              </w:rPr>
              <w:t>Outputs it uses</w:t>
            </w:r>
          </w:p>
        </w:tc>
        <w:tc>
          <w:tcPr>
            <w:tcW w:type="dxa" w:w="7937"/>
          </w:tcPr>
          <w:p>
            <w:pPr>
              <w:spacing w:after="20" w:before="20"/>
            </w:pPr>
            <w:r>
              <w:rPr>
                <w:sz w:val="16"/>
              </w:rPr>
              <w:t>Tables INT.1 headline summary, INT.2 three lenses, INT.3 switching values</w:t>
            </w:r>
          </w:p>
        </w:tc>
      </w:tr>
      <w:tr>
        <w:tc>
          <w:tcPr>
            <w:tcW w:type="dxa" w:w="1814"/>
          </w:tcPr>
          <w:p>
            <w:pPr>
              <w:spacing w:after="20" w:before="20"/>
            </w:pPr>
            <w:r>
              <w:rPr>
                <w:b/>
                <w:sz w:val="16"/>
              </w:rPr>
              <w:t>First choice</w:t>
            </w:r>
          </w:p>
        </w:tc>
        <w:tc>
          <w:tcPr>
            <w:tcW w:type="dxa" w:w="7937"/>
          </w:tcPr>
          <w:p>
            <w:pPr>
              <w:spacing w:after="20" w:before="20"/>
            </w:pPr>
            <w:r>
              <w:rPr>
                <w:sz w:val="16"/>
              </w:rPr>
              <w:t>Transportation Research Part A, Q1. The standard home for transport appraisal methodology with policy relevance</w:t>
            </w:r>
          </w:p>
        </w:tc>
      </w:tr>
      <w:tr>
        <w:tc>
          <w:tcPr>
            <w:tcW w:type="dxa" w:w="1814"/>
          </w:tcPr>
          <w:p>
            <w:pPr>
              <w:spacing w:after="20" w:before="20"/>
            </w:pPr>
            <w:r>
              <w:rPr>
                <w:b/>
                <w:sz w:val="16"/>
              </w:rPr>
              <w:t>Second</w:t>
            </w:r>
          </w:p>
        </w:tc>
        <w:tc>
          <w:tcPr>
            <w:tcW w:type="dxa" w:w="7937"/>
          </w:tcPr>
          <w:p>
            <w:pPr>
              <w:spacing w:after="20" w:before="20"/>
            </w:pPr>
            <w:r>
              <w:rPr>
                <w:sz w:val="16"/>
              </w:rPr>
              <w:t>Transport Policy, Q1 on Clarivate. Policy-facing and receptive to appraisal-framework papers</w:t>
            </w:r>
          </w:p>
        </w:tc>
      </w:tr>
      <w:tr>
        <w:tc>
          <w:tcPr>
            <w:tcW w:type="dxa" w:w="1814"/>
          </w:tcPr>
          <w:p>
            <w:pPr>
              <w:spacing w:after="20" w:before="20"/>
            </w:pPr>
            <w:r>
              <w:rPr>
                <w:b/>
                <w:sz w:val="16"/>
              </w:rPr>
              <w:t>Third</w:t>
            </w:r>
          </w:p>
        </w:tc>
        <w:tc>
          <w:tcPr>
            <w:tcW w:type="dxa" w:w="7937"/>
          </w:tcPr>
          <w:p>
            <w:pPr>
              <w:spacing w:after="20" w:before="20"/>
            </w:pPr>
            <w:r>
              <w:rPr>
                <w:sz w:val="16"/>
              </w:rPr>
              <w:t>Research in Transportation Economics, Q1, if framed as an economic valuation contribution</w:t>
            </w:r>
          </w:p>
        </w:tc>
      </w:tr>
      <w:tr>
        <w:tc>
          <w:tcPr>
            <w:tcW w:type="dxa" w:w="1814"/>
          </w:tcPr>
          <w:p>
            <w:pPr>
              <w:spacing w:after="20" w:before="20"/>
            </w:pPr>
            <w:r>
              <w:rPr>
                <w:b/>
                <w:sz w:val="16"/>
              </w:rPr>
              <w:t>Fallback</w:t>
            </w:r>
          </w:p>
        </w:tc>
        <w:tc>
          <w:tcPr>
            <w:tcW w:type="dxa" w:w="7937"/>
          </w:tcPr>
          <w:p>
            <w:pPr>
              <w:spacing w:after="20" w:before="20"/>
            </w:pPr>
            <w:r>
              <w:rPr>
                <w:sz w:val="16"/>
              </w:rPr>
              <w:t>Case Studies on Transport Policy, if framed as an applied case study</w:t>
            </w:r>
          </w:p>
        </w:tc>
      </w:tr>
      <w:tr>
        <w:tc>
          <w:tcPr>
            <w:tcW w:type="dxa" w:w="1814"/>
          </w:tcPr>
          <w:p>
            <w:pPr>
              <w:spacing w:after="20" w:before="20"/>
            </w:pPr>
            <w:r>
              <w:rPr>
                <w:b/>
                <w:sz w:val="16"/>
              </w:rPr>
              <w:t>Note</w:t>
            </w:r>
          </w:p>
        </w:tc>
        <w:tc>
          <w:tcPr>
            <w:tcW w:type="dxa" w:w="7937"/>
          </w:tcPr>
          <w:p>
            <w:pPr>
              <w:spacing w:after="20" w:before="20"/>
            </w:pPr>
            <w:r>
              <w:rPr>
                <w:sz w:val="16"/>
              </w:rPr>
              <w:t>No social-return-specific transport paper from a developing country was found in these venues. The existing literature is almost entirely high income. Another genuine gap</w:t>
            </w:r>
          </w:p>
        </w:tc>
      </w:tr>
    </w:tbl>
    <w:p>
      <w:pPr>
        <w:spacing w:after="40"/>
      </w:pPr>
    </w:p>
    <w:p>
      <w:r>
        <w:br w:type="page"/>
      </w:r>
    </w:p>
    <w:p>
      <w:pPr>
        <w:spacing w:before="280" w:after="80"/>
        <w:pBdr>
          <w:bottom w:val="single" w:sz="6" w:space="3" w:color="006D77"/>
        </w:pBdr>
      </w:pPr>
      <w:r>
        <w:rPr>
          <w:b/>
          <w:color w:val="006D77"/>
          <w:sz w:val="26"/>
        </w:rPr>
        <w:t>3. Practical notes on the target journals</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494"/>
            <w:shd w:val="clear" w:color="auto" w:fill="E8F2F2"/>
          </w:tcPr>
          <w:p>
            <w:pPr>
              <w:spacing w:after="20" w:before="20"/>
            </w:pPr>
            <w:r>
              <w:rPr>
                <w:b/>
                <w:color w:val="006D77"/>
                <w:sz w:val="16"/>
              </w:rPr>
              <w:t>Journal</w:t>
            </w:r>
          </w:p>
        </w:tc>
        <w:tc>
          <w:tcPr>
            <w:tcW w:type="dxa" w:w="1247"/>
            <w:shd w:val="clear" w:color="auto" w:fill="E8F2F2"/>
          </w:tcPr>
          <w:p>
            <w:pPr>
              <w:spacing w:after="20" w:before="20"/>
            </w:pPr>
            <w:r>
              <w:rPr>
                <w:b/>
                <w:color w:val="006D77"/>
                <w:sz w:val="16"/>
              </w:rPr>
              <w:t>Access</w:t>
            </w:r>
          </w:p>
        </w:tc>
        <w:tc>
          <w:tcPr>
            <w:tcW w:type="dxa" w:w="2041"/>
            <w:shd w:val="clear" w:color="auto" w:fill="E8F2F2"/>
          </w:tcPr>
          <w:p>
            <w:pPr>
              <w:spacing w:after="20" w:before="20"/>
            </w:pPr>
            <w:r>
              <w:rPr>
                <w:b/>
                <w:color w:val="006D77"/>
                <w:sz w:val="16"/>
              </w:rPr>
              <w:t>Article charge</w:t>
            </w:r>
          </w:p>
        </w:tc>
        <w:tc>
          <w:tcPr>
            <w:tcW w:type="dxa" w:w="1814"/>
            <w:shd w:val="clear" w:color="auto" w:fill="E8F2F2"/>
          </w:tcPr>
          <w:p>
            <w:pPr>
              <w:spacing w:after="20" w:before="20"/>
            </w:pPr>
            <w:r>
              <w:rPr>
                <w:b/>
                <w:color w:val="006D77"/>
                <w:sz w:val="16"/>
              </w:rPr>
              <w:t>Facing</w:t>
            </w:r>
          </w:p>
        </w:tc>
        <w:tc>
          <w:tcPr>
            <w:tcW w:type="dxa" w:w="2268"/>
            <w:shd w:val="clear" w:color="auto" w:fill="E8F2F2"/>
          </w:tcPr>
          <w:p>
            <w:pPr>
              <w:spacing w:after="20" w:before="20"/>
            </w:pPr>
            <w:r>
              <w:rPr>
                <w:b/>
                <w:color w:val="006D77"/>
                <w:sz w:val="16"/>
              </w:rPr>
              <w:t>India transport precedent</w:t>
            </w:r>
          </w:p>
        </w:tc>
      </w:tr>
      <w:tr>
        <w:tc>
          <w:tcPr>
            <w:tcW w:type="dxa" w:w="2494"/>
          </w:tcPr>
          <w:p>
            <w:pPr>
              <w:spacing w:after="20" w:before="20"/>
            </w:pPr>
            <w:r>
              <w:rPr>
                <w:b/>
                <w:sz w:val="16"/>
              </w:rPr>
              <w:t>Journal of Transport Geography</w:t>
            </w:r>
          </w:p>
        </w:tc>
        <w:tc>
          <w:tcPr>
            <w:tcW w:type="dxa" w:w="1247"/>
          </w:tcPr>
          <w:p>
            <w:pPr>
              <w:spacing w:after="20" w:before="20"/>
            </w:pPr>
            <w:r>
              <w:rPr>
                <w:sz w:val="16"/>
              </w:rPr>
              <w:t>Hybrid</w:t>
            </w:r>
          </w:p>
        </w:tc>
        <w:tc>
          <w:tcPr>
            <w:tcW w:type="dxa" w:w="2041"/>
          </w:tcPr>
          <w:p>
            <w:pPr>
              <w:spacing w:after="20" w:before="20"/>
            </w:pPr>
            <w:r>
              <w:rPr>
                <w:sz w:val="16"/>
              </w:rPr>
              <w:t>Geo-priced, no fixed figure found</w:t>
            </w:r>
          </w:p>
        </w:tc>
        <w:tc>
          <w:tcPr>
            <w:tcW w:type="dxa" w:w="1814"/>
          </w:tcPr>
          <w:p>
            <w:pPr>
              <w:spacing w:after="20" w:before="20"/>
            </w:pPr>
            <w:r>
              <w:rPr>
                <w:sz w:val="16"/>
              </w:rPr>
              <w:t>Policy and methods</w:t>
            </w:r>
          </w:p>
        </w:tc>
        <w:tc>
          <w:tcPr>
            <w:tcW w:type="dxa" w:w="2268"/>
          </w:tcPr>
          <w:p>
            <w:pPr>
              <w:spacing w:after="20" w:before="20"/>
            </w:pPr>
            <w:r>
              <w:rPr>
                <w:sz w:val="16"/>
              </w:rPr>
              <w:t>Yes, a 2026 India gender and bus subsidy paper</w:t>
            </w:r>
          </w:p>
        </w:tc>
      </w:tr>
      <w:tr>
        <w:tc>
          <w:tcPr>
            <w:tcW w:type="dxa" w:w="2494"/>
          </w:tcPr>
          <w:p>
            <w:pPr>
              <w:spacing w:after="20" w:before="20"/>
            </w:pPr>
            <w:r>
              <w:rPr>
                <w:b/>
                <w:sz w:val="16"/>
              </w:rPr>
              <w:t>Transportation Research Part A</w:t>
            </w:r>
          </w:p>
        </w:tc>
        <w:tc>
          <w:tcPr>
            <w:tcW w:type="dxa" w:w="1247"/>
          </w:tcPr>
          <w:p>
            <w:pPr>
              <w:spacing w:after="20" w:before="20"/>
            </w:pPr>
            <w:r>
              <w:rPr>
                <w:sz w:val="16"/>
              </w:rPr>
              <w:t>Hybrid</w:t>
            </w:r>
          </w:p>
        </w:tc>
        <w:tc>
          <w:tcPr>
            <w:tcW w:type="dxa" w:w="2041"/>
          </w:tcPr>
          <w:p>
            <w:pPr>
              <w:spacing w:after="20" w:before="20"/>
            </w:pPr>
            <w:r>
              <w:rPr>
                <w:sz w:val="16"/>
              </w:rPr>
              <w:t>Geo-priced</w:t>
            </w:r>
          </w:p>
        </w:tc>
        <w:tc>
          <w:tcPr>
            <w:tcW w:type="dxa" w:w="1814"/>
          </w:tcPr>
          <w:p>
            <w:pPr>
              <w:spacing w:after="20" w:before="20"/>
            </w:pPr>
            <w:r>
              <w:rPr>
                <w:sz w:val="16"/>
              </w:rPr>
              <w:t>Policy</w:t>
            </w:r>
          </w:p>
        </w:tc>
        <w:tc>
          <w:tcPr>
            <w:tcW w:type="dxa" w:w="2268"/>
          </w:tcPr>
          <w:p>
            <w:pPr>
              <w:spacing w:after="20" w:before="20"/>
            </w:pPr>
            <w:r>
              <w:rPr>
                <w:sz w:val="16"/>
              </w:rPr>
              <w:t>Yes, Indian BRT case studies</w:t>
            </w:r>
          </w:p>
        </w:tc>
      </w:tr>
      <w:tr>
        <w:tc>
          <w:tcPr>
            <w:tcW w:type="dxa" w:w="2494"/>
          </w:tcPr>
          <w:p>
            <w:pPr>
              <w:spacing w:after="20" w:before="20"/>
            </w:pPr>
            <w:r>
              <w:rPr>
                <w:b/>
                <w:sz w:val="16"/>
              </w:rPr>
              <w:t>Environment International</w:t>
            </w:r>
          </w:p>
        </w:tc>
        <w:tc>
          <w:tcPr>
            <w:tcW w:type="dxa" w:w="1247"/>
          </w:tcPr>
          <w:p>
            <w:pPr>
              <w:spacing w:after="20" w:before="20"/>
            </w:pPr>
            <w:r>
              <w:rPr>
                <w:sz w:val="16"/>
              </w:rPr>
              <w:t>Gold open access only</w:t>
            </w:r>
          </w:p>
        </w:tc>
        <w:tc>
          <w:tcPr>
            <w:tcW w:type="dxa" w:w="2041"/>
          </w:tcPr>
          <w:p>
            <w:pPr>
              <w:spacing w:after="20" w:before="20"/>
            </w:pPr>
            <w:r>
              <w:rPr>
                <w:sz w:val="16"/>
              </w:rPr>
              <w:t>Geo-priced, India discount tier likely</w:t>
            </w:r>
          </w:p>
        </w:tc>
        <w:tc>
          <w:tcPr>
            <w:tcW w:type="dxa" w:w="1814"/>
          </w:tcPr>
          <w:p>
            <w:pPr>
              <w:spacing w:after="20" w:before="20"/>
            </w:pPr>
            <w:r>
              <w:rPr>
                <w:sz w:val="16"/>
              </w:rPr>
              <w:t>Health science</w:t>
            </w:r>
          </w:p>
        </w:tc>
        <w:tc>
          <w:tcPr>
            <w:tcW w:type="dxa" w:w="2268"/>
          </w:tcPr>
          <w:p>
            <w:pPr>
              <w:spacing w:after="20" w:before="20"/>
            </w:pPr>
            <w:r>
              <w:rPr>
                <w:sz w:val="16"/>
              </w:rPr>
              <w:t>Not confirmed for transport health</w:t>
            </w:r>
          </w:p>
        </w:tc>
      </w:tr>
      <w:tr>
        <w:tc>
          <w:tcPr>
            <w:tcW w:type="dxa" w:w="2494"/>
          </w:tcPr>
          <w:p>
            <w:pPr>
              <w:spacing w:after="20" w:before="20"/>
            </w:pPr>
            <w:r>
              <w:rPr>
                <w:b/>
                <w:sz w:val="16"/>
              </w:rPr>
              <w:t>Journal of Urban Health</w:t>
            </w:r>
          </w:p>
        </w:tc>
        <w:tc>
          <w:tcPr>
            <w:tcW w:type="dxa" w:w="1247"/>
          </w:tcPr>
          <w:p>
            <w:pPr>
              <w:spacing w:after="20" w:before="20"/>
            </w:pPr>
            <w:r>
              <w:rPr>
                <w:sz w:val="16"/>
              </w:rPr>
              <w:t>Hybrid</w:t>
            </w:r>
          </w:p>
        </w:tc>
        <w:tc>
          <w:tcPr>
            <w:tcW w:type="dxa" w:w="2041"/>
          </w:tcPr>
          <w:p>
            <w:pPr>
              <w:spacing w:after="20" w:before="20"/>
            </w:pPr>
            <w:r>
              <w:rPr>
                <w:sz w:val="16"/>
              </w:rPr>
              <w:t>Not confirmed</w:t>
            </w:r>
          </w:p>
        </w:tc>
        <w:tc>
          <w:tcPr>
            <w:tcW w:type="dxa" w:w="1814"/>
          </w:tcPr>
          <w:p>
            <w:pPr>
              <w:spacing w:after="20" w:before="20"/>
            </w:pPr>
            <w:r>
              <w:rPr>
                <w:sz w:val="16"/>
              </w:rPr>
              <w:t>Public health</w:t>
            </w:r>
          </w:p>
        </w:tc>
        <w:tc>
          <w:tcPr>
            <w:tcW w:type="dxa" w:w="2268"/>
          </w:tcPr>
          <w:p>
            <w:pPr>
              <w:spacing w:after="20" w:before="20"/>
            </w:pPr>
            <w:r>
              <w:rPr>
                <w:sz w:val="16"/>
              </w:rPr>
              <w:t>Not confirmed</w:t>
            </w:r>
          </w:p>
        </w:tc>
      </w:tr>
      <w:tr>
        <w:tc>
          <w:tcPr>
            <w:tcW w:type="dxa" w:w="2494"/>
          </w:tcPr>
          <w:p>
            <w:pPr>
              <w:spacing w:after="20" w:before="20"/>
            </w:pPr>
            <w:r>
              <w:rPr>
                <w:b/>
                <w:sz w:val="16"/>
              </w:rPr>
              <w:t>The Lancet Planetary Health</w:t>
            </w:r>
          </w:p>
        </w:tc>
        <w:tc>
          <w:tcPr>
            <w:tcW w:type="dxa" w:w="1247"/>
          </w:tcPr>
          <w:p>
            <w:pPr>
              <w:spacing w:after="20" w:before="20"/>
            </w:pPr>
            <w:r>
              <w:rPr>
                <w:sz w:val="16"/>
              </w:rPr>
              <w:t>Gold open access only</w:t>
            </w:r>
          </w:p>
        </w:tc>
        <w:tc>
          <w:tcPr>
            <w:tcW w:type="dxa" w:w="2041"/>
          </w:tcPr>
          <w:p>
            <w:pPr>
              <w:spacing w:after="20" w:before="20"/>
            </w:pPr>
            <w:r>
              <w:rPr>
                <w:sz w:val="16"/>
              </w:rPr>
              <w:t>About USD 5,800 to 7,900, sources disagree</w:t>
            </w:r>
          </w:p>
        </w:tc>
        <w:tc>
          <w:tcPr>
            <w:tcW w:type="dxa" w:w="1814"/>
          </w:tcPr>
          <w:p>
            <w:pPr>
              <w:spacing w:after="20" w:before="20"/>
            </w:pPr>
            <w:r>
              <w:rPr>
                <w:sz w:val="16"/>
              </w:rPr>
              <w:t>High visibility, exacting</w:t>
            </w:r>
          </w:p>
        </w:tc>
        <w:tc>
          <w:tcPr>
            <w:tcW w:type="dxa" w:w="2268"/>
          </w:tcPr>
          <w:p>
            <w:pPr>
              <w:spacing w:after="20" w:before="20"/>
            </w:pPr>
            <w:r>
              <w:rPr>
                <w:sz w:val="16"/>
              </w:rPr>
              <w:t>Not confirmed</w:t>
            </w:r>
          </w:p>
        </w:tc>
      </w:tr>
      <w:tr>
        <w:tc>
          <w:tcPr>
            <w:tcW w:type="dxa" w:w="2494"/>
          </w:tcPr>
          <w:p>
            <w:pPr>
              <w:spacing w:after="20" w:before="20"/>
            </w:pPr>
            <w:r>
              <w:rPr>
                <w:b/>
                <w:sz w:val="16"/>
              </w:rPr>
              <w:t>Transportation Research Part C</w:t>
            </w:r>
          </w:p>
        </w:tc>
        <w:tc>
          <w:tcPr>
            <w:tcW w:type="dxa" w:w="1247"/>
          </w:tcPr>
          <w:p>
            <w:pPr>
              <w:spacing w:after="20" w:before="20"/>
            </w:pPr>
            <w:r>
              <w:rPr>
                <w:sz w:val="16"/>
              </w:rPr>
              <w:t>Hybrid</w:t>
            </w:r>
          </w:p>
        </w:tc>
        <w:tc>
          <w:tcPr>
            <w:tcW w:type="dxa" w:w="2041"/>
          </w:tcPr>
          <w:p>
            <w:pPr>
              <w:spacing w:after="20" w:before="20"/>
            </w:pPr>
            <w:r>
              <w:rPr>
                <w:sz w:val="16"/>
              </w:rPr>
              <w:t>About USD 3,840</w:t>
            </w:r>
          </w:p>
        </w:tc>
        <w:tc>
          <w:tcPr>
            <w:tcW w:type="dxa" w:w="1814"/>
          </w:tcPr>
          <w:p>
            <w:pPr>
              <w:spacing w:after="20" w:before="20"/>
            </w:pPr>
            <w:r>
              <w:rPr>
                <w:sz w:val="16"/>
              </w:rPr>
              <w:t>Methods</w:t>
            </w:r>
          </w:p>
        </w:tc>
        <w:tc>
          <w:tcPr>
            <w:tcW w:type="dxa" w:w="2268"/>
          </w:tcPr>
          <w:p>
            <w:pPr>
              <w:spacing w:after="20" w:before="20"/>
            </w:pPr>
            <w:r>
              <w:rPr>
                <w:sz w:val="16"/>
              </w:rPr>
              <w:t>Not confirmed</w:t>
            </w:r>
          </w:p>
        </w:tc>
      </w:tr>
      <w:tr>
        <w:tc>
          <w:tcPr>
            <w:tcW w:type="dxa" w:w="2494"/>
          </w:tcPr>
          <w:p>
            <w:pPr>
              <w:spacing w:after="20" w:before="20"/>
            </w:pPr>
            <w:r>
              <w:rPr>
                <w:b/>
                <w:sz w:val="16"/>
              </w:rPr>
              <w:t>Transportation, Springer</w:t>
            </w:r>
          </w:p>
        </w:tc>
        <w:tc>
          <w:tcPr>
            <w:tcW w:type="dxa" w:w="1247"/>
          </w:tcPr>
          <w:p>
            <w:pPr>
              <w:spacing w:after="20" w:before="20"/>
            </w:pPr>
            <w:r>
              <w:rPr>
                <w:sz w:val="16"/>
              </w:rPr>
              <w:t>Hybrid</w:t>
            </w:r>
          </w:p>
        </w:tc>
        <w:tc>
          <w:tcPr>
            <w:tcW w:type="dxa" w:w="2041"/>
          </w:tcPr>
          <w:p>
            <w:pPr>
              <w:spacing w:after="20" w:before="20"/>
            </w:pPr>
            <w:r>
              <w:rPr>
                <w:sz w:val="16"/>
              </w:rPr>
              <w:t>About USD 2,790</w:t>
            </w:r>
          </w:p>
        </w:tc>
        <w:tc>
          <w:tcPr>
            <w:tcW w:type="dxa" w:w="1814"/>
          </w:tcPr>
          <w:p>
            <w:pPr>
              <w:spacing w:after="20" w:before="20"/>
            </w:pPr>
            <w:r>
              <w:rPr>
                <w:sz w:val="16"/>
              </w:rPr>
              <w:t>Methods</w:t>
            </w:r>
          </w:p>
        </w:tc>
        <w:tc>
          <w:tcPr>
            <w:tcW w:type="dxa" w:w="2268"/>
          </w:tcPr>
          <w:p>
            <w:pPr>
              <w:spacing w:after="20" w:before="20"/>
            </w:pPr>
            <w:r>
              <w:rPr>
                <w:sz w:val="16"/>
              </w:rPr>
              <w:t>A recent GPS travel-diary paper, not India</w:t>
            </w:r>
          </w:p>
        </w:tc>
      </w:tr>
      <w:tr>
        <w:tc>
          <w:tcPr>
            <w:tcW w:type="dxa" w:w="2494"/>
          </w:tcPr>
          <w:p>
            <w:pPr>
              <w:spacing w:after="20" w:before="20"/>
            </w:pPr>
            <w:r>
              <w:rPr>
                <w:b/>
                <w:sz w:val="16"/>
              </w:rPr>
              <w:t>Transport Policy</w:t>
            </w:r>
          </w:p>
        </w:tc>
        <w:tc>
          <w:tcPr>
            <w:tcW w:type="dxa" w:w="1247"/>
          </w:tcPr>
          <w:p>
            <w:pPr>
              <w:spacing w:after="20" w:before="20"/>
            </w:pPr>
            <w:r>
              <w:rPr>
                <w:sz w:val="16"/>
              </w:rPr>
              <w:t>Hybrid</w:t>
            </w:r>
          </w:p>
        </w:tc>
        <w:tc>
          <w:tcPr>
            <w:tcW w:type="dxa" w:w="2041"/>
          </w:tcPr>
          <w:p>
            <w:pPr>
              <w:spacing w:after="20" w:before="20"/>
            </w:pPr>
            <w:r>
              <w:rPr>
                <w:sz w:val="16"/>
              </w:rPr>
              <w:t>Geo-priced</w:t>
            </w:r>
          </w:p>
        </w:tc>
        <w:tc>
          <w:tcPr>
            <w:tcW w:type="dxa" w:w="1814"/>
          </w:tcPr>
          <w:p>
            <w:pPr>
              <w:spacing w:after="20" w:before="20"/>
            </w:pPr>
            <w:r>
              <w:rPr>
                <w:sz w:val="16"/>
              </w:rPr>
              <w:t>Policy</w:t>
            </w:r>
          </w:p>
        </w:tc>
        <w:tc>
          <w:tcPr>
            <w:tcW w:type="dxa" w:w="2268"/>
          </w:tcPr>
          <w:p>
            <w:pPr>
              <w:spacing w:after="20" w:before="20"/>
            </w:pPr>
            <w:r>
              <w:rPr>
                <w:sz w:val="16"/>
              </w:rPr>
              <w:t>Not confirmed</w:t>
            </w:r>
          </w:p>
        </w:tc>
      </w:tr>
      <w:tr>
        <w:tc>
          <w:tcPr>
            <w:tcW w:type="dxa" w:w="2494"/>
          </w:tcPr>
          <w:p>
            <w:pPr>
              <w:spacing w:after="20" w:before="20"/>
            </w:pPr>
            <w:r>
              <w:rPr>
                <w:b/>
                <w:sz w:val="16"/>
              </w:rPr>
              <w:t>Research in Transportation Economics</w:t>
            </w:r>
          </w:p>
        </w:tc>
        <w:tc>
          <w:tcPr>
            <w:tcW w:type="dxa" w:w="1247"/>
          </w:tcPr>
          <w:p>
            <w:pPr>
              <w:spacing w:after="20" w:before="20"/>
            </w:pPr>
            <w:r>
              <w:rPr>
                <w:sz w:val="16"/>
              </w:rPr>
              <w:t>Gold open access</w:t>
            </w:r>
          </w:p>
        </w:tc>
        <w:tc>
          <w:tcPr>
            <w:tcW w:type="dxa" w:w="2041"/>
          </w:tcPr>
          <w:p>
            <w:pPr>
              <w:spacing w:after="20" w:before="20"/>
            </w:pPr>
            <w:r>
              <w:rPr>
                <w:sz w:val="16"/>
              </w:rPr>
              <w:t>About USD 2,490</w:t>
            </w:r>
          </w:p>
        </w:tc>
        <w:tc>
          <w:tcPr>
            <w:tcW w:type="dxa" w:w="1814"/>
          </w:tcPr>
          <w:p>
            <w:pPr>
              <w:spacing w:after="20" w:before="20"/>
            </w:pPr>
            <w:r>
              <w:rPr>
                <w:sz w:val="16"/>
              </w:rPr>
              <w:t>Economics</w:t>
            </w:r>
          </w:p>
        </w:tc>
        <w:tc>
          <w:tcPr>
            <w:tcW w:type="dxa" w:w="2268"/>
          </w:tcPr>
          <w:p>
            <w:pPr>
              <w:spacing w:after="20" w:before="20"/>
            </w:pPr>
            <w:r>
              <w:rPr>
                <w:sz w:val="16"/>
              </w:rPr>
              <w:t>Not confirmed</w:t>
            </w:r>
          </w:p>
        </w:tc>
      </w:tr>
      <w:tr>
        <w:tc>
          <w:tcPr>
            <w:tcW w:type="dxa" w:w="2494"/>
          </w:tcPr>
          <w:p>
            <w:pPr>
              <w:spacing w:after="20" w:before="20"/>
            </w:pPr>
            <w:r>
              <w:rPr>
                <w:b/>
                <w:sz w:val="16"/>
              </w:rPr>
              <w:t>Case Studies on Transport Policy</w:t>
            </w:r>
          </w:p>
        </w:tc>
        <w:tc>
          <w:tcPr>
            <w:tcW w:type="dxa" w:w="1247"/>
          </w:tcPr>
          <w:p>
            <w:pPr>
              <w:spacing w:after="20" w:before="20"/>
            </w:pPr>
            <w:r>
              <w:rPr>
                <w:sz w:val="16"/>
              </w:rPr>
              <w:t>Hybrid</w:t>
            </w:r>
          </w:p>
        </w:tc>
        <w:tc>
          <w:tcPr>
            <w:tcW w:type="dxa" w:w="2041"/>
          </w:tcPr>
          <w:p>
            <w:pPr>
              <w:spacing w:after="20" w:before="20"/>
            </w:pPr>
            <w:r>
              <w:rPr>
                <w:sz w:val="16"/>
              </w:rPr>
              <w:t>About USD 1,950, cheapest here</w:t>
            </w:r>
          </w:p>
        </w:tc>
        <w:tc>
          <w:tcPr>
            <w:tcW w:type="dxa" w:w="1814"/>
          </w:tcPr>
          <w:p>
            <w:pPr>
              <w:spacing w:after="20" w:before="20"/>
            </w:pPr>
            <w:r>
              <w:rPr>
                <w:sz w:val="16"/>
              </w:rPr>
              <w:t>Case study, developing-country friendly</w:t>
            </w:r>
          </w:p>
        </w:tc>
        <w:tc>
          <w:tcPr>
            <w:tcW w:type="dxa" w:w="2268"/>
          </w:tcPr>
          <w:p>
            <w:pPr>
              <w:spacing w:after="20" w:before="20"/>
            </w:pPr>
            <w:r>
              <w:rPr>
                <w:sz w:val="16"/>
              </w:rPr>
              <w:t>Scope favours it, specifics not retrieved</w:t>
            </w:r>
          </w:p>
        </w:tc>
      </w:tr>
      <w:tr>
        <w:tc>
          <w:tcPr>
            <w:tcW w:type="dxa" w:w="2494"/>
          </w:tcPr>
          <w:p>
            <w:pPr>
              <w:spacing w:after="20" w:before="20"/>
            </w:pPr>
            <w:r>
              <w:rPr>
                <w:b/>
                <w:sz w:val="16"/>
              </w:rPr>
              <w:t>World Development</w:t>
            </w:r>
          </w:p>
        </w:tc>
        <w:tc>
          <w:tcPr>
            <w:tcW w:type="dxa" w:w="1247"/>
          </w:tcPr>
          <w:p>
            <w:pPr>
              <w:spacing w:after="20" w:before="20"/>
            </w:pPr>
            <w:r>
              <w:rPr>
                <w:sz w:val="16"/>
              </w:rPr>
              <w:t>Hybrid</w:t>
            </w:r>
          </w:p>
        </w:tc>
        <w:tc>
          <w:tcPr>
            <w:tcW w:type="dxa" w:w="2041"/>
          </w:tcPr>
          <w:p>
            <w:pPr>
              <w:spacing w:after="20" w:before="20"/>
            </w:pPr>
            <w:r>
              <w:rPr>
                <w:sz w:val="16"/>
              </w:rPr>
              <w:t>Geo-priced</w:t>
            </w:r>
          </w:p>
        </w:tc>
        <w:tc>
          <w:tcPr>
            <w:tcW w:type="dxa" w:w="1814"/>
          </w:tcPr>
          <w:p>
            <w:pPr>
              <w:spacing w:after="20" w:before="20"/>
            </w:pPr>
            <w:r>
              <w:rPr>
                <w:sz w:val="16"/>
              </w:rPr>
              <w:t>Development economics</w:t>
            </w:r>
          </w:p>
        </w:tc>
        <w:tc>
          <w:tcPr>
            <w:tcW w:type="dxa" w:w="2268"/>
          </w:tcPr>
          <w:p>
            <w:pPr>
              <w:spacing w:after="20" w:before="20"/>
            </w:pPr>
            <w:r>
              <w:rPr>
                <w:sz w:val="16"/>
              </w:rPr>
              <w:t>Not confirmed</w:t>
            </w:r>
          </w:p>
        </w:tc>
      </w:tr>
    </w:tbl>
    <w:p>
      <w:pPr>
        <w:spacing w:after="40"/>
      </w:pPr>
    </w:p>
    <w:p>
      <w:pPr>
        <w:spacing w:after="100"/>
      </w:pPr>
      <w:r>
        <w:rPr>
          <w:i/>
          <w:color w:val="555555"/>
          <w:sz w:val="20"/>
        </w:rPr>
        <w:t>Time to first decision could not be established for any of these. Check each journal’s own insights page before committing, because it varies from weeks to many months and it matters for the project timeline.</w:t>
      </w:r>
    </w:p>
    <w:p>
      <w:pPr>
        <w:spacing w:before="280" w:after="80"/>
        <w:pBdr>
          <w:bottom w:val="single" w:sz="6" w:space="3" w:color="006D77"/>
        </w:pBdr>
      </w:pPr>
      <w:r>
        <w:rPr>
          <w:b/>
          <w:color w:val="006D77"/>
          <w:sz w:val="26"/>
        </w:rPr>
        <w:t>4. Sequencing the four papers</w:t>
      </w:r>
    </w:p>
    <w:tbl>
      <w:tblPr>
        <w:tblStyle w:val="TableGrid"/>
        <w:tblW w:type="auto" w:w="0"/>
        <w:jc w:val="center"/>
        <w:tblLook w:firstColumn="1" w:firstRow="1" w:lastColumn="0" w:lastRow="0" w:noHBand="0" w:noVBand="1" w:val="04A0"/>
      </w:tblPr>
      <w:tblGrid>
        <w:gridCol w:w="3362"/>
        <w:gridCol w:w="3362"/>
        <w:gridCol w:w="3362"/>
      </w:tblGrid>
      <w:tr>
        <w:tc>
          <w:tcPr>
            <w:tcW w:type="dxa" w:w="907"/>
            <w:shd w:val="clear" w:color="auto" w:fill="E8F2F2"/>
          </w:tcPr>
          <w:p>
            <w:pPr>
              <w:spacing w:after="20" w:before="20"/>
            </w:pPr>
            <w:r>
              <w:rPr>
                <w:b/>
                <w:color w:val="006D77"/>
                <w:sz w:val="16"/>
              </w:rPr>
              <w:t>Order</w:t>
            </w:r>
          </w:p>
        </w:tc>
        <w:tc>
          <w:tcPr>
            <w:tcW w:type="dxa" w:w="2494"/>
            <w:shd w:val="clear" w:color="auto" w:fill="E8F2F2"/>
          </w:tcPr>
          <w:p>
            <w:pPr>
              <w:spacing w:after="20" w:before="20"/>
            </w:pPr>
            <w:r>
              <w:rPr>
                <w:b/>
                <w:color w:val="006D77"/>
                <w:sz w:val="16"/>
              </w:rPr>
              <w:t>Paper</w:t>
            </w:r>
          </w:p>
        </w:tc>
        <w:tc>
          <w:tcPr>
            <w:tcW w:type="dxa" w:w="6350"/>
            <w:shd w:val="clear" w:color="auto" w:fill="E8F2F2"/>
          </w:tcPr>
          <w:p>
            <w:pPr>
              <w:spacing w:after="20" w:before="20"/>
            </w:pPr>
            <w:r>
              <w:rPr>
                <w:b/>
                <w:color w:val="006D77"/>
                <w:sz w:val="16"/>
              </w:rPr>
              <w:t>Why this order</w:t>
            </w:r>
          </w:p>
        </w:tc>
      </w:tr>
      <w:tr>
        <w:tc>
          <w:tcPr>
            <w:tcW w:type="dxa" w:w="907"/>
          </w:tcPr>
          <w:p>
            <w:pPr>
              <w:spacing w:after="20" w:before="20"/>
            </w:pPr>
            <w:r>
              <w:rPr>
                <w:b/>
                <w:sz w:val="16"/>
              </w:rPr>
              <w:t>1</w:t>
            </w:r>
          </w:p>
        </w:tc>
        <w:tc>
          <w:tcPr>
            <w:tcW w:type="dxa" w:w="2494"/>
          </w:tcPr>
          <w:p>
            <w:pPr>
              <w:spacing w:after="20" w:before="20"/>
            </w:pPr>
            <w:r>
              <w:rPr>
                <w:sz w:val="16"/>
              </w:rPr>
              <w:t>Paper 3, the data method</w:t>
            </w:r>
          </w:p>
        </w:tc>
        <w:tc>
          <w:tcPr>
            <w:tcW w:type="dxa" w:w="6350"/>
          </w:tcPr>
          <w:p>
            <w:pPr>
              <w:spacing w:after="20" w:before="20"/>
            </w:pPr>
            <w:r>
              <w:rPr>
                <w:sz w:val="16"/>
              </w:rPr>
              <w:t>It can be written from the passive data and a pilot alone, before the main survey completes. It establishes the method the other papers rely on, so it should be in review first</w:t>
            </w:r>
          </w:p>
        </w:tc>
      </w:tr>
      <w:tr>
        <w:tc>
          <w:tcPr>
            <w:tcW w:type="dxa" w:w="907"/>
          </w:tcPr>
          <w:p>
            <w:pPr>
              <w:spacing w:after="20" w:before="20"/>
            </w:pPr>
            <w:r>
              <w:rPr>
                <w:b/>
                <w:sz w:val="16"/>
              </w:rPr>
              <w:t>2</w:t>
            </w:r>
          </w:p>
        </w:tc>
        <w:tc>
          <w:tcPr>
            <w:tcW w:type="dxa" w:w="2494"/>
          </w:tcPr>
          <w:p>
            <w:pPr>
              <w:spacing w:after="20" w:before="20"/>
            </w:pPr>
            <w:r>
              <w:rPr>
                <w:sz w:val="16"/>
              </w:rPr>
              <w:t>Paper 1, socio-economic</w:t>
            </w:r>
          </w:p>
        </w:tc>
        <w:tc>
          <w:tcPr>
            <w:tcW w:type="dxa" w:w="6350"/>
          </w:tcPr>
          <w:p>
            <w:pPr>
              <w:spacing w:after="20" w:before="20"/>
            </w:pPr>
            <w:r>
              <w:rPr>
                <w:sz w:val="16"/>
              </w:rPr>
              <w:t>Group A cross-section can be analysed as soon as the first wave lands. It does not wait for Group B follow-up</w:t>
            </w:r>
          </w:p>
        </w:tc>
      </w:tr>
      <w:tr>
        <w:tc>
          <w:tcPr>
            <w:tcW w:type="dxa" w:w="907"/>
          </w:tcPr>
          <w:p>
            <w:pPr>
              <w:spacing w:after="20" w:before="20"/>
            </w:pPr>
            <w:r>
              <w:rPr>
                <w:b/>
                <w:sz w:val="16"/>
              </w:rPr>
              <w:t>3</w:t>
            </w:r>
          </w:p>
        </w:tc>
        <w:tc>
          <w:tcPr>
            <w:tcW w:type="dxa" w:w="2494"/>
          </w:tcPr>
          <w:p>
            <w:pPr>
              <w:spacing w:after="20" w:before="20"/>
            </w:pPr>
            <w:r>
              <w:rPr>
                <w:sz w:val="16"/>
              </w:rPr>
              <w:t>Paper 2, health</w:t>
            </w:r>
          </w:p>
        </w:tc>
        <w:tc>
          <w:tcPr>
            <w:tcW w:type="dxa" w:w="6350"/>
          </w:tcPr>
          <w:p>
            <w:pPr>
              <w:spacing w:after="20" w:before="20"/>
            </w:pPr>
            <w:r>
              <w:rPr>
                <w:sz w:val="16"/>
              </w:rPr>
              <w:t>Needs the same survey plus injury and mortality data assembly. WHO HEAT results can support an earlier policy brief while the full model is built</w:t>
            </w:r>
          </w:p>
        </w:tc>
      </w:tr>
      <w:tr>
        <w:tc>
          <w:tcPr>
            <w:tcW w:type="dxa" w:w="907"/>
          </w:tcPr>
          <w:p>
            <w:pPr>
              <w:spacing w:after="20" w:before="20"/>
            </w:pPr>
            <w:r>
              <w:rPr>
                <w:b/>
                <w:sz w:val="16"/>
              </w:rPr>
              <w:t>4</w:t>
            </w:r>
          </w:p>
        </w:tc>
        <w:tc>
          <w:tcPr>
            <w:tcW w:type="dxa" w:w="2494"/>
          </w:tcPr>
          <w:p>
            <w:pPr>
              <w:spacing w:after="20" w:before="20"/>
            </w:pPr>
            <w:r>
              <w:rPr>
                <w:sz w:val="16"/>
              </w:rPr>
              <w:t>Paper 4, integration</w:t>
            </w:r>
          </w:p>
        </w:tc>
        <w:tc>
          <w:tcPr>
            <w:tcW w:type="dxa" w:w="6350"/>
          </w:tcPr>
          <w:p>
            <w:pPr>
              <w:spacing w:after="20" w:before="20"/>
            </w:pPr>
            <w:r>
              <w:rPr>
                <w:sz w:val="16"/>
              </w:rPr>
              <w:t>Requires all four models, so it comes last. It is also the one most likely to become the flagship, so it benefits from the earlier papers being citable</w:t>
            </w:r>
          </w:p>
        </w:tc>
      </w:tr>
    </w:tbl>
    <w:p>
      <w:pPr>
        <w:spacing w:after="40"/>
      </w:pPr>
    </w:p>
    <w:p>
      <w:pPr>
        <w:spacing w:before="280" w:after="80"/>
        <w:pBdr>
          <w:bottom w:val="single" w:sz="6" w:space="3" w:color="006D77"/>
        </w:pBdr>
      </w:pPr>
      <w:r>
        <w:rPr>
          <w:b/>
          <w:color w:val="006D77"/>
          <w:sz w:val="26"/>
        </w:rPr>
        <w:t>5. Before any of this is acted on</w:t>
      </w:r>
    </w:p>
    <w:tbl>
      <w:tblPr>
        <w:tblStyle w:val="TableGrid"/>
        <w:tblW w:type="auto" w:w="0"/>
        <w:jc w:val="center"/>
        <w:tblLook w:firstColumn="1" w:firstRow="1" w:lastColumn="0" w:lastRow="0" w:noHBand="0" w:noVBand="1" w:val="04A0"/>
      </w:tblPr>
      <w:tblGrid>
        <w:gridCol w:w="5043"/>
        <w:gridCol w:w="5043"/>
      </w:tblGrid>
      <w:tr>
        <w:tc>
          <w:tcPr>
            <w:tcW w:type="dxa" w:w="3628"/>
            <w:shd w:val="clear" w:color="auto" w:fill="E8F2F2"/>
          </w:tcPr>
          <w:p>
            <w:pPr>
              <w:spacing w:after="20" w:before="20"/>
            </w:pPr>
            <w:r>
              <w:rPr>
                <w:b/>
                <w:color w:val="006D77"/>
                <w:sz w:val="16"/>
              </w:rPr>
              <w:t>Check</w:t>
            </w:r>
          </w:p>
        </w:tc>
        <w:tc>
          <w:tcPr>
            <w:tcW w:type="dxa" w:w="6123"/>
            <w:shd w:val="clear" w:color="auto" w:fill="E8F2F2"/>
          </w:tcPr>
          <w:p>
            <w:pPr>
              <w:spacing w:after="20" w:before="20"/>
            </w:pPr>
            <w:r>
              <w:rPr>
                <w:b/>
                <w:color w:val="006D77"/>
                <w:sz w:val="16"/>
              </w:rPr>
              <w:t>Why</w:t>
            </w:r>
          </w:p>
        </w:tc>
      </w:tr>
      <w:tr>
        <w:tc>
          <w:tcPr>
            <w:tcW w:type="dxa" w:w="3628"/>
          </w:tcPr>
          <w:p>
            <w:pPr>
              <w:spacing w:after="20" w:before="20"/>
            </w:pPr>
            <w:r>
              <w:rPr>
                <w:b/>
                <w:sz w:val="16"/>
              </w:rPr>
              <w:t>Open Scimago for every journal on the shortlist</w:t>
            </w:r>
          </w:p>
        </w:tc>
        <w:tc>
          <w:tcPr>
            <w:tcW w:type="dxa" w:w="6123"/>
          </w:tcPr>
          <w:p>
            <w:pPr>
              <w:spacing w:after="20" w:before="20"/>
            </w:pPr>
            <w:r>
              <w:rPr>
                <w:sz w:val="16"/>
              </w:rPr>
              <w:t>No quartile in this document was read directly from Scimago. Confirm the quartile, the category and the year</w:t>
            </w:r>
          </w:p>
        </w:tc>
      </w:tr>
      <w:tr>
        <w:tc>
          <w:tcPr>
            <w:tcW w:type="dxa" w:w="3628"/>
          </w:tcPr>
          <w:p>
            <w:pPr>
              <w:spacing w:after="20" w:before="20"/>
            </w:pPr>
            <w:r>
              <w:rPr>
                <w:b/>
                <w:sz w:val="16"/>
              </w:rPr>
              <w:t>Confirm the Journal of Transport and Health position</w:t>
            </w:r>
          </w:p>
        </w:tc>
        <w:tc>
          <w:tcPr>
            <w:tcW w:type="dxa" w:w="6123"/>
          </w:tcPr>
          <w:p>
            <w:pPr>
              <w:spacing w:after="20" w:before="20"/>
            </w:pPr>
            <w:r>
              <w:rPr>
                <w:sz w:val="16"/>
              </w:rPr>
              <w:t>It is the natural home for the health paper but appears to be Q2. If the Q1 requirement is firm, the target changes</w:t>
            </w:r>
          </w:p>
        </w:tc>
      </w:tr>
      <w:tr>
        <w:tc>
          <w:tcPr>
            <w:tcW w:type="dxa" w:w="3628"/>
          </w:tcPr>
          <w:p>
            <w:pPr>
              <w:spacing w:after="20" w:before="20"/>
            </w:pPr>
            <w:r>
              <w:rPr>
                <w:b/>
                <w:sz w:val="16"/>
              </w:rPr>
              <w:t>Resolve the Journal of Transport Economics and Policy quartile</w:t>
            </w:r>
          </w:p>
        </w:tc>
        <w:tc>
          <w:tcPr>
            <w:tcW w:type="dxa" w:w="6123"/>
          </w:tcPr>
          <w:p>
            <w:pPr>
              <w:spacing w:after="20" w:before="20"/>
            </w:pPr>
            <w:r>
              <w:rPr>
                <w:sz w:val="16"/>
              </w:rPr>
              <w:t>Sources conflict between Q2 and Q3</w:t>
            </w:r>
          </w:p>
        </w:tc>
      </w:tr>
      <w:tr>
        <w:tc>
          <w:tcPr>
            <w:tcW w:type="dxa" w:w="3628"/>
          </w:tcPr>
          <w:p>
            <w:pPr>
              <w:spacing w:after="20" w:before="20"/>
            </w:pPr>
            <w:r>
              <w:rPr>
                <w:b/>
                <w:sz w:val="16"/>
              </w:rPr>
              <w:t>Check article charges against the project budget</w:t>
            </w:r>
          </w:p>
        </w:tc>
        <w:tc>
          <w:tcPr>
            <w:tcW w:type="dxa" w:w="6123"/>
          </w:tcPr>
          <w:p>
            <w:pPr>
              <w:spacing w:after="20" w:before="20"/>
            </w:pPr>
            <w:r>
              <w:rPr>
                <w:sz w:val="16"/>
              </w:rPr>
              <w:t>Two of the strongest health targets are gold open access only, which means the charge is unavoidable rather than optional</w:t>
            </w:r>
          </w:p>
        </w:tc>
      </w:tr>
      <w:tr>
        <w:tc>
          <w:tcPr>
            <w:tcW w:type="dxa" w:w="3628"/>
          </w:tcPr>
          <w:p>
            <w:pPr>
              <w:spacing w:after="20" w:before="20"/>
            </w:pPr>
            <w:r>
              <w:rPr>
                <w:b/>
                <w:sz w:val="16"/>
              </w:rPr>
              <w:t>Check co-authorship and data-sharing terms</w:t>
            </w:r>
          </w:p>
        </w:tc>
        <w:tc>
          <w:tcPr>
            <w:tcW w:type="dxa" w:w="6123"/>
          </w:tcPr>
          <w:p>
            <w:pPr>
              <w:spacing w:after="20" w:before="20"/>
            </w:pPr>
            <w:r>
              <w:rPr>
                <w:sz w:val="16"/>
              </w:rPr>
              <w:t>Several target journals require a data availability statement. Passive GPS data licensing may restrict what can be shared, and that needs settling before submission, not after</w:t>
            </w:r>
          </w:p>
        </w:tc>
      </w:tr>
    </w:tbl>
    <w:p>
      <w:pPr>
        <w:spacing w:after="40"/>
      </w:pPr>
    </w:p>
    <w:sectPr w:rsidR="00FC693F" w:rsidRPr="0006063C" w:rsidSect="00034616">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