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6"/>
        </w:rPr>
        <w:t>#BBUS model outputs</w:t>
      </w:r>
    </w:p>
    <w:p>
      <w:pPr>
        <w:spacing w:after="160"/>
      </w:pPr>
      <w:r>
        <w:rPr>
          <w:i/>
          <w:color w:val="555555"/>
          <w:sz w:val="18"/>
        </w:rPr>
        <w:t>What each model produces, with the equation that produces it and a worked example of the output table  ·  CEEW  ·  September 2026</w:t>
      </w:r>
    </w:p>
    <w:tbl>
      <w:tblPr>
        <w:tblStyle w:val="TableGrid"/>
        <w:tblW w:type="auto" w:w="0"/>
        <w:tblLook w:firstColumn="1" w:firstRow="1" w:lastColumn="0" w:lastRow="0" w:noHBand="0" w:noVBand="1" w:val="04A0"/>
      </w:tblPr>
      <w:tblGrid>
        <w:gridCol w:w="10086"/>
      </w:tblGrid>
      <w:tr>
        <w:tc>
          <w:tcPr>
            <w:tcW w:type="dxa" w:w="9751"/>
            <w:shd w:val="clear" w:color="auto" w:fill="FBEAEA"/>
          </w:tcPr>
          <w:p>
            <w:pPr>
              <w:spacing w:after="40"/>
            </w:pPr>
            <w:r>
              <w:rPr>
                <w:b/>
                <w:color w:val="992222"/>
                <w:sz w:val="20"/>
              </w:rPr>
              <w:t>Every number in this document is invented</w:t>
            </w:r>
          </w:p>
          <w:p>
            <w:pPr>
              <w:spacing w:after="20"/>
            </w:pPr>
            <w:r>
              <w:rPr>
                <w:sz w:val="19"/>
              </w:rPr>
              <w:t>The tables below are format mock-ups. They exist so the team, and anyone being briefed, can see the shape of the result before the data is collected. No figure here is an estimate, a forecast or a finding, and none is drawn from any real dataset. Every illustrative table is shaded amber and carries a red tag. Do not lift a number from this document into a presentation, a proposal or a report.</w:t>
            </w:r>
          </w:p>
        </w:tc>
      </w:tr>
    </w:tbl>
    <w:p>
      <w:pPr>
        <w:spacing w:after="60"/>
      </w:pPr>
    </w:p>
    <w:p>
      <w:pPr>
        <w:spacing w:before="280" w:after="80"/>
        <w:pBdr>
          <w:bottom w:val="single" w:sz="6" w:space="3" w:color="006D77"/>
        </w:pBdr>
      </w:pPr>
      <w:r>
        <w:rPr>
          <w:b/>
          <w:color w:val="006D77"/>
          <w:sz w:val="26"/>
        </w:rPr>
        <w:t>M1  Socio-economic co-benefits</w:t>
      </w:r>
    </w:p>
    <w:p>
      <w:pPr>
        <w:spacing w:before="200" w:after="40"/>
      </w:pPr>
      <w:r>
        <w:rPr>
          <w:b/>
          <w:color w:val="1A1A1A"/>
          <w:sz w:val="22"/>
        </w:rPr>
        <w:t>What is estimated</w:t>
      </w:r>
    </w:p>
    <w:p>
      <w:pPr>
        <w:spacing w:after="100"/>
      </w:pPr>
      <w:r>
        <w:rPr>
          <w:b w:val="0"/>
          <w:i w:val="0"/>
          <w:color w:val="1A1A1A"/>
          <w:sz w:val="20"/>
        </w:rPr>
        <w:t>Group A, cross-section with rich controls. Bus access is a binary indicator for living within a 500 metre walkshed of an operational stop.</w:t>
      </w:r>
    </w:p>
    <w:p>
      <w:pPr>
        <w:spacing w:before="80" w:after="100"/>
        <w:ind w:left="340"/>
      </w:pPr>
      <w:r>
        <w:rPr>
          <w:rFonts w:ascii="Consolas" w:hAnsi="Consolas" w:eastAsia="Consolas"/>
          <w:color w:val="224466"/>
          <w:sz w:val="18"/>
        </w:rPr>
        <w:t>Y_i  =  α  +  β₁·BusAccess_i  +  β₂·VI_i  +  β₃·(BusAccess_i × VI_i)  +  γ′X_i  +  δ_city  +  ε_i</w:t>
      </w:r>
    </w:p>
    <w:p>
      <w:pPr>
        <w:spacing w:after="100"/>
      </w:pPr>
      <w:r>
        <w:rPr>
          <w:b w:val="0"/>
          <w:i w:val="0"/>
          <w:color w:val="1A1A1A"/>
          <w:sz w:val="20"/>
        </w:rPr>
        <w:t>Group B, two-wave panel difference-in-differences. Post is the wave after buses begin operating.</w:t>
      </w:r>
    </w:p>
    <w:p>
      <w:pPr>
        <w:spacing w:before="80" w:after="100"/>
        <w:ind w:left="340"/>
      </w:pPr>
      <w:r>
        <w:rPr>
          <w:rFonts w:ascii="Consolas" w:hAnsi="Consolas" w:eastAsia="Consolas"/>
          <w:color w:val="224466"/>
          <w:sz w:val="18"/>
        </w:rPr>
        <w:t>Y_it =  α  +  β₁·Post_t  +  β₂·(Post_t × BusAccess_i)  +  β₃·(Post_t × BusAccess_i × VI_i)  +  γ′X_it  +  μ_i  +  ε_it</w:t>
      </w:r>
    </w:p>
    <w:p>
      <w:pPr>
        <w:spacing w:after="100"/>
      </w:pPr>
      <w:r>
        <w:rPr>
          <w:b w:val="0"/>
          <w:i w:val="0"/>
          <w:color w:val="1A1A1A"/>
          <w:sz w:val="20"/>
        </w:rPr>
        <w:t>β₂ is the average treatment effect on the treated. β₃ is the differential effect along the vulnerability index, which is the equity coefficient. Standard errors clustered at ward level throughout.</w:t>
      </w:r>
    </w:p>
    <w:p>
      <w:pPr>
        <w:spacing w:before="200" w:after="40"/>
      </w:pPr>
      <w:r>
        <w:rPr>
          <w:b/>
          <w:color w:val="1A1A1A"/>
          <w:sz w:val="22"/>
        </w:rPr>
        <w:t>Output 1: the main regression table</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381"/>
            <w:shd w:val="clear" w:color="auto" w:fill="F5E3C3"/>
          </w:tcPr>
          <w:p>
            <w:pPr>
              <w:spacing w:after="20" w:before="20"/>
            </w:pPr>
            <w:r>
              <w:rPr>
                <w:b/>
                <w:sz w:val="16"/>
              </w:rPr>
            </w:r>
          </w:p>
        </w:tc>
        <w:tc>
          <w:tcPr>
            <w:tcW w:type="dxa" w:w="1928"/>
            <w:shd w:val="clear" w:color="auto" w:fill="F5E3C3"/>
          </w:tcPr>
          <w:p>
            <w:pPr>
              <w:spacing w:after="20" w:before="20"/>
            </w:pPr>
            <w:r>
              <w:rPr>
                <w:b/>
                <w:sz w:val="16"/>
              </w:rPr>
              <w:t>(1)</w:t>
              <w:br/>
              <w:t>Transport spend</w:t>
              <w:br/>
              <w:t>Rs/month</w:t>
            </w:r>
          </w:p>
        </w:tc>
        <w:tc>
          <w:tcPr>
            <w:tcW w:type="dxa" w:w="1757"/>
            <w:shd w:val="clear" w:color="auto" w:fill="F5E3C3"/>
          </w:tcPr>
          <w:p>
            <w:pPr>
              <w:spacing w:after="20" w:before="20"/>
            </w:pPr>
            <w:r>
              <w:rPr>
                <w:b/>
                <w:sz w:val="16"/>
              </w:rPr>
              <w:t>(2)</w:t>
              <w:br/>
              <w:t>Employed</w:t>
              <w:br/>
              <w:t>0/1</w:t>
            </w:r>
          </w:p>
        </w:tc>
        <w:tc>
          <w:tcPr>
            <w:tcW w:type="dxa" w:w="1757"/>
            <w:shd w:val="clear" w:color="auto" w:fill="F5E3C3"/>
          </w:tcPr>
          <w:p>
            <w:pPr>
              <w:spacing w:after="20" w:before="20"/>
            </w:pPr>
            <w:r>
              <w:rPr>
                <w:b/>
                <w:sz w:val="16"/>
              </w:rPr>
              <w:t>(3)</w:t>
              <w:br/>
              <w:t>Female employed</w:t>
              <w:br/>
              <w:t>0/1</w:t>
            </w:r>
          </w:p>
        </w:tc>
        <w:tc>
          <w:tcPr>
            <w:tcW w:type="dxa" w:w="1814"/>
            <w:shd w:val="clear" w:color="auto" w:fill="F5E3C3"/>
          </w:tcPr>
          <w:p>
            <w:pPr>
              <w:spacing w:after="20" w:before="20"/>
            </w:pPr>
            <w:r>
              <w:rPr>
                <w:b/>
                <w:sz w:val="16"/>
              </w:rPr>
              <w:t>(4)</w:t>
              <w:br/>
              <w:t>Women’s trips</w:t>
              <w:br/>
              <w:t>count/day</w:t>
            </w:r>
          </w:p>
        </w:tc>
      </w:tr>
      <w:tr>
        <w:tc>
          <w:tcPr>
            <w:tcW w:type="dxa" w:w="2381"/>
            <w:shd w:val="clear" w:color="auto" w:fill="FFF6E5"/>
          </w:tcPr>
          <w:p>
            <w:pPr>
              <w:spacing w:after="20" w:before="20"/>
            </w:pPr>
            <w:r>
              <w:rPr>
                <w:b/>
                <w:sz w:val="16"/>
              </w:rPr>
              <w:t>Bus access (β₁)</w:t>
            </w:r>
          </w:p>
        </w:tc>
        <w:tc>
          <w:tcPr>
            <w:tcW w:type="dxa" w:w="1928"/>
            <w:shd w:val="clear" w:color="auto" w:fill="FFF6E5"/>
          </w:tcPr>
          <w:p>
            <w:pPr>
              <w:spacing w:after="20" w:before="20"/>
            </w:pPr>
            <w:r>
              <w:rPr>
                <w:sz w:val="16"/>
              </w:rPr>
              <w:t>−214***</w:t>
              <w:br/>
              <w:t>(62)</w:t>
            </w:r>
          </w:p>
        </w:tc>
        <w:tc>
          <w:tcPr>
            <w:tcW w:type="dxa" w:w="1757"/>
            <w:shd w:val="clear" w:color="auto" w:fill="FFF6E5"/>
          </w:tcPr>
          <w:p>
            <w:pPr>
              <w:spacing w:after="20" w:before="20"/>
            </w:pPr>
            <w:r>
              <w:rPr>
                <w:sz w:val="16"/>
              </w:rPr>
              <w:t>0.031*</w:t>
              <w:br/>
              <w:t>(0.018)</w:t>
            </w:r>
          </w:p>
        </w:tc>
        <w:tc>
          <w:tcPr>
            <w:tcW w:type="dxa" w:w="1757"/>
            <w:shd w:val="clear" w:color="auto" w:fill="FFF6E5"/>
          </w:tcPr>
          <w:p>
            <w:pPr>
              <w:spacing w:after="20" w:before="20"/>
            </w:pPr>
            <w:r>
              <w:rPr>
                <w:sz w:val="16"/>
              </w:rPr>
              <w:t>0.048**</w:t>
              <w:br/>
              <w:t>(0.021)</w:t>
            </w:r>
          </w:p>
        </w:tc>
        <w:tc>
          <w:tcPr>
            <w:tcW w:type="dxa" w:w="1814"/>
            <w:shd w:val="clear" w:color="auto" w:fill="FFF6E5"/>
          </w:tcPr>
          <w:p>
            <w:pPr>
              <w:spacing w:after="20" w:before="20"/>
            </w:pPr>
            <w:r>
              <w:rPr>
                <w:sz w:val="16"/>
              </w:rPr>
              <w:t>0.29***</w:t>
              <w:br/>
              <w:t>(0.09)</w:t>
            </w:r>
          </w:p>
        </w:tc>
      </w:tr>
      <w:tr>
        <w:tc>
          <w:tcPr>
            <w:tcW w:type="dxa" w:w="2381"/>
            <w:shd w:val="clear" w:color="auto" w:fill="FFF6E5"/>
          </w:tcPr>
          <w:p>
            <w:pPr>
              <w:spacing w:after="20" w:before="20"/>
            </w:pPr>
            <w:r>
              <w:rPr>
                <w:b/>
                <w:sz w:val="16"/>
              </w:rPr>
              <w:t>Vulnerability index (β₂)</w:t>
            </w:r>
          </w:p>
        </w:tc>
        <w:tc>
          <w:tcPr>
            <w:tcW w:type="dxa" w:w="1928"/>
            <w:shd w:val="clear" w:color="auto" w:fill="FFF6E5"/>
          </w:tcPr>
          <w:p>
            <w:pPr>
              <w:spacing w:after="20" w:before="20"/>
            </w:pPr>
            <w:r>
              <w:rPr>
                <w:sz w:val="16"/>
              </w:rPr>
              <w:t>−388***</w:t>
              <w:br/>
              <w:t>(74)</w:t>
            </w:r>
          </w:p>
        </w:tc>
        <w:tc>
          <w:tcPr>
            <w:tcW w:type="dxa" w:w="1757"/>
            <w:shd w:val="clear" w:color="auto" w:fill="FFF6E5"/>
          </w:tcPr>
          <w:p>
            <w:pPr>
              <w:spacing w:after="20" w:before="20"/>
            </w:pPr>
            <w:r>
              <w:rPr>
                <w:sz w:val="16"/>
              </w:rPr>
              <w:t>−0.142***</w:t>
              <w:br/>
              <w:t>(0.024)</w:t>
            </w:r>
          </w:p>
        </w:tc>
        <w:tc>
          <w:tcPr>
            <w:tcW w:type="dxa" w:w="1757"/>
            <w:shd w:val="clear" w:color="auto" w:fill="FFF6E5"/>
          </w:tcPr>
          <w:p>
            <w:pPr>
              <w:spacing w:after="20" w:before="20"/>
            </w:pPr>
            <w:r>
              <w:rPr>
                <w:sz w:val="16"/>
              </w:rPr>
              <w:t>−0.196***</w:t>
              <w:br/>
              <w:t>(0.028)</w:t>
            </w:r>
          </w:p>
        </w:tc>
        <w:tc>
          <w:tcPr>
            <w:tcW w:type="dxa" w:w="1814"/>
            <w:shd w:val="clear" w:color="auto" w:fill="FFF6E5"/>
          </w:tcPr>
          <w:p>
            <w:pPr>
              <w:spacing w:after="20" w:before="20"/>
            </w:pPr>
            <w:r>
              <w:rPr>
                <w:sz w:val="16"/>
              </w:rPr>
              <w:t>−0.44***</w:t>
              <w:br/>
              <w:t>(0.11)</w:t>
            </w:r>
          </w:p>
        </w:tc>
      </w:tr>
      <w:tr>
        <w:tc>
          <w:tcPr>
            <w:tcW w:type="dxa" w:w="2381"/>
            <w:shd w:val="clear" w:color="auto" w:fill="FFF6E5"/>
          </w:tcPr>
          <w:p>
            <w:pPr>
              <w:spacing w:after="20" w:before="20"/>
            </w:pPr>
            <w:r>
              <w:rPr>
                <w:b/>
                <w:sz w:val="16"/>
              </w:rPr>
              <w:t>Bus access × VI (β₃)</w:t>
            </w:r>
          </w:p>
        </w:tc>
        <w:tc>
          <w:tcPr>
            <w:tcW w:type="dxa" w:w="1928"/>
            <w:shd w:val="clear" w:color="auto" w:fill="FFF6E5"/>
          </w:tcPr>
          <w:p>
            <w:pPr>
              <w:spacing w:after="20" w:before="20"/>
            </w:pPr>
            <w:r>
              <w:rPr>
                <w:sz w:val="16"/>
              </w:rPr>
              <w:t>−96</w:t>
              <w:br/>
              <w:t>(88)</w:t>
            </w:r>
          </w:p>
        </w:tc>
        <w:tc>
          <w:tcPr>
            <w:tcW w:type="dxa" w:w="1757"/>
            <w:shd w:val="clear" w:color="auto" w:fill="FFF6E5"/>
          </w:tcPr>
          <w:p>
            <w:pPr>
              <w:spacing w:after="20" w:before="20"/>
            </w:pPr>
            <w:r>
              <w:rPr>
                <w:sz w:val="16"/>
              </w:rPr>
              <w:t>0.022</w:t>
              <w:br/>
              <w:t>(0.026)</w:t>
            </w:r>
          </w:p>
        </w:tc>
        <w:tc>
          <w:tcPr>
            <w:tcW w:type="dxa" w:w="1757"/>
            <w:shd w:val="clear" w:color="auto" w:fill="FFF6E5"/>
          </w:tcPr>
          <w:p>
            <w:pPr>
              <w:spacing w:after="20" w:before="20"/>
            </w:pPr>
            <w:r>
              <w:rPr>
                <w:sz w:val="16"/>
              </w:rPr>
              <w:t>0.041</w:t>
              <w:br/>
              <w:t>(0.031)</w:t>
            </w:r>
          </w:p>
        </w:tc>
        <w:tc>
          <w:tcPr>
            <w:tcW w:type="dxa" w:w="1814"/>
            <w:shd w:val="clear" w:color="auto" w:fill="FFF6E5"/>
          </w:tcPr>
          <w:p>
            <w:pPr>
              <w:spacing w:after="20" w:before="20"/>
            </w:pPr>
            <w:r>
              <w:rPr>
                <w:sz w:val="16"/>
              </w:rPr>
              <w:t>0.18</w:t>
              <w:br/>
              <w:t>(0.13)</w:t>
            </w:r>
          </w:p>
        </w:tc>
      </w:tr>
      <w:tr>
        <w:tc>
          <w:tcPr>
            <w:tcW w:type="dxa" w:w="2381"/>
            <w:shd w:val="clear" w:color="auto" w:fill="FFF6E5"/>
          </w:tcPr>
          <w:p>
            <w:pPr>
              <w:spacing w:after="20" w:before="20"/>
            </w:pPr>
            <w:r>
              <w:rPr>
                <w:b/>
                <w:sz w:val="16"/>
              </w:rPr>
              <w:t>Household controls</w:t>
            </w:r>
          </w:p>
        </w:tc>
        <w:tc>
          <w:tcPr>
            <w:tcW w:type="dxa" w:w="1928"/>
            <w:shd w:val="clear" w:color="auto" w:fill="FFF6E5"/>
          </w:tcPr>
          <w:p>
            <w:pPr>
              <w:spacing w:after="20" w:before="20"/>
            </w:pPr>
            <w:r>
              <w:rPr>
                <w:sz w:val="16"/>
              </w:rPr>
              <w:t>Yes</w:t>
            </w:r>
          </w:p>
        </w:tc>
        <w:tc>
          <w:tcPr>
            <w:tcW w:type="dxa" w:w="1757"/>
            <w:shd w:val="clear" w:color="auto" w:fill="FFF6E5"/>
          </w:tcPr>
          <w:p>
            <w:pPr>
              <w:spacing w:after="20" w:before="20"/>
            </w:pPr>
            <w:r>
              <w:rPr>
                <w:sz w:val="16"/>
              </w:rPr>
              <w:t>Yes</w:t>
            </w:r>
          </w:p>
        </w:tc>
        <w:tc>
          <w:tcPr>
            <w:tcW w:type="dxa" w:w="1757"/>
            <w:shd w:val="clear" w:color="auto" w:fill="FFF6E5"/>
          </w:tcPr>
          <w:p>
            <w:pPr>
              <w:spacing w:after="20" w:before="20"/>
            </w:pPr>
            <w:r>
              <w:rPr>
                <w:sz w:val="16"/>
              </w:rPr>
              <w:t>Yes</w:t>
            </w:r>
          </w:p>
        </w:tc>
        <w:tc>
          <w:tcPr>
            <w:tcW w:type="dxa" w:w="1814"/>
            <w:shd w:val="clear" w:color="auto" w:fill="FFF6E5"/>
          </w:tcPr>
          <w:p>
            <w:pPr>
              <w:spacing w:after="20" w:before="20"/>
            </w:pPr>
            <w:r>
              <w:rPr>
                <w:sz w:val="16"/>
              </w:rPr>
              <w:t>Yes</w:t>
            </w:r>
          </w:p>
        </w:tc>
      </w:tr>
      <w:tr>
        <w:tc>
          <w:tcPr>
            <w:tcW w:type="dxa" w:w="2381"/>
            <w:shd w:val="clear" w:color="auto" w:fill="FFF6E5"/>
          </w:tcPr>
          <w:p>
            <w:pPr>
              <w:spacing w:after="20" w:before="20"/>
            </w:pPr>
            <w:r>
              <w:rPr>
                <w:b/>
                <w:sz w:val="16"/>
              </w:rPr>
              <w:t>City fixed effects</w:t>
            </w:r>
          </w:p>
        </w:tc>
        <w:tc>
          <w:tcPr>
            <w:tcW w:type="dxa" w:w="1928"/>
            <w:shd w:val="clear" w:color="auto" w:fill="FFF6E5"/>
          </w:tcPr>
          <w:p>
            <w:pPr>
              <w:spacing w:after="20" w:before="20"/>
            </w:pPr>
            <w:r>
              <w:rPr>
                <w:sz w:val="16"/>
              </w:rPr>
              <w:t>Yes</w:t>
            </w:r>
          </w:p>
        </w:tc>
        <w:tc>
          <w:tcPr>
            <w:tcW w:type="dxa" w:w="1757"/>
            <w:shd w:val="clear" w:color="auto" w:fill="FFF6E5"/>
          </w:tcPr>
          <w:p>
            <w:pPr>
              <w:spacing w:after="20" w:before="20"/>
            </w:pPr>
            <w:r>
              <w:rPr>
                <w:sz w:val="16"/>
              </w:rPr>
              <w:t>Yes</w:t>
            </w:r>
          </w:p>
        </w:tc>
        <w:tc>
          <w:tcPr>
            <w:tcW w:type="dxa" w:w="1757"/>
            <w:shd w:val="clear" w:color="auto" w:fill="FFF6E5"/>
          </w:tcPr>
          <w:p>
            <w:pPr>
              <w:spacing w:after="20" w:before="20"/>
            </w:pPr>
            <w:r>
              <w:rPr>
                <w:sz w:val="16"/>
              </w:rPr>
              <w:t>Yes</w:t>
            </w:r>
          </w:p>
        </w:tc>
        <w:tc>
          <w:tcPr>
            <w:tcW w:type="dxa" w:w="1814"/>
            <w:shd w:val="clear" w:color="auto" w:fill="FFF6E5"/>
          </w:tcPr>
          <w:p>
            <w:pPr>
              <w:spacing w:after="20" w:before="20"/>
            </w:pPr>
            <w:r>
              <w:rPr>
                <w:sz w:val="16"/>
              </w:rPr>
              <w:t>Yes</w:t>
            </w:r>
          </w:p>
        </w:tc>
      </w:tr>
      <w:tr>
        <w:tc>
          <w:tcPr>
            <w:tcW w:type="dxa" w:w="2381"/>
            <w:shd w:val="clear" w:color="auto" w:fill="FFF6E5"/>
          </w:tcPr>
          <w:p>
            <w:pPr>
              <w:spacing w:after="20" w:before="20"/>
            </w:pPr>
            <w:r>
              <w:rPr>
                <w:b/>
                <w:sz w:val="16"/>
              </w:rPr>
              <w:t>Observations</w:t>
            </w:r>
          </w:p>
        </w:tc>
        <w:tc>
          <w:tcPr>
            <w:tcW w:type="dxa" w:w="1928"/>
            <w:shd w:val="clear" w:color="auto" w:fill="FFF6E5"/>
          </w:tcPr>
          <w:p>
            <w:pPr>
              <w:spacing w:after="20" w:before="20"/>
            </w:pPr>
            <w:r>
              <w:rPr>
                <w:sz w:val="16"/>
              </w:rPr>
              <w:t>2,946</w:t>
            </w:r>
          </w:p>
        </w:tc>
        <w:tc>
          <w:tcPr>
            <w:tcW w:type="dxa" w:w="1757"/>
            <w:shd w:val="clear" w:color="auto" w:fill="FFF6E5"/>
          </w:tcPr>
          <w:p>
            <w:pPr>
              <w:spacing w:after="20" w:before="20"/>
            </w:pPr>
            <w:r>
              <w:rPr>
                <w:sz w:val="16"/>
              </w:rPr>
              <w:t>2,946</w:t>
            </w:r>
          </w:p>
        </w:tc>
        <w:tc>
          <w:tcPr>
            <w:tcW w:type="dxa" w:w="1757"/>
            <w:shd w:val="clear" w:color="auto" w:fill="FFF6E5"/>
          </w:tcPr>
          <w:p>
            <w:pPr>
              <w:spacing w:after="20" w:before="20"/>
            </w:pPr>
            <w:r>
              <w:rPr>
                <w:sz w:val="16"/>
              </w:rPr>
              <w:t>1,502</w:t>
            </w:r>
          </w:p>
        </w:tc>
        <w:tc>
          <w:tcPr>
            <w:tcW w:type="dxa" w:w="1814"/>
            <w:shd w:val="clear" w:color="auto" w:fill="FFF6E5"/>
          </w:tcPr>
          <w:p>
            <w:pPr>
              <w:spacing w:after="20" w:before="20"/>
            </w:pPr>
            <w:r>
              <w:rPr>
                <w:sz w:val="16"/>
              </w:rPr>
              <w:t>1,338</w:t>
            </w:r>
          </w:p>
        </w:tc>
      </w:tr>
      <w:tr>
        <w:tc>
          <w:tcPr>
            <w:tcW w:type="dxa" w:w="2381"/>
            <w:shd w:val="clear" w:color="auto" w:fill="FFF6E5"/>
          </w:tcPr>
          <w:p>
            <w:pPr>
              <w:spacing w:after="20" w:before="20"/>
            </w:pPr>
            <w:r>
              <w:rPr>
                <w:b/>
                <w:sz w:val="16"/>
              </w:rPr>
              <w:t>Clusters (wards)</w:t>
            </w:r>
          </w:p>
        </w:tc>
        <w:tc>
          <w:tcPr>
            <w:tcW w:type="dxa" w:w="1928"/>
            <w:shd w:val="clear" w:color="auto" w:fill="FFF6E5"/>
          </w:tcPr>
          <w:p>
            <w:pPr>
              <w:spacing w:after="20" w:before="20"/>
            </w:pPr>
            <w:r>
              <w:rPr>
                <w:sz w:val="16"/>
              </w:rPr>
              <w:t>138</w:t>
            </w:r>
          </w:p>
        </w:tc>
        <w:tc>
          <w:tcPr>
            <w:tcW w:type="dxa" w:w="1757"/>
            <w:shd w:val="clear" w:color="auto" w:fill="FFF6E5"/>
          </w:tcPr>
          <w:p>
            <w:pPr>
              <w:spacing w:after="20" w:before="20"/>
            </w:pPr>
            <w:r>
              <w:rPr>
                <w:sz w:val="16"/>
              </w:rPr>
              <w:t>138</w:t>
            </w:r>
          </w:p>
        </w:tc>
        <w:tc>
          <w:tcPr>
            <w:tcW w:type="dxa" w:w="1757"/>
            <w:shd w:val="clear" w:color="auto" w:fill="FFF6E5"/>
          </w:tcPr>
          <w:p>
            <w:pPr>
              <w:spacing w:after="20" w:before="20"/>
            </w:pPr>
            <w:r>
              <w:rPr>
                <w:sz w:val="16"/>
              </w:rPr>
              <w:t>136</w:t>
            </w:r>
          </w:p>
        </w:tc>
        <w:tc>
          <w:tcPr>
            <w:tcW w:type="dxa" w:w="1814"/>
            <w:shd w:val="clear" w:color="auto" w:fill="FFF6E5"/>
          </w:tcPr>
          <w:p>
            <w:pPr>
              <w:spacing w:after="20" w:before="20"/>
            </w:pPr>
            <w:r>
              <w:rPr>
                <w:sz w:val="16"/>
              </w:rPr>
              <w:t>131</w:t>
            </w:r>
          </w:p>
        </w:tc>
      </w:tr>
      <w:tr>
        <w:tc>
          <w:tcPr>
            <w:tcW w:type="dxa" w:w="2381"/>
            <w:shd w:val="clear" w:color="auto" w:fill="FFF6E5"/>
          </w:tcPr>
          <w:p>
            <w:pPr>
              <w:spacing w:after="20" w:before="20"/>
            </w:pPr>
            <w:r>
              <w:rPr>
                <w:b/>
                <w:sz w:val="16"/>
              </w:rPr>
              <w:t>R-squared</w:t>
            </w:r>
          </w:p>
        </w:tc>
        <w:tc>
          <w:tcPr>
            <w:tcW w:type="dxa" w:w="1928"/>
            <w:shd w:val="clear" w:color="auto" w:fill="FFF6E5"/>
          </w:tcPr>
          <w:p>
            <w:pPr>
              <w:spacing w:after="20" w:before="20"/>
            </w:pPr>
            <w:r>
              <w:rPr>
                <w:sz w:val="16"/>
              </w:rPr>
              <w:t>0.31</w:t>
            </w:r>
          </w:p>
        </w:tc>
        <w:tc>
          <w:tcPr>
            <w:tcW w:type="dxa" w:w="1757"/>
            <w:shd w:val="clear" w:color="auto" w:fill="FFF6E5"/>
          </w:tcPr>
          <w:p>
            <w:pPr>
              <w:spacing w:after="20" w:before="20"/>
            </w:pPr>
            <w:r>
              <w:rPr>
                <w:sz w:val="16"/>
              </w:rPr>
              <w:t>0.24</w:t>
            </w:r>
          </w:p>
        </w:tc>
        <w:tc>
          <w:tcPr>
            <w:tcW w:type="dxa" w:w="1757"/>
            <w:shd w:val="clear" w:color="auto" w:fill="FFF6E5"/>
          </w:tcPr>
          <w:p>
            <w:pPr>
              <w:spacing w:after="20" w:before="20"/>
            </w:pPr>
            <w:r>
              <w:rPr>
                <w:sz w:val="16"/>
              </w:rPr>
              <w:t>0.27</w:t>
            </w:r>
          </w:p>
        </w:tc>
        <w:tc>
          <w:tcPr>
            <w:tcW w:type="dxa" w:w="1814"/>
            <w:shd w:val="clear" w:color="auto" w:fill="FFF6E5"/>
          </w:tcPr>
          <w:p>
            <w:pPr>
              <w:spacing w:after="20" w:before="20"/>
            </w:pPr>
            <w:r>
              <w:rPr>
                <w:sz w:val="16"/>
              </w:rPr>
              <w:t>0.22</w:t>
            </w:r>
          </w:p>
        </w:tc>
      </w:tr>
    </w:tbl>
    <w:p>
      <w:pPr>
        <w:spacing w:after="120"/>
      </w:pPr>
      <w:r>
        <w:rPr>
          <w:i/>
          <w:color w:val="555555"/>
          <w:sz w:val="16"/>
        </w:rPr>
        <w:t>Table M1.1. Effect of bus access on household outcomes. This is the table that goes in the paper. Cluster-robust standard errors in parentheses. Stars denote significance.</w:t>
      </w:r>
    </w:p>
    <w:p>
      <w:pPr>
        <w:spacing w:after="100"/>
      </w:pPr>
      <w:r>
        <w:rPr>
          <w:b w:val="0"/>
          <w:i/>
          <w:color w:val="555555"/>
          <w:sz w:val="20"/>
        </w:rPr>
        <w:t>Read the mock-up this way. β₁ is the headline: bus access is associated with lower household transport spending and higher female employment. β₃ is the equity result, and note that in this mock-up it is not significant. That is exactly the outcome the power analysis predicts at a sample of 6,000, and it is why the vulnerability design needs stratified over-sampling.</w:t>
      </w:r>
    </w:p>
    <w:p>
      <w:pPr>
        <w:spacing w:before="200" w:after="40"/>
      </w:pPr>
      <w:r>
        <w:rPr>
          <w:b/>
          <w:color w:val="1A1A1A"/>
          <w:sz w:val="22"/>
        </w:rPr>
        <w:t>Output 2: monetised benefit summary</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061"/>
            <w:shd w:val="clear" w:color="auto" w:fill="F5E3C3"/>
          </w:tcPr>
          <w:p>
            <w:pPr>
              <w:spacing w:after="20" w:before="20"/>
            </w:pPr>
            <w:r>
              <w:rPr>
                <w:b/>
                <w:sz w:val="16"/>
              </w:rPr>
              <w:t>Benefit stream</w:t>
            </w:r>
          </w:p>
        </w:tc>
        <w:tc>
          <w:tcPr>
            <w:tcW w:type="dxa" w:w="1247"/>
            <w:shd w:val="clear" w:color="auto" w:fill="F5E3C3"/>
          </w:tcPr>
          <w:p>
            <w:pPr>
              <w:spacing w:after="20" w:before="20"/>
            </w:pPr>
            <w:r>
              <w:rPr>
                <w:b/>
                <w:sz w:val="16"/>
              </w:rPr>
              <w:t>Unit</w:t>
            </w:r>
          </w:p>
        </w:tc>
        <w:tc>
          <w:tcPr>
            <w:tcW w:type="dxa" w:w="1587"/>
            <w:shd w:val="clear" w:color="auto" w:fill="F5E3C3"/>
          </w:tcPr>
          <w:p>
            <w:pPr>
              <w:spacing w:after="20" w:before="20"/>
            </w:pPr>
            <w:r>
              <w:rPr>
                <w:b/>
                <w:sz w:val="16"/>
              </w:rPr>
              <w:t>Per household</w:t>
              <w:br/>
              <w:t>per year</w:t>
            </w:r>
          </w:p>
        </w:tc>
        <w:tc>
          <w:tcPr>
            <w:tcW w:type="dxa" w:w="1701"/>
            <w:shd w:val="clear" w:color="auto" w:fill="F5E3C3"/>
          </w:tcPr>
          <w:p>
            <w:pPr>
              <w:spacing w:after="20" w:before="20"/>
            </w:pPr>
            <w:r>
              <w:rPr>
                <w:b/>
                <w:sz w:val="16"/>
              </w:rPr>
              <w:t>City total</w:t>
              <w:br/>
              <w:t>Rs crore/year</w:t>
            </w:r>
          </w:p>
        </w:tc>
        <w:tc>
          <w:tcPr>
            <w:tcW w:type="dxa" w:w="1474"/>
            <w:shd w:val="clear" w:color="auto" w:fill="F5E3C3"/>
          </w:tcPr>
          <w:p>
            <w:pPr>
              <w:spacing w:after="20" w:before="20"/>
            </w:pPr>
            <w:r>
              <w:rPr>
                <w:b/>
                <w:sz w:val="16"/>
              </w:rPr>
              <w:t>Confidence</w:t>
            </w:r>
          </w:p>
        </w:tc>
      </w:tr>
      <w:tr>
        <w:tc>
          <w:tcPr>
            <w:tcW w:type="dxa" w:w="3061"/>
            <w:shd w:val="clear" w:color="auto" w:fill="FFF6E5"/>
          </w:tcPr>
          <w:p>
            <w:pPr>
              <w:spacing w:after="20" w:before="20"/>
            </w:pPr>
            <w:r>
              <w:rPr>
                <w:b/>
                <w:sz w:val="16"/>
              </w:rPr>
              <w:t>Household transport spend saved</w:t>
            </w:r>
          </w:p>
        </w:tc>
        <w:tc>
          <w:tcPr>
            <w:tcW w:type="dxa" w:w="1247"/>
            <w:shd w:val="clear" w:color="auto" w:fill="FFF6E5"/>
          </w:tcPr>
          <w:p>
            <w:pPr>
              <w:spacing w:after="20" w:before="20"/>
            </w:pPr>
            <w:r>
              <w:rPr>
                <w:sz w:val="16"/>
              </w:rPr>
              <w:t>Rs</w:t>
            </w:r>
          </w:p>
        </w:tc>
        <w:tc>
          <w:tcPr>
            <w:tcW w:type="dxa" w:w="1587"/>
            <w:shd w:val="clear" w:color="auto" w:fill="FFF6E5"/>
          </w:tcPr>
          <w:p>
            <w:pPr>
              <w:spacing w:after="20" w:before="20"/>
            </w:pPr>
            <w:r>
              <w:rPr>
                <w:sz w:val="16"/>
              </w:rPr>
              <w:t>2,568</w:t>
            </w:r>
          </w:p>
        </w:tc>
        <w:tc>
          <w:tcPr>
            <w:tcW w:type="dxa" w:w="1701"/>
            <w:shd w:val="clear" w:color="auto" w:fill="FFF6E5"/>
          </w:tcPr>
          <w:p>
            <w:pPr>
              <w:spacing w:after="20" w:before="20"/>
            </w:pPr>
            <w:r>
              <w:rPr>
                <w:sz w:val="16"/>
              </w:rPr>
              <w:t>41.2</w:t>
            </w:r>
          </w:p>
        </w:tc>
        <w:tc>
          <w:tcPr>
            <w:tcW w:type="dxa" w:w="1474"/>
            <w:shd w:val="clear" w:color="auto" w:fill="FFF6E5"/>
          </w:tcPr>
          <w:p>
            <w:pPr>
              <w:spacing w:after="20" w:before="20"/>
            </w:pPr>
            <w:r>
              <w:rPr>
                <w:sz w:val="16"/>
              </w:rPr>
              <w:t>Medium</w:t>
            </w:r>
          </w:p>
        </w:tc>
      </w:tr>
      <w:tr>
        <w:tc>
          <w:tcPr>
            <w:tcW w:type="dxa" w:w="3061"/>
            <w:shd w:val="clear" w:color="auto" w:fill="FFF6E5"/>
          </w:tcPr>
          <w:p>
            <w:pPr>
              <w:spacing w:after="20" w:before="20"/>
            </w:pPr>
            <w:r>
              <w:rPr>
                <w:b/>
                <w:sz w:val="16"/>
              </w:rPr>
              <w:t>Travel time saved, valued</w:t>
            </w:r>
          </w:p>
        </w:tc>
        <w:tc>
          <w:tcPr>
            <w:tcW w:type="dxa" w:w="1247"/>
            <w:shd w:val="clear" w:color="auto" w:fill="FFF6E5"/>
          </w:tcPr>
          <w:p>
            <w:pPr>
              <w:spacing w:after="20" w:before="20"/>
            </w:pPr>
            <w:r>
              <w:rPr>
                <w:sz w:val="16"/>
              </w:rPr>
              <w:t>Rs</w:t>
            </w:r>
          </w:p>
        </w:tc>
        <w:tc>
          <w:tcPr>
            <w:tcW w:type="dxa" w:w="1587"/>
            <w:shd w:val="clear" w:color="auto" w:fill="FFF6E5"/>
          </w:tcPr>
          <w:p>
            <w:pPr>
              <w:spacing w:after="20" w:before="20"/>
            </w:pPr>
            <w:r>
              <w:rPr>
                <w:sz w:val="16"/>
              </w:rPr>
              <w:t>1,940</w:t>
            </w:r>
          </w:p>
        </w:tc>
        <w:tc>
          <w:tcPr>
            <w:tcW w:type="dxa" w:w="1701"/>
            <w:shd w:val="clear" w:color="auto" w:fill="FFF6E5"/>
          </w:tcPr>
          <w:p>
            <w:pPr>
              <w:spacing w:after="20" w:before="20"/>
            </w:pPr>
            <w:r>
              <w:rPr>
                <w:sz w:val="16"/>
              </w:rPr>
              <w:t>31.1</w:t>
            </w:r>
          </w:p>
        </w:tc>
        <w:tc>
          <w:tcPr>
            <w:tcW w:type="dxa" w:w="1474"/>
            <w:shd w:val="clear" w:color="auto" w:fill="FFF6E5"/>
          </w:tcPr>
          <w:p>
            <w:pPr>
              <w:spacing w:after="20" w:before="20"/>
            </w:pPr>
            <w:r>
              <w:rPr>
                <w:sz w:val="16"/>
              </w:rPr>
              <w:t>Medium</w:t>
            </w:r>
          </w:p>
        </w:tc>
      </w:tr>
      <w:tr>
        <w:tc>
          <w:tcPr>
            <w:tcW w:type="dxa" w:w="3061"/>
            <w:shd w:val="clear" w:color="auto" w:fill="FFF6E5"/>
          </w:tcPr>
          <w:p>
            <w:pPr>
              <w:spacing w:after="20" w:before="20"/>
            </w:pPr>
            <w:r>
              <w:rPr>
                <w:b/>
                <w:sz w:val="16"/>
              </w:rPr>
              <w:t>Female earnings gain</w:t>
            </w:r>
          </w:p>
        </w:tc>
        <w:tc>
          <w:tcPr>
            <w:tcW w:type="dxa" w:w="1247"/>
            <w:shd w:val="clear" w:color="auto" w:fill="FFF6E5"/>
          </w:tcPr>
          <w:p>
            <w:pPr>
              <w:spacing w:after="20" w:before="20"/>
            </w:pPr>
            <w:r>
              <w:rPr>
                <w:sz w:val="16"/>
              </w:rPr>
              <w:t>Rs</w:t>
            </w:r>
          </w:p>
        </w:tc>
        <w:tc>
          <w:tcPr>
            <w:tcW w:type="dxa" w:w="1587"/>
            <w:shd w:val="clear" w:color="auto" w:fill="FFF6E5"/>
          </w:tcPr>
          <w:p>
            <w:pPr>
              <w:spacing w:after="20" w:before="20"/>
            </w:pPr>
            <w:r>
              <w:rPr>
                <w:sz w:val="16"/>
              </w:rPr>
              <w:t>3,110</w:t>
            </w:r>
          </w:p>
        </w:tc>
        <w:tc>
          <w:tcPr>
            <w:tcW w:type="dxa" w:w="1701"/>
            <w:shd w:val="clear" w:color="auto" w:fill="FFF6E5"/>
          </w:tcPr>
          <w:p>
            <w:pPr>
              <w:spacing w:after="20" w:before="20"/>
            </w:pPr>
            <w:r>
              <w:rPr>
                <w:sz w:val="16"/>
              </w:rPr>
              <w:t>18.7</w:t>
            </w:r>
          </w:p>
        </w:tc>
        <w:tc>
          <w:tcPr>
            <w:tcW w:type="dxa" w:w="1474"/>
            <w:shd w:val="clear" w:color="auto" w:fill="FFF6E5"/>
          </w:tcPr>
          <w:p>
            <w:pPr>
              <w:spacing w:after="20" w:before="20"/>
            </w:pPr>
            <w:r>
              <w:rPr>
                <w:sz w:val="16"/>
              </w:rPr>
              <w:t>Low</w:t>
            </w:r>
          </w:p>
        </w:tc>
      </w:tr>
      <w:tr>
        <w:tc>
          <w:tcPr>
            <w:tcW w:type="dxa" w:w="3061"/>
            <w:shd w:val="clear" w:color="auto" w:fill="FFF6E5"/>
          </w:tcPr>
          <w:p>
            <w:pPr>
              <w:spacing w:after="20" w:before="20"/>
            </w:pPr>
            <w:r>
              <w:rPr>
                <w:b/>
                <w:sz w:val="16"/>
              </w:rPr>
              <w:t>Sub-total, individual benefits</w:t>
            </w:r>
          </w:p>
        </w:tc>
        <w:tc>
          <w:tcPr>
            <w:tcW w:type="dxa" w:w="1247"/>
            <w:shd w:val="clear" w:color="auto" w:fill="FFF6E5"/>
          </w:tcPr>
          <w:p>
            <w:pPr>
              <w:spacing w:after="20" w:before="20"/>
            </w:pPr>
            <w:r>
              <w:rPr>
                <w:sz w:val="16"/>
              </w:rPr>
              <w:t>Rs</w:t>
            </w:r>
          </w:p>
        </w:tc>
        <w:tc>
          <w:tcPr>
            <w:tcW w:type="dxa" w:w="1587"/>
            <w:shd w:val="clear" w:color="auto" w:fill="FFF6E5"/>
          </w:tcPr>
          <w:p>
            <w:pPr>
              <w:spacing w:after="20" w:before="20"/>
            </w:pPr>
            <w:r>
              <w:rPr>
                <w:sz w:val="16"/>
              </w:rPr>
              <w:t>7,618</w:t>
            </w:r>
          </w:p>
        </w:tc>
        <w:tc>
          <w:tcPr>
            <w:tcW w:type="dxa" w:w="1701"/>
            <w:shd w:val="clear" w:color="auto" w:fill="FFF6E5"/>
          </w:tcPr>
          <w:p>
            <w:pPr>
              <w:spacing w:after="20" w:before="20"/>
            </w:pPr>
            <w:r>
              <w:rPr>
                <w:sz w:val="16"/>
              </w:rPr>
              <w:t>91.0</w:t>
            </w:r>
          </w:p>
        </w:tc>
        <w:tc>
          <w:tcPr>
            <w:tcW w:type="dxa" w:w="1474"/>
            <w:shd w:val="clear" w:color="auto" w:fill="FFF6E5"/>
          </w:tcPr>
          <w:p>
            <w:pPr>
              <w:spacing w:after="20" w:before="20"/>
            </w:pPr>
            <w:r>
              <w:rPr>
                <w:sz w:val="16"/>
              </w:rPr>
              <w:t>—</w:t>
            </w:r>
          </w:p>
        </w:tc>
      </w:tr>
      <w:tr>
        <w:tc>
          <w:tcPr>
            <w:tcW w:type="dxa" w:w="3061"/>
            <w:shd w:val="clear" w:color="auto" w:fill="FFF6E5"/>
          </w:tcPr>
          <w:p>
            <w:pPr>
              <w:spacing w:after="20" w:before="20"/>
            </w:pPr>
            <w:r>
              <w:rPr>
                <w:b/>
                <w:sz w:val="16"/>
              </w:rPr>
              <w:t>Decongestion (marginal external congestion cost)</w:t>
            </w:r>
          </w:p>
        </w:tc>
        <w:tc>
          <w:tcPr>
            <w:tcW w:type="dxa" w:w="1247"/>
            <w:shd w:val="clear" w:color="auto" w:fill="FFF6E5"/>
          </w:tcPr>
          <w:p>
            <w:pPr>
              <w:spacing w:after="20" w:before="20"/>
            </w:pPr>
            <w:r>
              <w:rPr>
                <w:sz w:val="16"/>
              </w:rPr>
              <w:t>Rs crore</w:t>
            </w:r>
          </w:p>
        </w:tc>
        <w:tc>
          <w:tcPr>
            <w:tcW w:type="dxa" w:w="1587"/>
            <w:shd w:val="clear" w:color="auto" w:fill="FFF6E5"/>
          </w:tcPr>
          <w:p>
            <w:pPr>
              <w:spacing w:after="20" w:before="20"/>
            </w:pPr>
            <w:r>
              <w:rPr>
                <w:sz w:val="16"/>
              </w:rPr>
              <w:t>—</w:t>
            </w:r>
          </w:p>
        </w:tc>
        <w:tc>
          <w:tcPr>
            <w:tcW w:type="dxa" w:w="1701"/>
            <w:shd w:val="clear" w:color="auto" w:fill="FFF6E5"/>
          </w:tcPr>
          <w:p>
            <w:pPr>
              <w:spacing w:after="20" w:before="20"/>
            </w:pPr>
            <w:r>
              <w:rPr>
                <w:sz w:val="16"/>
              </w:rPr>
              <w:t>27.4</w:t>
            </w:r>
          </w:p>
        </w:tc>
        <w:tc>
          <w:tcPr>
            <w:tcW w:type="dxa" w:w="1474"/>
            <w:shd w:val="clear" w:color="auto" w:fill="FFF6E5"/>
          </w:tcPr>
          <w:p>
            <w:pPr>
              <w:spacing w:after="20" w:before="20"/>
            </w:pPr>
            <w:r>
              <w:rPr>
                <w:sz w:val="16"/>
              </w:rPr>
              <w:t>Low</w:t>
            </w:r>
          </w:p>
        </w:tc>
      </w:tr>
      <w:tr>
        <w:tc>
          <w:tcPr>
            <w:tcW w:type="dxa" w:w="3061"/>
            <w:shd w:val="clear" w:color="auto" w:fill="FFF6E5"/>
          </w:tcPr>
          <w:p>
            <w:pPr>
              <w:spacing w:after="20" w:before="20"/>
            </w:pPr>
            <w:r>
              <w:rPr>
                <w:b/>
                <w:sz w:val="16"/>
              </w:rPr>
              <w:t>Agglomeration (effective density)</w:t>
            </w:r>
          </w:p>
        </w:tc>
        <w:tc>
          <w:tcPr>
            <w:tcW w:type="dxa" w:w="1247"/>
            <w:shd w:val="clear" w:color="auto" w:fill="FFF6E5"/>
          </w:tcPr>
          <w:p>
            <w:pPr>
              <w:spacing w:after="20" w:before="20"/>
            </w:pPr>
            <w:r>
              <w:rPr>
                <w:sz w:val="16"/>
              </w:rPr>
              <w:t>Rs crore</w:t>
            </w:r>
          </w:p>
        </w:tc>
        <w:tc>
          <w:tcPr>
            <w:tcW w:type="dxa" w:w="1587"/>
            <w:shd w:val="clear" w:color="auto" w:fill="FFF6E5"/>
          </w:tcPr>
          <w:p>
            <w:pPr>
              <w:spacing w:after="20" w:before="20"/>
            </w:pPr>
            <w:r>
              <w:rPr>
                <w:sz w:val="16"/>
              </w:rPr>
              <w:t>—</w:t>
            </w:r>
          </w:p>
        </w:tc>
        <w:tc>
          <w:tcPr>
            <w:tcW w:type="dxa" w:w="1701"/>
            <w:shd w:val="clear" w:color="auto" w:fill="FFF6E5"/>
          </w:tcPr>
          <w:p>
            <w:pPr>
              <w:spacing w:after="20" w:before="20"/>
            </w:pPr>
            <w:r>
              <w:rPr>
                <w:sz w:val="16"/>
              </w:rPr>
              <w:t>19.8</w:t>
            </w:r>
          </w:p>
        </w:tc>
        <w:tc>
          <w:tcPr>
            <w:tcW w:type="dxa" w:w="1474"/>
            <w:shd w:val="clear" w:color="auto" w:fill="FFF6E5"/>
          </w:tcPr>
          <w:p>
            <w:pPr>
              <w:spacing w:after="20" w:before="20"/>
            </w:pPr>
            <w:r>
              <w:rPr>
                <w:sz w:val="16"/>
              </w:rPr>
              <w:t>Low</w:t>
            </w:r>
          </w:p>
        </w:tc>
      </w:tr>
      <w:tr>
        <w:tc>
          <w:tcPr>
            <w:tcW w:type="dxa" w:w="3061"/>
            <w:shd w:val="clear" w:color="auto" w:fill="FFF6E5"/>
          </w:tcPr>
          <w:p>
            <w:pPr>
              <w:spacing w:after="20" w:before="20"/>
            </w:pPr>
            <w:r>
              <w:rPr>
                <w:b/>
                <w:sz w:val="16"/>
              </w:rPr>
              <w:t>Sub-total, wider economic benefits</w:t>
            </w:r>
          </w:p>
        </w:tc>
        <w:tc>
          <w:tcPr>
            <w:tcW w:type="dxa" w:w="1247"/>
            <w:shd w:val="clear" w:color="auto" w:fill="FFF6E5"/>
          </w:tcPr>
          <w:p>
            <w:pPr>
              <w:spacing w:after="20" w:before="20"/>
            </w:pPr>
            <w:r>
              <w:rPr>
                <w:sz w:val="16"/>
              </w:rPr>
              <w:t>Rs crore</w:t>
            </w:r>
          </w:p>
        </w:tc>
        <w:tc>
          <w:tcPr>
            <w:tcW w:type="dxa" w:w="1587"/>
            <w:shd w:val="clear" w:color="auto" w:fill="FFF6E5"/>
          </w:tcPr>
          <w:p>
            <w:pPr>
              <w:spacing w:after="20" w:before="20"/>
            </w:pPr>
            <w:r>
              <w:rPr>
                <w:sz w:val="16"/>
              </w:rPr>
              <w:t>—</w:t>
            </w:r>
          </w:p>
        </w:tc>
        <w:tc>
          <w:tcPr>
            <w:tcW w:type="dxa" w:w="1701"/>
            <w:shd w:val="clear" w:color="auto" w:fill="FFF6E5"/>
          </w:tcPr>
          <w:p>
            <w:pPr>
              <w:spacing w:after="20" w:before="20"/>
            </w:pPr>
            <w:r>
              <w:rPr>
                <w:sz w:val="16"/>
              </w:rPr>
              <w:t>47.2</w:t>
            </w:r>
          </w:p>
        </w:tc>
        <w:tc>
          <w:tcPr>
            <w:tcW w:type="dxa" w:w="1474"/>
            <w:shd w:val="clear" w:color="auto" w:fill="FFF6E5"/>
          </w:tcPr>
          <w:p>
            <w:pPr>
              <w:spacing w:after="20" w:before="20"/>
            </w:pPr>
            <w:r>
              <w:rPr>
                <w:sz w:val="16"/>
              </w:rPr>
              <w:t>—</w:t>
            </w:r>
          </w:p>
        </w:tc>
      </w:tr>
      <w:tr>
        <w:tc>
          <w:tcPr>
            <w:tcW w:type="dxa" w:w="3061"/>
            <w:shd w:val="clear" w:color="auto" w:fill="FFF6E5"/>
          </w:tcPr>
          <w:p>
            <w:pPr>
              <w:spacing w:after="20" w:before="20"/>
            </w:pPr>
            <w:r>
              <w:rPr>
                <w:b/>
                <w:sz w:val="16"/>
              </w:rPr>
              <w:t>TOTAL M1</w:t>
            </w:r>
          </w:p>
        </w:tc>
        <w:tc>
          <w:tcPr>
            <w:tcW w:type="dxa" w:w="1247"/>
            <w:shd w:val="clear" w:color="auto" w:fill="FFF6E5"/>
          </w:tcPr>
          <w:p>
            <w:pPr>
              <w:spacing w:after="20" w:before="20"/>
            </w:pPr>
            <w:r>
              <w:rPr>
                <w:sz w:val="16"/>
              </w:rPr>
              <w:t>Rs crore</w:t>
            </w:r>
          </w:p>
        </w:tc>
        <w:tc>
          <w:tcPr>
            <w:tcW w:type="dxa" w:w="1587"/>
            <w:shd w:val="clear" w:color="auto" w:fill="FFF6E5"/>
          </w:tcPr>
          <w:p>
            <w:pPr>
              <w:spacing w:after="20" w:before="20"/>
            </w:pPr>
            <w:r>
              <w:rPr>
                <w:sz w:val="16"/>
              </w:rPr>
              <w:t>—</w:t>
            </w:r>
          </w:p>
        </w:tc>
        <w:tc>
          <w:tcPr>
            <w:tcW w:type="dxa" w:w="1701"/>
            <w:shd w:val="clear" w:color="auto" w:fill="FFF6E5"/>
          </w:tcPr>
          <w:p>
            <w:pPr>
              <w:spacing w:after="20" w:before="20"/>
            </w:pPr>
            <w:r>
              <w:rPr>
                <w:sz w:val="16"/>
              </w:rPr>
              <w:t>138.2</w:t>
            </w:r>
          </w:p>
        </w:tc>
        <w:tc>
          <w:tcPr>
            <w:tcW w:type="dxa" w:w="1474"/>
            <w:shd w:val="clear" w:color="auto" w:fill="FFF6E5"/>
          </w:tcPr>
          <w:p>
            <w:pPr>
              <w:spacing w:after="20" w:before="20"/>
            </w:pPr>
            <w:r>
              <w:rPr>
                <w:sz w:val="16"/>
              </w:rPr>
              <w:t>—</w:t>
            </w:r>
          </w:p>
        </w:tc>
      </w:tr>
    </w:tbl>
    <w:p>
      <w:pPr>
        <w:spacing w:after="120"/>
      </w:pPr>
      <w:r>
        <w:rPr>
          <w:i/>
          <w:color w:val="555555"/>
          <w:sz w:val="16"/>
        </w:rPr>
        <w:t>Table M1.2. Annual socio-economic benefit, one city. Individual and wider economic benefits are reported separately, following convention, to avoid double counting.</w:t>
      </w:r>
    </w:p>
    <w:p>
      <w:pPr>
        <w:spacing w:before="200" w:after="40"/>
      </w:pPr>
      <w:r>
        <w:rPr>
          <w:b/>
          <w:color w:val="1A1A1A"/>
          <w:sz w:val="22"/>
        </w:rPr>
        <w:t>Output 3: accessibility, the number that is not self-reported</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928"/>
            <w:shd w:val="clear" w:color="auto" w:fill="F5E3C3"/>
          </w:tcPr>
          <w:p>
            <w:pPr>
              <w:spacing w:after="20" w:before="20"/>
            </w:pPr>
            <w:r>
              <w:rPr>
                <w:b/>
                <w:sz w:val="16"/>
              </w:rPr>
              <w:t>City</w:t>
            </w:r>
          </w:p>
        </w:tc>
        <w:tc>
          <w:tcPr>
            <w:tcW w:type="dxa" w:w="2041"/>
            <w:shd w:val="clear" w:color="auto" w:fill="F5E3C3"/>
          </w:tcPr>
          <w:p>
            <w:pPr>
              <w:spacing w:after="20" w:before="20"/>
            </w:pPr>
            <w:r>
              <w:rPr>
                <w:b/>
                <w:sz w:val="16"/>
              </w:rPr>
              <w:t>Jobs within 45 min</w:t>
              <w:br/>
              <w:t>before</w:t>
            </w:r>
          </w:p>
        </w:tc>
        <w:tc>
          <w:tcPr>
            <w:tcW w:type="dxa" w:w="2041"/>
            <w:shd w:val="clear" w:color="auto" w:fill="F5E3C3"/>
          </w:tcPr>
          <w:p>
            <w:pPr>
              <w:spacing w:after="20" w:before="20"/>
            </w:pPr>
            <w:r>
              <w:rPr>
                <w:b/>
                <w:sz w:val="16"/>
              </w:rPr>
              <w:t>Jobs within 45 min</w:t>
              <w:br/>
              <w:t>after</w:t>
            </w:r>
          </w:p>
        </w:tc>
        <w:tc>
          <w:tcPr>
            <w:tcW w:type="dxa" w:w="1361"/>
            <w:shd w:val="clear" w:color="auto" w:fill="F5E3C3"/>
          </w:tcPr>
          <w:p>
            <w:pPr>
              <w:spacing w:after="20" w:before="20"/>
            </w:pPr>
            <w:r>
              <w:rPr>
                <w:b/>
                <w:sz w:val="16"/>
              </w:rPr>
              <w:t>Change</w:t>
            </w:r>
          </w:p>
        </w:tc>
        <w:tc>
          <w:tcPr>
            <w:tcW w:type="dxa" w:w="1814"/>
            <w:shd w:val="clear" w:color="auto" w:fill="F5E3C3"/>
          </w:tcPr>
          <w:p>
            <w:pPr>
              <w:spacing w:after="20" w:before="20"/>
            </w:pPr>
            <w:r>
              <w:rPr>
                <w:b/>
                <w:sz w:val="16"/>
              </w:rPr>
              <w:t>Population gaining</w:t>
              <w:br/>
              <w:t>access</w:t>
            </w:r>
          </w:p>
        </w:tc>
      </w:tr>
      <w:tr>
        <w:tc>
          <w:tcPr>
            <w:tcW w:type="dxa" w:w="1928"/>
            <w:shd w:val="clear" w:color="auto" w:fill="FFF6E5"/>
          </w:tcPr>
          <w:p>
            <w:pPr>
              <w:spacing w:after="20" w:before="20"/>
            </w:pPr>
            <w:r>
              <w:rPr>
                <w:b/>
                <w:sz w:val="16"/>
              </w:rPr>
              <w:t>City A (Group B)</w:t>
            </w:r>
          </w:p>
        </w:tc>
        <w:tc>
          <w:tcPr>
            <w:tcW w:type="dxa" w:w="2041"/>
            <w:shd w:val="clear" w:color="auto" w:fill="FFF6E5"/>
          </w:tcPr>
          <w:p>
            <w:pPr>
              <w:spacing w:after="20" w:before="20"/>
            </w:pPr>
            <w:r>
              <w:rPr>
                <w:sz w:val="16"/>
              </w:rPr>
              <w:t>84,000</w:t>
            </w:r>
          </w:p>
        </w:tc>
        <w:tc>
          <w:tcPr>
            <w:tcW w:type="dxa" w:w="2041"/>
            <w:shd w:val="clear" w:color="auto" w:fill="FFF6E5"/>
          </w:tcPr>
          <w:p>
            <w:pPr>
              <w:spacing w:after="20" w:before="20"/>
            </w:pPr>
            <w:r>
              <w:rPr>
                <w:sz w:val="16"/>
              </w:rPr>
              <w:t>131,000</w:t>
            </w:r>
          </w:p>
        </w:tc>
        <w:tc>
          <w:tcPr>
            <w:tcW w:type="dxa" w:w="1361"/>
            <w:shd w:val="clear" w:color="auto" w:fill="FFF6E5"/>
          </w:tcPr>
          <w:p>
            <w:pPr>
              <w:spacing w:after="20" w:before="20"/>
            </w:pPr>
            <w:r>
              <w:rPr>
                <w:sz w:val="16"/>
              </w:rPr>
              <w:t>+56%</w:t>
            </w:r>
          </w:p>
        </w:tc>
        <w:tc>
          <w:tcPr>
            <w:tcW w:type="dxa" w:w="1814"/>
            <w:shd w:val="clear" w:color="auto" w:fill="FFF6E5"/>
          </w:tcPr>
          <w:p>
            <w:pPr>
              <w:spacing w:after="20" w:before="20"/>
            </w:pPr>
            <w:r>
              <w:rPr>
                <w:sz w:val="16"/>
              </w:rPr>
              <w:t>212,000</w:t>
            </w:r>
          </w:p>
        </w:tc>
      </w:tr>
      <w:tr>
        <w:tc>
          <w:tcPr>
            <w:tcW w:type="dxa" w:w="1928"/>
            <w:shd w:val="clear" w:color="auto" w:fill="FFF6E5"/>
          </w:tcPr>
          <w:p>
            <w:pPr>
              <w:spacing w:after="20" w:before="20"/>
            </w:pPr>
            <w:r>
              <w:rPr>
                <w:b/>
                <w:sz w:val="16"/>
              </w:rPr>
              <w:t>City B (Group B)</w:t>
            </w:r>
          </w:p>
        </w:tc>
        <w:tc>
          <w:tcPr>
            <w:tcW w:type="dxa" w:w="2041"/>
            <w:shd w:val="clear" w:color="auto" w:fill="FFF6E5"/>
          </w:tcPr>
          <w:p>
            <w:pPr>
              <w:spacing w:after="20" w:before="20"/>
            </w:pPr>
            <w:r>
              <w:rPr>
                <w:sz w:val="16"/>
              </w:rPr>
              <w:t>61,000</w:t>
            </w:r>
          </w:p>
        </w:tc>
        <w:tc>
          <w:tcPr>
            <w:tcW w:type="dxa" w:w="2041"/>
            <w:shd w:val="clear" w:color="auto" w:fill="FFF6E5"/>
          </w:tcPr>
          <w:p>
            <w:pPr>
              <w:spacing w:after="20" w:before="20"/>
            </w:pPr>
            <w:r>
              <w:rPr>
                <w:sz w:val="16"/>
              </w:rPr>
              <w:t>88,000</w:t>
            </w:r>
          </w:p>
        </w:tc>
        <w:tc>
          <w:tcPr>
            <w:tcW w:type="dxa" w:w="1361"/>
            <w:shd w:val="clear" w:color="auto" w:fill="FFF6E5"/>
          </w:tcPr>
          <w:p>
            <w:pPr>
              <w:spacing w:after="20" w:before="20"/>
            </w:pPr>
            <w:r>
              <w:rPr>
                <w:sz w:val="16"/>
              </w:rPr>
              <w:t>+44%</w:t>
            </w:r>
          </w:p>
        </w:tc>
        <w:tc>
          <w:tcPr>
            <w:tcW w:type="dxa" w:w="1814"/>
            <w:shd w:val="clear" w:color="auto" w:fill="FFF6E5"/>
          </w:tcPr>
          <w:p>
            <w:pPr>
              <w:spacing w:after="20" w:before="20"/>
            </w:pPr>
            <w:r>
              <w:rPr>
                <w:sz w:val="16"/>
              </w:rPr>
              <w:t>147,000</w:t>
            </w:r>
          </w:p>
        </w:tc>
      </w:tr>
      <w:tr>
        <w:tc>
          <w:tcPr>
            <w:tcW w:type="dxa" w:w="1928"/>
            <w:shd w:val="clear" w:color="auto" w:fill="FFF6E5"/>
          </w:tcPr>
          <w:p>
            <w:pPr>
              <w:spacing w:after="20" w:before="20"/>
            </w:pPr>
            <w:r>
              <w:rPr>
                <w:b/>
                <w:sz w:val="16"/>
              </w:rPr>
              <w:t>City C (Group B)</w:t>
            </w:r>
          </w:p>
        </w:tc>
        <w:tc>
          <w:tcPr>
            <w:tcW w:type="dxa" w:w="2041"/>
            <w:shd w:val="clear" w:color="auto" w:fill="FFF6E5"/>
          </w:tcPr>
          <w:p>
            <w:pPr>
              <w:spacing w:after="20" w:before="20"/>
            </w:pPr>
            <w:r>
              <w:rPr>
                <w:sz w:val="16"/>
              </w:rPr>
              <w:t>109,000</w:t>
            </w:r>
          </w:p>
        </w:tc>
        <w:tc>
          <w:tcPr>
            <w:tcW w:type="dxa" w:w="2041"/>
            <w:shd w:val="clear" w:color="auto" w:fill="FFF6E5"/>
          </w:tcPr>
          <w:p>
            <w:pPr>
              <w:spacing w:after="20" w:before="20"/>
            </w:pPr>
            <w:r>
              <w:rPr>
                <w:sz w:val="16"/>
              </w:rPr>
              <w:t>142,000</w:t>
            </w:r>
          </w:p>
        </w:tc>
        <w:tc>
          <w:tcPr>
            <w:tcW w:type="dxa" w:w="1361"/>
            <w:shd w:val="clear" w:color="auto" w:fill="FFF6E5"/>
          </w:tcPr>
          <w:p>
            <w:pPr>
              <w:spacing w:after="20" w:before="20"/>
            </w:pPr>
            <w:r>
              <w:rPr>
                <w:sz w:val="16"/>
              </w:rPr>
              <w:t>+30%</w:t>
            </w:r>
          </w:p>
        </w:tc>
        <w:tc>
          <w:tcPr>
            <w:tcW w:type="dxa" w:w="1814"/>
            <w:shd w:val="clear" w:color="auto" w:fill="FFF6E5"/>
          </w:tcPr>
          <w:p>
            <w:pPr>
              <w:spacing w:after="20" w:before="20"/>
            </w:pPr>
            <w:r>
              <w:rPr>
                <w:sz w:val="16"/>
              </w:rPr>
              <w:t>268,000</w:t>
            </w:r>
          </w:p>
        </w:tc>
      </w:tr>
    </w:tbl>
    <w:p>
      <w:pPr>
        <w:spacing w:after="120"/>
      </w:pPr>
      <w:r>
        <w:rPr>
          <w:i/>
          <w:color w:val="555555"/>
          <w:sz w:val="16"/>
        </w:rPr>
        <w:t>Table M1.3. Jobs reachable by bus within a travel time threshold, comparable across cities and to international benchmarks. Computed from GTFS and ward employment. No survey involved.</w:t>
      </w:r>
    </w:p>
    <w:p>
      <w:r>
        <w:br w:type="page"/>
      </w:r>
    </w:p>
    <w:p>
      <w:pPr>
        <w:spacing w:before="280" w:after="80"/>
        <w:pBdr>
          <w:bottom w:val="single" w:sz="6" w:space="3" w:color="006D77"/>
        </w:pBdr>
      </w:pPr>
      <w:r>
        <w:rPr>
          <w:b/>
          <w:color w:val="006D77"/>
          <w:sz w:val="26"/>
        </w:rPr>
        <w:t>M2  Health co-benefits</w:t>
      </w:r>
    </w:p>
    <w:p>
      <w:pPr>
        <w:spacing w:before="200" w:after="40"/>
      </w:pPr>
      <w:r>
        <w:rPr>
          <w:b/>
          <w:color w:val="1A1A1A"/>
          <w:sz w:val="22"/>
        </w:rPr>
        <w:t>What is estimated</w:t>
      </w:r>
    </w:p>
    <w:p>
      <w:pPr>
        <w:spacing w:after="100"/>
      </w:pPr>
      <w:r>
        <w:rPr>
          <w:b w:val="0"/>
          <w:i w:val="0"/>
          <w:color w:val="1A1A1A"/>
          <w:sz w:val="20"/>
        </w:rPr>
        <w:t>Comparative risk assessment. For each pathway, a change in exposure is converted into a change in disease burden using a dose-response relationship, then summed.</w:t>
      </w:r>
    </w:p>
    <w:p>
      <w:pPr>
        <w:spacing w:before="80" w:after="100"/>
        <w:ind w:left="340"/>
      </w:pPr>
      <w:r>
        <w:rPr>
          <w:rFonts w:ascii="Consolas" w:hAnsi="Consolas" w:eastAsia="Consolas"/>
          <w:color w:val="224466"/>
          <w:sz w:val="18"/>
        </w:rPr>
        <w:t>ΔDALY  =  Σ_pathway Σ_disease  [ RR(exposure_scenario) − RR(exposure_baseline) ]  ×  Burden_disease,age,sex</w:t>
      </w:r>
    </w:p>
    <w:p>
      <w:pPr>
        <w:spacing w:after="100"/>
      </w:pPr>
      <w:r>
        <w:rPr>
          <w:b w:val="0"/>
          <w:i w:val="0"/>
          <w:color w:val="1A1A1A"/>
          <w:sz w:val="20"/>
        </w:rPr>
        <w:t>Pathways are physical activity from access and egress walking, PM2.5 exposure, road injury exposure, and commute stress. The first three enter the comparative risk assessment. Stress is estimated separately by ordered logit on survey responses and reported alongside, not converted to DALYs.</w:t>
      </w:r>
    </w:p>
    <w:p>
      <w:pPr>
        <w:spacing w:before="200" w:after="40"/>
      </w:pPr>
      <w:r>
        <w:rPr>
          <w:b/>
          <w:color w:val="1A1A1A"/>
          <w:sz w:val="22"/>
        </w:rPr>
        <w:t>Output 1: WHO HEAT, the fast result</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3362"/>
        <w:gridCol w:w="3362"/>
        <w:gridCol w:w="3362"/>
      </w:tblGrid>
      <w:tr>
        <w:tc>
          <w:tcPr>
            <w:tcW w:type="dxa" w:w="3061"/>
            <w:shd w:val="clear" w:color="auto" w:fill="F5E3C3"/>
          </w:tcPr>
          <w:p>
            <w:pPr>
              <w:spacing w:after="20" w:before="20"/>
            </w:pPr>
            <w:r>
              <w:rPr>
                <w:b/>
                <w:sz w:val="16"/>
              </w:rPr>
              <w:t>Quantity</w:t>
            </w:r>
          </w:p>
        </w:tc>
        <w:tc>
          <w:tcPr>
            <w:tcW w:type="dxa" w:w="1928"/>
            <w:shd w:val="clear" w:color="auto" w:fill="F5E3C3"/>
          </w:tcPr>
          <w:p>
            <w:pPr>
              <w:spacing w:after="20" w:before="20"/>
            </w:pPr>
            <w:r>
              <w:rPr>
                <w:b/>
                <w:sz w:val="16"/>
              </w:rPr>
              <w:t>Value</w:t>
            </w:r>
          </w:p>
        </w:tc>
        <w:tc>
          <w:tcPr>
            <w:tcW w:type="dxa" w:w="4195"/>
            <w:shd w:val="clear" w:color="auto" w:fill="F5E3C3"/>
          </w:tcPr>
          <w:p>
            <w:pPr>
              <w:spacing w:after="20" w:before="20"/>
            </w:pPr>
            <w:r>
              <w:rPr>
                <w:b/>
                <w:sz w:val="16"/>
              </w:rPr>
              <w:t>Note</w:t>
            </w:r>
          </w:p>
        </w:tc>
      </w:tr>
      <w:tr>
        <w:tc>
          <w:tcPr>
            <w:tcW w:type="dxa" w:w="3061"/>
            <w:shd w:val="clear" w:color="auto" w:fill="FFF6E5"/>
          </w:tcPr>
          <w:p>
            <w:pPr>
              <w:spacing w:after="20" w:before="20"/>
            </w:pPr>
            <w:r>
              <w:rPr>
                <w:b/>
                <w:sz w:val="16"/>
              </w:rPr>
              <w:t>Additional walking per bus user</w:t>
            </w:r>
          </w:p>
        </w:tc>
        <w:tc>
          <w:tcPr>
            <w:tcW w:type="dxa" w:w="1928"/>
            <w:shd w:val="clear" w:color="auto" w:fill="FFF6E5"/>
          </w:tcPr>
          <w:p>
            <w:pPr>
              <w:spacing w:after="20" w:before="20"/>
            </w:pPr>
            <w:r>
              <w:rPr>
                <w:sz w:val="16"/>
              </w:rPr>
              <w:t>9.4 min/day</w:t>
            </w:r>
          </w:p>
        </w:tc>
        <w:tc>
          <w:tcPr>
            <w:tcW w:type="dxa" w:w="4195"/>
            <w:shd w:val="clear" w:color="auto" w:fill="FFF6E5"/>
          </w:tcPr>
          <w:p>
            <w:pPr>
              <w:spacing w:after="20" w:before="20"/>
            </w:pPr>
            <w:r>
              <w:rPr>
                <w:sz w:val="16"/>
              </w:rPr>
              <w:t>Access plus egress, versus private vehicle users</w:t>
            </w:r>
          </w:p>
        </w:tc>
      </w:tr>
      <w:tr>
        <w:tc>
          <w:tcPr>
            <w:tcW w:type="dxa" w:w="3061"/>
            <w:shd w:val="clear" w:color="auto" w:fill="FFF6E5"/>
          </w:tcPr>
          <w:p>
            <w:pPr>
              <w:spacing w:after="20" w:before="20"/>
            </w:pPr>
            <w:r>
              <w:rPr>
                <w:b/>
                <w:sz w:val="16"/>
              </w:rPr>
              <w:t>Bus users in city</w:t>
            </w:r>
          </w:p>
        </w:tc>
        <w:tc>
          <w:tcPr>
            <w:tcW w:type="dxa" w:w="1928"/>
            <w:shd w:val="clear" w:color="auto" w:fill="FFF6E5"/>
          </w:tcPr>
          <w:p>
            <w:pPr>
              <w:spacing w:after="20" w:before="20"/>
            </w:pPr>
            <w:r>
              <w:rPr>
                <w:sz w:val="16"/>
              </w:rPr>
              <w:t>186,000</w:t>
            </w:r>
          </w:p>
        </w:tc>
        <w:tc>
          <w:tcPr>
            <w:tcW w:type="dxa" w:w="4195"/>
            <w:shd w:val="clear" w:color="auto" w:fill="FFF6E5"/>
          </w:tcPr>
          <w:p>
            <w:pPr>
              <w:spacing w:after="20" w:before="20"/>
            </w:pPr>
            <w:r>
              <w:rPr>
                <w:sz w:val="16"/>
              </w:rPr>
              <w:t>From ridership and survey</w:t>
            </w:r>
          </w:p>
        </w:tc>
      </w:tr>
      <w:tr>
        <w:tc>
          <w:tcPr>
            <w:tcW w:type="dxa" w:w="3061"/>
            <w:shd w:val="clear" w:color="auto" w:fill="FFF6E5"/>
          </w:tcPr>
          <w:p>
            <w:pPr>
              <w:spacing w:after="20" w:before="20"/>
            </w:pPr>
            <w:r>
              <w:rPr>
                <w:b/>
                <w:sz w:val="16"/>
              </w:rPr>
              <w:t>Premature deaths averted per year</w:t>
            </w:r>
          </w:p>
        </w:tc>
        <w:tc>
          <w:tcPr>
            <w:tcW w:type="dxa" w:w="1928"/>
            <w:shd w:val="clear" w:color="auto" w:fill="FFF6E5"/>
          </w:tcPr>
          <w:p>
            <w:pPr>
              <w:spacing w:after="20" w:before="20"/>
            </w:pPr>
            <w:r>
              <w:rPr>
                <w:sz w:val="16"/>
              </w:rPr>
              <w:t>21</w:t>
            </w:r>
          </w:p>
        </w:tc>
        <w:tc>
          <w:tcPr>
            <w:tcW w:type="dxa" w:w="4195"/>
            <w:shd w:val="clear" w:color="auto" w:fill="FFF6E5"/>
          </w:tcPr>
          <w:p>
            <w:pPr>
              <w:spacing w:after="20" w:before="20"/>
            </w:pPr>
            <w:r>
              <w:rPr>
                <w:sz w:val="16"/>
              </w:rPr>
              <w:t>Central estimate</w:t>
            </w:r>
          </w:p>
        </w:tc>
      </w:tr>
      <w:tr>
        <w:tc>
          <w:tcPr>
            <w:tcW w:type="dxa" w:w="3061"/>
            <w:shd w:val="clear" w:color="auto" w:fill="FFF6E5"/>
          </w:tcPr>
          <w:p>
            <w:pPr>
              <w:spacing w:after="20" w:before="20"/>
            </w:pPr>
            <w:r>
              <w:rPr>
                <w:b/>
                <w:sz w:val="16"/>
              </w:rPr>
              <w:t>Uncertainty interval</w:t>
            </w:r>
          </w:p>
        </w:tc>
        <w:tc>
          <w:tcPr>
            <w:tcW w:type="dxa" w:w="1928"/>
            <w:shd w:val="clear" w:color="auto" w:fill="FFF6E5"/>
          </w:tcPr>
          <w:p>
            <w:pPr>
              <w:spacing w:after="20" w:before="20"/>
            </w:pPr>
            <w:r>
              <w:rPr>
                <w:sz w:val="16"/>
              </w:rPr>
              <w:t>9 to 34</w:t>
            </w:r>
          </w:p>
        </w:tc>
        <w:tc>
          <w:tcPr>
            <w:tcW w:type="dxa" w:w="4195"/>
            <w:shd w:val="clear" w:color="auto" w:fill="FFF6E5"/>
          </w:tcPr>
          <w:p>
            <w:pPr>
              <w:spacing w:after="20" w:before="20"/>
            </w:pPr>
            <w:r>
              <w:rPr>
                <w:sz w:val="16"/>
              </w:rPr>
              <w:t>From the dose-response range</w:t>
            </w:r>
          </w:p>
        </w:tc>
      </w:tr>
      <w:tr>
        <w:tc>
          <w:tcPr>
            <w:tcW w:type="dxa" w:w="3061"/>
            <w:shd w:val="clear" w:color="auto" w:fill="FFF6E5"/>
          </w:tcPr>
          <w:p>
            <w:pPr>
              <w:spacing w:after="20" w:before="20"/>
            </w:pPr>
            <w:r>
              <w:rPr>
                <w:b/>
                <w:sz w:val="16"/>
              </w:rPr>
              <w:t>Value at VSL, estimate A</w:t>
            </w:r>
          </w:p>
        </w:tc>
        <w:tc>
          <w:tcPr>
            <w:tcW w:type="dxa" w:w="1928"/>
            <w:shd w:val="clear" w:color="auto" w:fill="FFF6E5"/>
          </w:tcPr>
          <w:p>
            <w:pPr>
              <w:spacing w:after="20" w:before="20"/>
            </w:pPr>
            <w:r>
              <w:rPr>
                <w:sz w:val="16"/>
              </w:rPr>
              <w:t>Rs 94 crore/year</w:t>
            </w:r>
          </w:p>
        </w:tc>
        <w:tc>
          <w:tcPr>
            <w:tcW w:type="dxa" w:w="4195"/>
            <w:shd w:val="clear" w:color="auto" w:fill="FFF6E5"/>
          </w:tcPr>
          <w:p>
            <w:pPr>
              <w:spacing w:after="20" w:before="20"/>
            </w:pPr>
            <w:r>
              <w:rPr>
                <w:sz w:val="16"/>
              </w:rPr>
              <w:t>Using the higher Indian VSL estimate</w:t>
            </w:r>
          </w:p>
        </w:tc>
      </w:tr>
      <w:tr>
        <w:tc>
          <w:tcPr>
            <w:tcW w:type="dxa" w:w="3061"/>
            <w:shd w:val="clear" w:color="auto" w:fill="FFF6E5"/>
          </w:tcPr>
          <w:p>
            <w:pPr>
              <w:spacing w:after="20" w:before="20"/>
            </w:pPr>
            <w:r>
              <w:rPr>
                <w:b/>
                <w:sz w:val="16"/>
              </w:rPr>
              <w:t>Value at VSL, estimate B</w:t>
            </w:r>
          </w:p>
        </w:tc>
        <w:tc>
          <w:tcPr>
            <w:tcW w:type="dxa" w:w="1928"/>
            <w:shd w:val="clear" w:color="auto" w:fill="FFF6E5"/>
          </w:tcPr>
          <w:p>
            <w:pPr>
              <w:spacing w:after="20" w:before="20"/>
            </w:pPr>
            <w:r>
              <w:rPr>
                <w:sz w:val="16"/>
              </w:rPr>
              <w:t>Rs 32 crore/year</w:t>
            </w:r>
          </w:p>
        </w:tc>
        <w:tc>
          <w:tcPr>
            <w:tcW w:type="dxa" w:w="4195"/>
            <w:shd w:val="clear" w:color="auto" w:fill="FFF6E5"/>
          </w:tcPr>
          <w:p>
            <w:pPr>
              <w:spacing w:after="20" w:before="20"/>
            </w:pPr>
            <w:r>
              <w:rPr>
                <w:sz w:val="16"/>
              </w:rPr>
              <w:t>Using the lower Indian VSL estimate</w:t>
            </w:r>
          </w:p>
        </w:tc>
      </w:tr>
    </w:tbl>
    <w:p>
      <w:pPr>
        <w:spacing w:after="120"/>
      </w:pPr>
      <w:r>
        <w:rPr>
          <w:i/>
          <w:color w:val="555555"/>
          <w:sz w:val="16"/>
        </w:rPr>
        <w:t>Table M2.1. Walking pathway only. This is the number available first, because it needs only walking volumes and a value of statistical life.</w:t>
      </w:r>
    </w:p>
    <w:p>
      <w:pPr>
        <w:spacing w:after="100"/>
      </w:pPr>
      <w:r>
        <w:rPr>
          <w:b w:val="0"/>
          <w:i/>
          <w:color w:val="555555"/>
          <w:sz w:val="20"/>
        </w:rPr>
        <w:t>Two VSL rows, not one. Published Indian value-of-statistical-life estimates differ by about three times, so the result is reported as a band and never as a single figure.</w:t>
      </w:r>
    </w:p>
    <w:p>
      <w:pPr>
        <w:spacing w:before="200" w:after="40"/>
      </w:pPr>
      <w:r>
        <w:rPr>
          <w:b/>
          <w:color w:val="1A1A1A"/>
          <w:sz w:val="22"/>
        </w:rPr>
        <w:t>Output 2: full ITHIM pathway decomposition</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835"/>
            <w:shd w:val="clear" w:color="auto" w:fill="F5E3C3"/>
          </w:tcPr>
          <w:p>
            <w:pPr>
              <w:spacing w:after="20" w:before="20"/>
            </w:pPr>
            <w:r>
              <w:rPr>
                <w:b/>
                <w:sz w:val="16"/>
              </w:rPr>
              <w:t>Pathway</w:t>
            </w:r>
          </w:p>
        </w:tc>
        <w:tc>
          <w:tcPr>
            <w:tcW w:type="dxa" w:w="1587"/>
            <w:shd w:val="clear" w:color="auto" w:fill="F5E3C3"/>
          </w:tcPr>
          <w:p>
            <w:pPr>
              <w:spacing w:after="20" w:before="20"/>
            </w:pPr>
            <w:r>
              <w:rPr>
                <w:b/>
                <w:sz w:val="16"/>
              </w:rPr>
              <w:t>DALYs averted</w:t>
              <w:br/>
              <w:t>per year</w:t>
            </w:r>
          </w:p>
        </w:tc>
        <w:tc>
          <w:tcPr>
            <w:tcW w:type="dxa" w:w="1587"/>
            <w:shd w:val="clear" w:color="auto" w:fill="F5E3C3"/>
          </w:tcPr>
          <w:p>
            <w:pPr>
              <w:spacing w:after="20" w:before="20"/>
            </w:pPr>
            <w:r>
              <w:rPr>
                <w:b/>
                <w:sz w:val="16"/>
              </w:rPr>
              <w:t>95% interval</w:t>
            </w:r>
          </w:p>
        </w:tc>
        <w:tc>
          <w:tcPr>
            <w:tcW w:type="dxa" w:w="1587"/>
            <w:shd w:val="clear" w:color="auto" w:fill="F5E3C3"/>
          </w:tcPr>
          <w:p>
            <w:pPr>
              <w:spacing w:after="20" w:before="20"/>
            </w:pPr>
            <w:r>
              <w:rPr>
                <w:b/>
                <w:sz w:val="16"/>
              </w:rPr>
              <w:t>Direction</w:t>
            </w:r>
          </w:p>
        </w:tc>
        <w:tc>
          <w:tcPr>
            <w:tcW w:type="dxa" w:w="2154"/>
            <w:shd w:val="clear" w:color="auto" w:fill="F5E3C3"/>
          </w:tcPr>
          <w:p>
            <w:pPr>
              <w:spacing w:after="20" w:before="20"/>
            </w:pPr>
            <w:r>
              <w:rPr>
                <w:b/>
                <w:sz w:val="16"/>
              </w:rPr>
              <w:t>Driver</w:t>
            </w:r>
          </w:p>
        </w:tc>
      </w:tr>
      <w:tr>
        <w:tc>
          <w:tcPr>
            <w:tcW w:type="dxa" w:w="2835"/>
            <w:shd w:val="clear" w:color="auto" w:fill="FFF6E5"/>
          </w:tcPr>
          <w:p>
            <w:pPr>
              <w:spacing w:after="20" w:before="20"/>
            </w:pPr>
            <w:r>
              <w:rPr>
                <w:b/>
                <w:sz w:val="16"/>
              </w:rPr>
              <w:t>Physical activity (walking gained)</w:t>
            </w:r>
          </w:p>
        </w:tc>
        <w:tc>
          <w:tcPr>
            <w:tcW w:type="dxa" w:w="1587"/>
            <w:shd w:val="clear" w:color="auto" w:fill="FFF6E5"/>
          </w:tcPr>
          <w:p>
            <w:pPr>
              <w:spacing w:after="20" w:before="20"/>
            </w:pPr>
            <w:r>
              <w:rPr>
                <w:sz w:val="16"/>
              </w:rPr>
              <w:t>1,840</w:t>
            </w:r>
          </w:p>
        </w:tc>
        <w:tc>
          <w:tcPr>
            <w:tcW w:type="dxa" w:w="1587"/>
            <w:shd w:val="clear" w:color="auto" w:fill="FFF6E5"/>
          </w:tcPr>
          <w:p>
            <w:pPr>
              <w:spacing w:after="20" w:before="20"/>
            </w:pPr>
            <w:r>
              <w:rPr>
                <w:sz w:val="16"/>
              </w:rPr>
              <w:t>790 to 2,960</w:t>
            </w:r>
          </w:p>
        </w:tc>
        <w:tc>
          <w:tcPr>
            <w:tcW w:type="dxa" w:w="1587"/>
            <w:shd w:val="clear" w:color="auto" w:fill="FFF6E5"/>
          </w:tcPr>
          <w:p>
            <w:pPr>
              <w:spacing w:after="20" w:before="20"/>
            </w:pPr>
            <w:r>
              <w:rPr>
                <w:sz w:val="16"/>
              </w:rPr>
              <w:t>Benefit</w:t>
            </w:r>
          </w:p>
        </w:tc>
        <w:tc>
          <w:tcPr>
            <w:tcW w:type="dxa" w:w="2154"/>
            <w:shd w:val="clear" w:color="auto" w:fill="FFF6E5"/>
          </w:tcPr>
          <w:p>
            <w:pPr>
              <w:spacing w:after="20" w:before="20"/>
            </w:pPr>
            <w:r>
              <w:rPr>
                <w:sz w:val="16"/>
              </w:rPr>
              <w:t>Access and egress walking</w:t>
            </w:r>
          </w:p>
        </w:tc>
      </w:tr>
      <w:tr>
        <w:tc>
          <w:tcPr>
            <w:tcW w:type="dxa" w:w="2835"/>
            <w:shd w:val="clear" w:color="auto" w:fill="FFF6E5"/>
          </w:tcPr>
          <w:p>
            <w:pPr>
              <w:spacing w:after="20" w:before="20"/>
            </w:pPr>
            <w:r>
              <w:rPr>
                <w:b/>
                <w:sz w:val="16"/>
              </w:rPr>
              <w:t>Air pollution, population level</w:t>
            </w:r>
          </w:p>
        </w:tc>
        <w:tc>
          <w:tcPr>
            <w:tcW w:type="dxa" w:w="1587"/>
            <w:shd w:val="clear" w:color="auto" w:fill="FFF6E5"/>
          </w:tcPr>
          <w:p>
            <w:pPr>
              <w:spacing w:after="20" w:before="20"/>
            </w:pPr>
            <w:r>
              <w:rPr>
                <w:sz w:val="16"/>
              </w:rPr>
              <w:t>620</w:t>
            </w:r>
          </w:p>
        </w:tc>
        <w:tc>
          <w:tcPr>
            <w:tcW w:type="dxa" w:w="1587"/>
            <w:shd w:val="clear" w:color="auto" w:fill="FFF6E5"/>
          </w:tcPr>
          <w:p>
            <w:pPr>
              <w:spacing w:after="20" w:before="20"/>
            </w:pPr>
            <w:r>
              <w:rPr>
                <w:sz w:val="16"/>
              </w:rPr>
              <w:t>140 to 1,180</w:t>
            </w:r>
          </w:p>
        </w:tc>
        <w:tc>
          <w:tcPr>
            <w:tcW w:type="dxa" w:w="1587"/>
            <w:shd w:val="clear" w:color="auto" w:fill="FFF6E5"/>
          </w:tcPr>
          <w:p>
            <w:pPr>
              <w:spacing w:after="20" w:before="20"/>
            </w:pPr>
            <w:r>
              <w:rPr>
                <w:sz w:val="16"/>
              </w:rPr>
              <w:t>Benefit</w:t>
            </w:r>
          </w:p>
        </w:tc>
        <w:tc>
          <w:tcPr>
            <w:tcW w:type="dxa" w:w="2154"/>
            <w:shd w:val="clear" w:color="auto" w:fill="FFF6E5"/>
          </w:tcPr>
          <w:p>
            <w:pPr>
              <w:spacing w:after="20" w:before="20"/>
            </w:pPr>
            <w:r>
              <w:rPr>
                <w:sz w:val="16"/>
              </w:rPr>
              <w:t>Fewer vehicle-km on the network</w:t>
            </w:r>
          </w:p>
        </w:tc>
      </w:tr>
      <w:tr>
        <w:tc>
          <w:tcPr>
            <w:tcW w:type="dxa" w:w="2835"/>
            <w:shd w:val="clear" w:color="auto" w:fill="FFF6E5"/>
          </w:tcPr>
          <w:p>
            <w:pPr>
              <w:spacing w:after="20" w:before="20"/>
            </w:pPr>
            <w:r>
              <w:rPr>
                <w:b/>
                <w:sz w:val="16"/>
              </w:rPr>
              <w:t>Air pollution, rider exposure</w:t>
            </w:r>
          </w:p>
        </w:tc>
        <w:tc>
          <w:tcPr>
            <w:tcW w:type="dxa" w:w="1587"/>
            <w:shd w:val="clear" w:color="auto" w:fill="FFF6E5"/>
          </w:tcPr>
          <w:p>
            <w:pPr>
              <w:spacing w:after="20" w:before="20"/>
            </w:pPr>
            <w:r>
              <w:rPr>
                <w:sz w:val="16"/>
              </w:rPr>
              <w:t>−90</w:t>
            </w:r>
          </w:p>
        </w:tc>
        <w:tc>
          <w:tcPr>
            <w:tcW w:type="dxa" w:w="1587"/>
            <w:shd w:val="clear" w:color="auto" w:fill="FFF6E5"/>
          </w:tcPr>
          <w:p>
            <w:pPr>
              <w:spacing w:after="20" w:before="20"/>
            </w:pPr>
            <w:r>
              <w:rPr>
                <w:sz w:val="16"/>
              </w:rPr>
              <w:t>−310 to 60</w:t>
            </w:r>
          </w:p>
        </w:tc>
        <w:tc>
          <w:tcPr>
            <w:tcW w:type="dxa" w:w="1587"/>
            <w:shd w:val="clear" w:color="auto" w:fill="FFF6E5"/>
          </w:tcPr>
          <w:p>
            <w:pPr>
              <w:spacing w:after="20" w:before="20"/>
            </w:pPr>
            <w:r>
              <w:rPr>
                <w:sz w:val="16"/>
              </w:rPr>
              <w:t>Possible harm</w:t>
            </w:r>
          </w:p>
        </w:tc>
        <w:tc>
          <w:tcPr>
            <w:tcW w:type="dxa" w:w="2154"/>
            <w:shd w:val="clear" w:color="auto" w:fill="FFF6E5"/>
          </w:tcPr>
          <w:p>
            <w:pPr>
              <w:spacing w:after="20" w:before="20"/>
            </w:pPr>
            <w:r>
              <w:rPr>
                <w:sz w:val="16"/>
              </w:rPr>
              <w:t>In-bus PM2.5 above air-conditioned cars</w:t>
            </w:r>
          </w:p>
        </w:tc>
      </w:tr>
      <w:tr>
        <w:tc>
          <w:tcPr>
            <w:tcW w:type="dxa" w:w="2835"/>
            <w:shd w:val="clear" w:color="auto" w:fill="FFF6E5"/>
          </w:tcPr>
          <w:p>
            <w:pPr>
              <w:spacing w:after="20" w:before="20"/>
            </w:pPr>
            <w:r>
              <w:rPr>
                <w:b/>
                <w:sz w:val="16"/>
              </w:rPr>
              <w:t>Road injury, mode shift</w:t>
            </w:r>
          </w:p>
        </w:tc>
        <w:tc>
          <w:tcPr>
            <w:tcW w:type="dxa" w:w="1587"/>
            <w:shd w:val="clear" w:color="auto" w:fill="FFF6E5"/>
          </w:tcPr>
          <w:p>
            <w:pPr>
              <w:spacing w:after="20" w:before="20"/>
            </w:pPr>
            <w:r>
              <w:rPr>
                <w:sz w:val="16"/>
              </w:rPr>
              <w:t>1,120</w:t>
            </w:r>
          </w:p>
        </w:tc>
        <w:tc>
          <w:tcPr>
            <w:tcW w:type="dxa" w:w="1587"/>
            <w:shd w:val="clear" w:color="auto" w:fill="FFF6E5"/>
          </w:tcPr>
          <w:p>
            <w:pPr>
              <w:spacing w:after="20" w:before="20"/>
            </w:pPr>
            <w:r>
              <w:rPr>
                <w:sz w:val="16"/>
              </w:rPr>
              <w:t>210 to 2,140</w:t>
            </w:r>
          </w:p>
        </w:tc>
        <w:tc>
          <w:tcPr>
            <w:tcW w:type="dxa" w:w="1587"/>
            <w:shd w:val="clear" w:color="auto" w:fill="FFF6E5"/>
          </w:tcPr>
          <w:p>
            <w:pPr>
              <w:spacing w:after="20" w:before="20"/>
            </w:pPr>
            <w:r>
              <w:rPr>
                <w:sz w:val="16"/>
              </w:rPr>
              <w:t>Benefit</w:t>
            </w:r>
          </w:p>
        </w:tc>
        <w:tc>
          <w:tcPr>
            <w:tcW w:type="dxa" w:w="2154"/>
            <w:shd w:val="clear" w:color="auto" w:fill="FFF6E5"/>
          </w:tcPr>
          <w:p>
            <w:pPr>
              <w:spacing w:after="20" w:before="20"/>
            </w:pPr>
            <w:r>
              <w:rPr>
                <w:sz w:val="16"/>
              </w:rPr>
              <w:t>Away from two-wheelers</w:t>
            </w:r>
          </w:p>
        </w:tc>
      </w:tr>
      <w:tr>
        <w:tc>
          <w:tcPr>
            <w:tcW w:type="dxa" w:w="2835"/>
            <w:shd w:val="clear" w:color="auto" w:fill="FFF6E5"/>
          </w:tcPr>
          <w:p>
            <w:pPr>
              <w:spacing w:after="20" w:before="20"/>
            </w:pPr>
            <w:r>
              <w:rPr>
                <w:b/>
                <w:sz w:val="16"/>
              </w:rPr>
              <w:t>Road injury, pedestrian access</w:t>
            </w:r>
          </w:p>
        </w:tc>
        <w:tc>
          <w:tcPr>
            <w:tcW w:type="dxa" w:w="1587"/>
            <w:shd w:val="clear" w:color="auto" w:fill="FFF6E5"/>
          </w:tcPr>
          <w:p>
            <w:pPr>
              <w:spacing w:after="20" w:before="20"/>
            </w:pPr>
            <w:r>
              <w:rPr>
                <w:sz w:val="16"/>
              </w:rPr>
              <w:t>−340</w:t>
            </w:r>
          </w:p>
        </w:tc>
        <w:tc>
          <w:tcPr>
            <w:tcW w:type="dxa" w:w="1587"/>
            <w:shd w:val="clear" w:color="auto" w:fill="FFF6E5"/>
          </w:tcPr>
          <w:p>
            <w:pPr>
              <w:spacing w:after="20" w:before="20"/>
            </w:pPr>
            <w:r>
              <w:rPr>
                <w:sz w:val="16"/>
              </w:rPr>
              <w:t>−880 to 40</w:t>
            </w:r>
          </w:p>
        </w:tc>
        <w:tc>
          <w:tcPr>
            <w:tcW w:type="dxa" w:w="1587"/>
            <w:shd w:val="clear" w:color="auto" w:fill="FFF6E5"/>
          </w:tcPr>
          <w:p>
            <w:pPr>
              <w:spacing w:after="20" w:before="20"/>
            </w:pPr>
            <w:r>
              <w:rPr>
                <w:sz w:val="16"/>
              </w:rPr>
              <w:t>Possible harm</w:t>
            </w:r>
          </w:p>
        </w:tc>
        <w:tc>
          <w:tcPr>
            <w:tcW w:type="dxa" w:w="2154"/>
            <w:shd w:val="clear" w:color="auto" w:fill="FFF6E5"/>
          </w:tcPr>
          <w:p>
            <w:pPr>
              <w:spacing w:after="20" w:before="20"/>
            </w:pPr>
            <w:r>
              <w:rPr>
                <w:sz w:val="16"/>
              </w:rPr>
              <w:t>Walking to stops in unsafe environments</w:t>
            </w:r>
          </w:p>
        </w:tc>
      </w:tr>
      <w:tr>
        <w:tc>
          <w:tcPr>
            <w:tcW w:type="dxa" w:w="2835"/>
            <w:shd w:val="clear" w:color="auto" w:fill="FFF6E5"/>
          </w:tcPr>
          <w:p>
            <w:pPr>
              <w:spacing w:after="20" w:before="20"/>
            </w:pPr>
            <w:r>
              <w:rPr>
                <w:b/>
                <w:sz w:val="16"/>
              </w:rPr>
              <w:t>NET</w:t>
            </w:r>
          </w:p>
        </w:tc>
        <w:tc>
          <w:tcPr>
            <w:tcW w:type="dxa" w:w="1587"/>
            <w:shd w:val="clear" w:color="auto" w:fill="FFF6E5"/>
          </w:tcPr>
          <w:p>
            <w:pPr>
              <w:spacing w:after="20" w:before="20"/>
            </w:pPr>
            <w:r>
              <w:rPr>
                <w:sz w:val="16"/>
              </w:rPr>
              <w:t>3,150</w:t>
            </w:r>
          </w:p>
        </w:tc>
        <w:tc>
          <w:tcPr>
            <w:tcW w:type="dxa" w:w="1587"/>
            <w:shd w:val="clear" w:color="auto" w:fill="FFF6E5"/>
          </w:tcPr>
          <w:p>
            <w:pPr>
              <w:spacing w:after="20" w:before="20"/>
            </w:pPr>
            <w:r>
              <w:rPr>
                <w:sz w:val="16"/>
              </w:rPr>
              <w:t>460 to 5,780</w:t>
            </w:r>
          </w:p>
        </w:tc>
        <w:tc>
          <w:tcPr>
            <w:tcW w:type="dxa" w:w="1587"/>
            <w:shd w:val="clear" w:color="auto" w:fill="FFF6E5"/>
          </w:tcPr>
          <w:p>
            <w:pPr>
              <w:spacing w:after="20" w:before="20"/>
            </w:pPr>
            <w:r>
              <w:rPr>
                <w:sz w:val="16"/>
              </w:rPr>
              <w:t>Benefit</w:t>
            </w:r>
          </w:p>
        </w:tc>
        <w:tc>
          <w:tcPr>
            <w:tcW w:type="dxa" w:w="2154"/>
            <w:shd w:val="clear" w:color="auto" w:fill="FFF6E5"/>
          </w:tcPr>
          <w:p>
            <w:pPr>
              <w:spacing w:after="20" w:before="20"/>
            </w:pPr>
            <w:r>
              <w:rPr>
                <w:sz w:val="16"/>
              </w:rPr>
              <w:t>Interval includes near-zero</w:t>
            </w:r>
          </w:p>
        </w:tc>
      </w:tr>
    </w:tbl>
    <w:p>
      <w:pPr>
        <w:spacing w:after="120"/>
      </w:pPr>
      <w:r>
        <w:rPr>
          <w:i/>
          <w:color w:val="555555"/>
          <w:sz w:val="16"/>
        </w:rPr>
        <w:t>Table M2.2. DALYs averted per year by pathway, with uncertainty intervals from Monte Carlo. Negative values are harms and must be shown.</w:t>
      </w:r>
    </w:p>
    <w:tbl>
      <w:tblPr>
        <w:tblStyle w:val="TableGrid"/>
        <w:tblW w:type="auto" w:w="0"/>
        <w:tblLook w:firstColumn="1" w:firstRow="1" w:lastColumn="0" w:lastRow="0" w:noHBand="0" w:noVBand="1" w:val="04A0"/>
      </w:tblPr>
      <w:tblGrid>
        <w:gridCol w:w="10086"/>
      </w:tblGrid>
      <w:tr>
        <w:tc>
          <w:tcPr>
            <w:tcW w:type="dxa" w:w="9751"/>
            <w:shd w:val="clear" w:color="auto" w:fill="FBEAEA"/>
          </w:tcPr>
          <w:p>
            <w:pPr>
              <w:spacing w:after="40"/>
            </w:pPr>
            <w:r>
              <w:rPr>
                <w:b/>
                <w:color w:val="992222"/>
                <w:sz w:val="20"/>
              </w:rPr>
              <w:t>The two negative rows are deliberate</w:t>
            </w:r>
          </w:p>
          <w:p>
            <w:pPr>
              <w:spacing w:after="20"/>
            </w:pPr>
            <w:r>
              <w:rPr>
                <w:sz w:val="19"/>
              </w:rPr>
              <w:t>A health model for buses that shows only benefits will not survive peer review. Indian measurements put in-bus particulate exposure above air-conditioned cars, and vulnerable road users are the large majority of Indian road deaths with buses involved in a substantial share. Reporting the harms explicitly, and letting the uncertainty interval approach zero, is what made the seven-city BRT study credible. Design the output table this way from the start.</w:t>
            </w:r>
          </w:p>
        </w:tc>
      </w:tr>
    </w:tbl>
    <w:p>
      <w:pPr>
        <w:spacing w:after="60"/>
      </w:pPr>
    </w:p>
    <w:p>
      <w:pPr>
        <w:spacing w:before="200" w:after="40"/>
      </w:pPr>
      <w:r>
        <w:rPr>
          <w:b/>
          <w:color w:val="1A1A1A"/>
          <w:sz w:val="22"/>
        </w:rPr>
        <w:t>Output 3: who benefits, disaggregated</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608"/>
            <w:shd w:val="clear" w:color="auto" w:fill="F5E3C3"/>
          </w:tcPr>
          <w:p>
            <w:pPr>
              <w:spacing w:after="20" w:before="20"/>
            </w:pPr>
            <w:r>
              <w:rPr>
                <w:b/>
                <w:sz w:val="16"/>
              </w:rPr>
              <w:t>Group</w:t>
            </w:r>
          </w:p>
        </w:tc>
        <w:tc>
          <w:tcPr>
            <w:tcW w:type="dxa" w:w="2154"/>
            <w:shd w:val="clear" w:color="auto" w:fill="F5E3C3"/>
          </w:tcPr>
          <w:p>
            <w:pPr>
              <w:spacing w:after="20" w:before="20"/>
            </w:pPr>
            <w:r>
              <w:rPr>
                <w:b/>
                <w:sz w:val="16"/>
              </w:rPr>
              <w:t>DALYs averted per</w:t>
              <w:br/>
              <w:t>100,000/year</w:t>
            </w:r>
          </w:p>
        </w:tc>
        <w:tc>
          <w:tcPr>
            <w:tcW w:type="dxa" w:w="1928"/>
            <w:shd w:val="clear" w:color="auto" w:fill="F5E3C3"/>
          </w:tcPr>
          <w:p>
            <w:pPr>
              <w:spacing w:after="20" w:before="20"/>
            </w:pPr>
            <w:r>
              <w:rPr>
                <w:b/>
                <w:sz w:val="16"/>
              </w:rPr>
              <w:t>Share of total</w:t>
              <w:br/>
              <w:t>benefit</w:t>
            </w:r>
          </w:p>
        </w:tc>
        <w:tc>
          <w:tcPr>
            <w:tcW w:type="dxa" w:w="1928"/>
            <w:shd w:val="clear" w:color="auto" w:fill="F5E3C3"/>
          </w:tcPr>
          <w:p>
            <w:pPr>
              <w:spacing w:after="20" w:before="20"/>
            </w:pPr>
            <w:r>
              <w:rPr>
                <w:b/>
                <w:sz w:val="16"/>
              </w:rPr>
              <w:t>Share of</w:t>
              <w:br/>
              <w:t>population</w:t>
            </w:r>
          </w:p>
        </w:tc>
      </w:tr>
      <w:tr>
        <w:tc>
          <w:tcPr>
            <w:tcW w:type="dxa" w:w="2608"/>
            <w:shd w:val="clear" w:color="auto" w:fill="FFF6E5"/>
          </w:tcPr>
          <w:p>
            <w:pPr>
              <w:spacing w:after="20" w:before="20"/>
            </w:pPr>
            <w:r>
              <w:rPr>
                <w:b/>
                <w:sz w:val="16"/>
              </w:rPr>
              <w:t>Lowest income tertile</w:t>
            </w:r>
          </w:p>
        </w:tc>
        <w:tc>
          <w:tcPr>
            <w:tcW w:type="dxa" w:w="2154"/>
            <w:shd w:val="clear" w:color="auto" w:fill="FFF6E5"/>
          </w:tcPr>
          <w:p>
            <w:pPr>
              <w:spacing w:after="20" w:before="20"/>
            </w:pPr>
            <w:r>
              <w:rPr>
                <w:sz w:val="16"/>
              </w:rPr>
              <w:t>78</w:t>
            </w:r>
          </w:p>
        </w:tc>
        <w:tc>
          <w:tcPr>
            <w:tcW w:type="dxa" w:w="1928"/>
            <w:shd w:val="clear" w:color="auto" w:fill="FFF6E5"/>
          </w:tcPr>
          <w:p>
            <w:pPr>
              <w:spacing w:after="20" w:before="20"/>
            </w:pPr>
            <w:r>
              <w:rPr>
                <w:sz w:val="16"/>
              </w:rPr>
              <w:t>44%</w:t>
            </w:r>
          </w:p>
        </w:tc>
        <w:tc>
          <w:tcPr>
            <w:tcW w:type="dxa" w:w="1928"/>
            <w:shd w:val="clear" w:color="auto" w:fill="FFF6E5"/>
          </w:tcPr>
          <w:p>
            <w:pPr>
              <w:spacing w:after="20" w:before="20"/>
            </w:pPr>
            <w:r>
              <w:rPr>
                <w:sz w:val="16"/>
              </w:rPr>
              <w:t>33%</w:t>
            </w:r>
          </w:p>
        </w:tc>
      </w:tr>
      <w:tr>
        <w:tc>
          <w:tcPr>
            <w:tcW w:type="dxa" w:w="2608"/>
            <w:shd w:val="clear" w:color="auto" w:fill="FFF6E5"/>
          </w:tcPr>
          <w:p>
            <w:pPr>
              <w:spacing w:after="20" w:before="20"/>
            </w:pPr>
            <w:r>
              <w:rPr>
                <w:b/>
                <w:sz w:val="16"/>
              </w:rPr>
              <w:t>Middle income tertile</w:t>
            </w:r>
          </w:p>
        </w:tc>
        <w:tc>
          <w:tcPr>
            <w:tcW w:type="dxa" w:w="2154"/>
            <w:shd w:val="clear" w:color="auto" w:fill="FFF6E5"/>
          </w:tcPr>
          <w:p>
            <w:pPr>
              <w:spacing w:after="20" w:before="20"/>
            </w:pPr>
            <w:r>
              <w:rPr>
                <w:sz w:val="16"/>
              </w:rPr>
              <w:t>52</w:t>
            </w:r>
          </w:p>
        </w:tc>
        <w:tc>
          <w:tcPr>
            <w:tcW w:type="dxa" w:w="1928"/>
            <w:shd w:val="clear" w:color="auto" w:fill="FFF6E5"/>
          </w:tcPr>
          <w:p>
            <w:pPr>
              <w:spacing w:after="20" w:before="20"/>
            </w:pPr>
            <w:r>
              <w:rPr>
                <w:sz w:val="16"/>
              </w:rPr>
              <w:t>31%</w:t>
            </w:r>
          </w:p>
        </w:tc>
        <w:tc>
          <w:tcPr>
            <w:tcW w:type="dxa" w:w="1928"/>
            <w:shd w:val="clear" w:color="auto" w:fill="FFF6E5"/>
          </w:tcPr>
          <w:p>
            <w:pPr>
              <w:spacing w:after="20" w:before="20"/>
            </w:pPr>
            <w:r>
              <w:rPr>
                <w:sz w:val="16"/>
              </w:rPr>
              <w:t>33%</w:t>
            </w:r>
          </w:p>
        </w:tc>
      </w:tr>
      <w:tr>
        <w:tc>
          <w:tcPr>
            <w:tcW w:type="dxa" w:w="2608"/>
            <w:shd w:val="clear" w:color="auto" w:fill="FFF6E5"/>
          </w:tcPr>
          <w:p>
            <w:pPr>
              <w:spacing w:after="20" w:before="20"/>
            </w:pPr>
            <w:r>
              <w:rPr>
                <w:b/>
                <w:sz w:val="16"/>
              </w:rPr>
              <w:t>Highest income tertile</w:t>
            </w:r>
          </w:p>
        </w:tc>
        <w:tc>
          <w:tcPr>
            <w:tcW w:type="dxa" w:w="2154"/>
            <w:shd w:val="clear" w:color="auto" w:fill="FFF6E5"/>
          </w:tcPr>
          <w:p>
            <w:pPr>
              <w:spacing w:after="20" w:before="20"/>
            </w:pPr>
            <w:r>
              <w:rPr>
                <w:sz w:val="16"/>
              </w:rPr>
              <w:t>39</w:t>
            </w:r>
          </w:p>
        </w:tc>
        <w:tc>
          <w:tcPr>
            <w:tcW w:type="dxa" w:w="1928"/>
            <w:shd w:val="clear" w:color="auto" w:fill="FFF6E5"/>
          </w:tcPr>
          <w:p>
            <w:pPr>
              <w:spacing w:after="20" w:before="20"/>
            </w:pPr>
            <w:r>
              <w:rPr>
                <w:sz w:val="16"/>
              </w:rPr>
              <w:t>25%</w:t>
            </w:r>
          </w:p>
        </w:tc>
        <w:tc>
          <w:tcPr>
            <w:tcW w:type="dxa" w:w="1928"/>
            <w:shd w:val="clear" w:color="auto" w:fill="FFF6E5"/>
          </w:tcPr>
          <w:p>
            <w:pPr>
              <w:spacing w:after="20" w:before="20"/>
            </w:pPr>
            <w:r>
              <w:rPr>
                <w:sz w:val="16"/>
              </w:rPr>
              <w:t>34%</w:t>
            </w:r>
          </w:p>
        </w:tc>
      </w:tr>
      <w:tr>
        <w:tc>
          <w:tcPr>
            <w:tcW w:type="dxa" w:w="2608"/>
            <w:shd w:val="clear" w:color="auto" w:fill="FFF6E5"/>
          </w:tcPr>
          <w:p>
            <w:pPr>
              <w:spacing w:after="20" w:before="20"/>
            </w:pPr>
            <w:r>
              <w:rPr>
                <w:b/>
                <w:sz w:val="16"/>
              </w:rPr>
              <w:t>Women</w:t>
            </w:r>
          </w:p>
        </w:tc>
        <w:tc>
          <w:tcPr>
            <w:tcW w:type="dxa" w:w="2154"/>
            <w:shd w:val="clear" w:color="auto" w:fill="FFF6E5"/>
          </w:tcPr>
          <w:p>
            <w:pPr>
              <w:spacing w:after="20" w:before="20"/>
            </w:pPr>
            <w:r>
              <w:rPr>
                <w:sz w:val="16"/>
              </w:rPr>
              <w:t>64</w:t>
            </w:r>
          </w:p>
        </w:tc>
        <w:tc>
          <w:tcPr>
            <w:tcW w:type="dxa" w:w="1928"/>
            <w:shd w:val="clear" w:color="auto" w:fill="FFF6E5"/>
          </w:tcPr>
          <w:p>
            <w:pPr>
              <w:spacing w:after="20" w:before="20"/>
            </w:pPr>
            <w:r>
              <w:rPr>
                <w:sz w:val="16"/>
              </w:rPr>
              <w:t>51%</w:t>
            </w:r>
          </w:p>
        </w:tc>
        <w:tc>
          <w:tcPr>
            <w:tcW w:type="dxa" w:w="1928"/>
            <w:shd w:val="clear" w:color="auto" w:fill="FFF6E5"/>
          </w:tcPr>
          <w:p>
            <w:pPr>
              <w:spacing w:after="20" w:before="20"/>
            </w:pPr>
            <w:r>
              <w:rPr>
                <w:sz w:val="16"/>
              </w:rPr>
              <w:t>48%</w:t>
            </w:r>
          </w:p>
        </w:tc>
      </w:tr>
      <w:tr>
        <w:tc>
          <w:tcPr>
            <w:tcW w:type="dxa" w:w="2608"/>
            <w:shd w:val="clear" w:color="auto" w:fill="FFF6E5"/>
          </w:tcPr>
          <w:p>
            <w:pPr>
              <w:spacing w:after="20" w:before="20"/>
            </w:pPr>
            <w:r>
              <w:rPr>
                <w:b/>
                <w:sz w:val="16"/>
              </w:rPr>
              <w:t>Men</w:t>
            </w:r>
          </w:p>
        </w:tc>
        <w:tc>
          <w:tcPr>
            <w:tcW w:type="dxa" w:w="2154"/>
            <w:shd w:val="clear" w:color="auto" w:fill="FFF6E5"/>
          </w:tcPr>
          <w:p>
            <w:pPr>
              <w:spacing w:after="20" w:before="20"/>
            </w:pPr>
            <w:r>
              <w:rPr>
                <w:sz w:val="16"/>
              </w:rPr>
              <w:t>58</w:t>
            </w:r>
          </w:p>
        </w:tc>
        <w:tc>
          <w:tcPr>
            <w:tcW w:type="dxa" w:w="1928"/>
            <w:shd w:val="clear" w:color="auto" w:fill="FFF6E5"/>
          </w:tcPr>
          <w:p>
            <w:pPr>
              <w:spacing w:after="20" w:before="20"/>
            </w:pPr>
            <w:r>
              <w:rPr>
                <w:sz w:val="16"/>
              </w:rPr>
              <w:t>49%</w:t>
            </w:r>
          </w:p>
        </w:tc>
        <w:tc>
          <w:tcPr>
            <w:tcW w:type="dxa" w:w="1928"/>
            <w:shd w:val="clear" w:color="auto" w:fill="FFF6E5"/>
          </w:tcPr>
          <w:p>
            <w:pPr>
              <w:spacing w:after="20" w:before="20"/>
            </w:pPr>
            <w:r>
              <w:rPr>
                <w:sz w:val="16"/>
              </w:rPr>
              <w:t>52%</w:t>
            </w:r>
          </w:p>
        </w:tc>
      </w:tr>
      <w:tr>
        <w:tc>
          <w:tcPr>
            <w:tcW w:type="dxa" w:w="2608"/>
            <w:shd w:val="clear" w:color="auto" w:fill="FFF6E5"/>
          </w:tcPr>
          <w:p>
            <w:pPr>
              <w:spacing w:after="20" w:before="20"/>
            </w:pPr>
            <w:r>
              <w:rPr>
                <w:b/>
                <w:sz w:val="16"/>
              </w:rPr>
              <w:t>Households without a vehicle</w:t>
            </w:r>
          </w:p>
        </w:tc>
        <w:tc>
          <w:tcPr>
            <w:tcW w:type="dxa" w:w="2154"/>
            <w:shd w:val="clear" w:color="auto" w:fill="FFF6E5"/>
          </w:tcPr>
          <w:p>
            <w:pPr>
              <w:spacing w:after="20" w:before="20"/>
            </w:pPr>
            <w:r>
              <w:rPr>
                <w:sz w:val="16"/>
              </w:rPr>
              <w:t>91</w:t>
            </w:r>
          </w:p>
        </w:tc>
        <w:tc>
          <w:tcPr>
            <w:tcW w:type="dxa" w:w="1928"/>
            <w:shd w:val="clear" w:color="auto" w:fill="FFF6E5"/>
          </w:tcPr>
          <w:p>
            <w:pPr>
              <w:spacing w:after="20" w:before="20"/>
            </w:pPr>
            <w:r>
              <w:rPr>
                <w:sz w:val="16"/>
              </w:rPr>
              <w:t>38%</w:t>
            </w:r>
          </w:p>
        </w:tc>
        <w:tc>
          <w:tcPr>
            <w:tcW w:type="dxa" w:w="1928"/>
            <w:shd w:val="clear" w:color="auto" w:fill="FFF6E5"/>
          </w:tcPr>
          <w:p>
            <w:pPr>
              <w:spacing w:after="20" w:before="20"/>
            </w:pPr>
            <w:r>
              <w:rPr>
                <w:sz w:val="16"/>
              </w:rPr>
              <w:t>27%</w:t>
            </w:r>
          </w:p>
        </w:tc>
      </w:tr>
    </w:tbl>
    <w:p>
      <w:pPr>
        <w:spacing w:after="120"/>
      </w:pPr>
      <w:r>
        <w:rPr>
          <w:i/>
          <w:color w:val="555555"/>
          <w:sz w:val="16"/>
        </w:rPr>
        <w:t>Table M2.3. DALYs averted per 100,000 population, by group. This is the equity result and the metric climate funds ask for.</w:t>
      </w:r>
    </w:p>
    <w:p>
      <w:pPr>
        <w:spacing w:before="200" w:after="40"/>
      </w:pPr>
      <w:r>
        <w:rPr>
          <w:b/>
          <w:color w:val="1A1A1A"/>
          <w:sz w:val="22"/>
        </w:rPr>
        <w:t>Output 4: commute stress, reported separately</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3362"/>
        <w:gridCol w:w="3362"/>
        <w:gridCol w:w="3362"/>
      </w:tblGrid>
      <w:tr>
        <w:tc>
          <w:tcPr>
            <w:tcW w:type="dxa" w:w="3061"/>
            <w:shd w:val="clear" w:color="auto" w:fill="F5E3C3"/>
          </w:tcPr>
          <w:p>
            <w:pPr>
              <w:spacing w:after="20" w:before="20"/>
            </w:pPr>
            <w:r>
              <w:rPr>
                <w:b/>
                <w:sz w:val="16"/>
              </w:rPr>
              <w:t>Variable</w:t>
            </w:r>
          </w:p>
        </w:tc>
        <w:tc>
          <w:tcPr>
            <w:tcW w:type="dxa" w:w="1587"/>
            <w:shd w:val="clear" w:color="auto" w:fill="F5E3C3"/>
          </w:tcPr>
          <w:p>
            <w:pPr>
              <w:spacing w:after="20" w:before="20"/>
            </w:pPr>
            <w:r>
              <w:rPr>
                <w:b/>
                <w:sz w:val="16"/>
              </w:rPr>
              <w:t>Odds ratio</w:t>
            </w:r>
          </w:p>
        </w:tc>
        <w:tc>
          <w:tcPr>
            <w:tcW w:type="dxa" w:w="4535"/>
            <w:shd w:val="clear" w:color="auto" w:fill="F5E3C3"/>
          </w:tcPr>
          <w:p>
            <w:pPr>
              <w:spacing w:after="20" w:before="20"/>
            </w:pPr>
            <w:r>
              <w:rPr>
                <w:b/>
                <w:sz w:val="16"/>
              </w:rPr>
              <w:t>Interpretation</w:t>
            </w:r>
          </w:p>
        </w:tc>
      </w:tr>
      <w:tr>
        <w:tc>
          <w:tcPr>
            <w:tcW w:type="dxa" w:w="3061"/>
            <w:shd w:val="clear" w:color="auto" w:fill="FFF6E5"/>
          </w:tcPr>
          <w:p>
            <w:pPr>
              <w:spacing w:after="20" w:before="20"/>
            </w:pPr>
            <w:r>
              <w:rPr>
                <w:b/>
                <w:sz w:val="16"/>
              </w:rPr>
              <w:t>Bus user (versus two-wheeler)</w:t>
            </w:r>
          </w:p>
        </w:tc>
        <w:tc>
          <w:tcPr>
            <w:tcW w:type="dxa" w:w="1587"/>
            <w:shd w:val="clear" w:color="auto" w:fill="FFF6E5"/>
          </w:tcPr>
          <w:p>
            <w:pPr>
              <w:spacing w:after="20" w:before="20"/>
            </w:pPr>
            <w:r>
              <w:rPr>
                <w:sz w:val="16"/>
              </w:rPr>
              <w:t>0.74**</w:t>
            </w:r>
          </w:p>
        </w:tc>
        <w:tc>
          <w:tcPr>
            <w:tcW w:type="dxa" w:w="4535"/>
            <w:shd w:val="clear" w:color="auto" w:fill="FFF6E5"/>
          </w:tcPr>
          <w:p>
            <w:pPr>
              <w:spacing w:after="20" w:before="20"/>
            </w:pPr>
            <w:r>
              <w:rPr>
                <w:sz w:val="16"/>
              </w:rPr>
              <w:t>Lower odds of reporting high commute stress</w:t>
            </w:r>
          </w:p>
        </w:tc>
      </w:tr>
      <w:tr>
        <w:tc>
          <w:tcPr>
            <w:tcW w:type="dxa" w:w="3061"/>
            <w:shd w:val="clear" w:color="auto" w:fill="FFF6E5"/>
          </w:tcPr>
          <w:p>
            <w:pPr>
              <w:spacing w:after="20" w:before="20"/>
            </w:pPr>
            <w:r>
              <w:rPr>
                <w:b/>
                <w:sz w:val="16"/>
              </w:rPr>
              <w:t>Waiting time, per 5 min</w:t>
            </w:r>
          </w:p>
        </w:tc>
        <w:tc>
          <w:tcPr>
            <w:tcW w:type="dxa" w:w="1587"/>
            <w:shd w:val="clear" w:color="auto" w:fill="FFF6E5"/>
          </w:tcPr>
          <w:p>
            <w:pPr>
              <w:spacing w:after="20" w:before="20"/>
            </w:pPr>
            <w:r>
              <w:rPr>
                <w:sz w:val="16"/>
              </w:rPr>
              <w:t>1.19***</w:t>
            </w:r>
          </w:p>
        </w:tc>
        <w:tc>
          <w:tcPr>
            <w:tcW w:type="dxa" w:w="4535"/>
            <w:shd w:val="clear" w:color="auto" w:fill="FFF6E5"/>
          </w:tcPr>
          <w:p>
            <w:pPr>
              <w:spacing w:after="20" w:before="20"/>
            </w:pPr>
            <w:r>
              <w:rPr>
                <w:sz w:val="16"/>
              </w:rPr>
              <w:t>Waiting drives stress more than in-vehicle time</w:t>
            </w:r>
          </w:p>
        </w:tc>
      </w:tr>
      <w:tr>
        <w:tc>
          <w:tcPr>
            <w:tcW w:type="dxa" w:w="3061"/>
            <w:shd w:val="clear" w:color="auto" w:fill="FFF6E5"/>
          </w:tcPr>
          <w:p>
            <w:pPr>
              <w:spacing w:after="20" w:before="20"/>
            </w:pPr>
            <w:r>
              <w:rPr>
                <w:b/>
                <w:sz w:val="16"/>
              </w:rPr>
              <w:t>Crowding, per unit</w:t>
            </w:r>
          </w:p>
        </w:tc>
        <w:tc>
          <w:tcPr>
            <w:tcW w:type="dxa" w:w="1587"/>
            <w:shd w:val="clear" w:color="auto" w:fill="FFF6E5"/>
          </w:tcPr>
          <w:p>
            <w:pPr>
              <w:spacing w:after="20" w:before="20"/>
            </w:pPr>
            <w:r>
              <w:rPr>
                <w:sz w:val="16"/>
              </w:rPr>
              <w:t>1.31***</w:t>
            </w:r>
          </w:p>
        </w:tc>
        <w:tc>
          <w:tcPr>
            <w:tcW w:type="dxa" w:w="4535"/>
            <w:shd w:val="clear" w:color="auto" w:fill="FFF6E5"/>
          </w:tcPr>
          <w:p>
            <w:pPr>
              <w:spacing w:after="20" w:before="20"/>
            </w:pPr>
            <w:r>
              <w:rPr>
                <w:sz w:val="16"/>
              </w:rPr>
              <w:t>The largest single stressor in this mock-up</w:t>
            </w:r>
          </w:p>
        </w:tc>
      </w:tr>
      <w:tr>
        <w:tc>
          <w:tcPr>
            <w:tcW w:type="dxa" w:w="3061"/>
            <w:shd w:val="clear" w:color="auto" w:fill="FFF6E5"/>
          </w:tcPr>
          <w:p>
            <w:pPr>
              <w:spacing w:after="20" w:before="20"/>
            </w:pPr>
            <w:r>
              <w:rPr>
                <w:b/>
                <w:sz w:val="16"/>
              </w:rPr>
              <w:t>Perceived safety, per unit</w:t>
            </w:r>
          </w:p>
        </w:tc>
        <w:tc>
          <w:tcPr>
            <w:tcW w:type="dxa" w:w="1587"/>
            <w:shd w:val="clear" w:color="auto" w:fill="FFF6E5"/>
          </w:tcPr>
          <w:p>
            <w:pPr>
              <w:spacing w:after="20" w:before="20"/>
            </w:pPr>
            <w:r>
              <w:rPr>
                <w:sz w:val="16"/>
              </w:rPr>
              <w:t>0.68***</w:t>
            </w:r>
          </w:p>
        </w:tc>
        <w:tc>
          <w:tcPr>
            <w:tcW w:type="dxa" w:w="4535"/>
            <w:shd w:val="clear" w:color="auto" w:fill="FFF6E5"/>
          </w:tcPr>
          <w:p>
            <w:pPr>
              <w:spacing w:after="20" w:before="20"/>
            </w:pPr>
            <w:r>
              <w:rPr>
                <w:sz w:val="16"/>
              </w:rPr>
              <w:t>Feeling safe strongly reduces reported stress</w:t>
            </w:r>
          </w:p>
        </w:tc>
      </w:tr>
      <w:tr>
        <w:tc>
          <w:tcPr>
            <w:tcW w:type="dxa" w:w="3061"/>
            <w:shd w:val="clear" w:color="auto" w:fill="FFF6E5"/>
          </w:tcPr>
          <w:p>
            <w:pPr>
              <w:spacing w:after="20" w:before="20"/>
            </w:pPr>
            <w:r>
              <w:rPr>
                <w:b/>
                <w:sz w:val="16"/>
              </w:rPr>
              <w:t>Female</w:t>
            </w:r>
          </w:p>
        </w:tc>
        <w:tc>
          <w:tcPr>
            <w:tcW w:type="dxa" w:w="1587"/>
            <w:shd w:val="clear" w:color="auto" w:fill="FFF6E5"/>
          </w:tcPr>
          <w:p>
            <w:pPr>
              <w:spacing w:after="20" w:before="20"/>
            </w:pPr>
            <w:r>
              <w:rPr>
                <w:sz w:val="16"/>
              </w:rPr>
              <w:t>1.42***</w:t>
            </w:r>
          </w:p>
        </w:tc>
        <w:tc>
          <w:tcPr>
            <w:tcW w:type="dxa" w:w="4535"/>
            <w:shd w:val="clear" w:color="auto" w:fill="FFF6E5"/>
          </w:tcPr>
          <w:p>
            <w:pPr>
              <w:spacing w:after="20" w:before="20"/>
            </w:pPr>
            <w:r>
              <w:rPr>
                <w:sz w:val="16"/>
              </w:rPr>
              <w:t>Women report higher stress at the same trip attributes</w:t>
            </w:r>
          </w:p>
        </w:tc>
      </w:tr>
    </w:tbl>
    <w:p>
      <w:pPr>
        <w:spacing w:after="120"/>
      </w:pPr>
      <w:r>
        <w:rPr>
          <w:i/>
          <w:color w:val="555555"/>
          <w:sz w:val="16"/>
        </w:rPr>
        <w:t>Table M2.4. Ordered logit on a five-point stress scale. Odds ratios. Not converted to DALYs.</w:t>
      </w:r>
    </w:p>
    <w:p>
      <w:r>
        <w:br w:type="page"/>
      </w:r>
    </w:p>
    <w:p>
      <w:pPr>
        <w:spacing w:before="280" w:after="80"/>
        <w:pBdr>
          <w:bottom w:val="single" w:sz="6" w:space="3" w:color="006D77"/>
        </w:pBdr>
      </w:pPr>
      <w:r>
        <w:rPr>
          <w:b/>
          <w:color w:val="006D77"/>
          <w:sz w:val="26"/>
        </w:rPr>
        <w:t>M3  GHG mitigation</w:t>
      </w:r>
    </w:p>
    <w:p>
      <w:pPr>
        <w:spacing w:before="80" w:after="100"/>
        <w:ind w:left="340"/>
      </w:pPr>
      <w:r>
        <w:rPr>
          <w:rFonts w:ascii="Consolas" w:hAnsi="Consolas" w:eastAsia="Consolas"/>
          <w:color w:val="224466"/>
          <w:sz w:val="18"/>
        </w:rPr>
        <w:t>ΔCO₂e  =  Σ_mode [ VKT_avoided,mode × EF_mode ]  −  [ Bus_VKT × EF_bus(grid, charging) ]</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41"/>
            <w:shd w:val="clear" w:color="auto" w:fill="F5E3C3"/>
          </w:tcPr>
          <w:p>
            <w:pPr>
              <w:spacing w:after="20" w:before="20"/>
            </w:pPr>
            <w:r>
              <w:rPr>
                <w:b/>
                <w:sz w:val="16"/>
              </w:rPr>
              <w:t>Scenario</w:t>
            </w:r>
          </w:p>
        </w:tc>
        <w:tc>
          <w:tcPr>
            <w:tcW w:type="dxa" w:w="1928"/>
            <w:shd w:val="clear" w:color="auto" w:fill="F5E3C3"/>
          </w:tcPr>
          <w:p>
            <w:pPr>
              <w:spacing w:after="20" w:before="20"/>
            </w:pPr>
            <w:r>
              <w:rPr>
                <w:b/>
                <w:sz w:val="16"/>
              </w:rPr>
              <w:t>Vehicle-km avoided</w:t>
              <w:br/>
              <w:t>million/year</w:t>
            </w:r>
          </w:p>
        </w:tc>
        <w:tc>
          <w:tcPr>
            <w:tcW w:type="dxa" w:w="1814"/>
            <w:shd w:val="clear" w:color="auto" w:fill="F5E3C3"/>
          </w:tcPr>
          <w:p>
            <w:pPr>
              <w:spacing w:after="20" w:before="20"/>
            </w:pPr>
            <w:r>
              <w:rPr>
                <w:b/>
                <w:sz w:val="16"/>
              </w:rPr>
              <w:t>Bus emissions</w:t>
              <w:br/>
              <w:t>tCO₂e/year</w:t>
            </w:r>
          </w:p>
        </w:tc>
        <w:tc>
          <w:tcPr>
            <w:tcW w:type="dxa" w:w="1814"/>
            <w:shd w:val="clear" w:color="auto" w:fill="F5E3C3"/>
          </w:tcPr>
          <w:p>
            <w:pPr>
              <w:spacing w:after="20" w:before="20"/>
            </w:pPr>
            <w:r>
              <w:rPr>
                <w:b/>
                <w:sz w:val="16"/>
              </w:rPr>
              <w:t>Net avoided</w:t>
              <w:br/>
              <w:t>tCO₂e/year</w:t>
            </w:r>
          </w:p>
        </w:tc>
        <w:tc>
          <w:tcPr>
            <w:tcW w:type="dxa" w:w="1587"/>
            <w:shd w:val="clear" w:color="auto" w:fill="F5E3C3"/>
          </w:tcPr>
          <w:p>
            <w:pPr>
              <w:spacing w:after="20" w:before="20"/>
            </w:pPr>
            <w:r>
              <w:rPr>
                <w:b/>
                <w:sz w:val="16"/>
              </w:rPr>
              <w:t>Per bus</w:t>
              <w:br/>
              <w:t>tCO₂e/year</w:t>
            </w:r>
          </w:p>
        </w:tc>
      </w:tr>
      <w:tr>
        <w:tc>
          <w:tcPr>
            <w:tcW w:type="dxa" w:w="2041"/>
            <w:shd w:val="clear" w:color="auto" w:fill="FFF6E5"/>
          </w:tcPr>
          <w:p>
            <w:pPr>
              <w:spacing w:after="20" w:before="20"/>
            </w:pPr>
            <w:r>
              <w:rPr>
                <w:b/>
                <w:sz w:val="16"/>
              </w:rPr>
              <w:t>Current grid mix</w:t>
            </w:r>
          </w:p>
        </w:tc>
        <w:tc>
          <w:tcPr>
            <w:tcW w:type="dxa" w:w="1928"/>
            <w:shd w:val="clear" w:color="auto" w:fill="FFF6E5"/>
          </w:tcPr>
          <w:p>
            <w:pPr>
              <w:spacing w:after="20" w:before="20"/>
            </w:pPr>
            <w:r>
              <w:rPr>
                <w:sz w:val="16"/>
              </w:rPr>
              <w:t>142</w:t>
            </w:r>
          </w:p>
        </w:tc>
        <w:tc>
          <w:tcPr>
            <w:tcW w:type="dxa" w:w="1814"/>
            <w:shd w:val="clear" w:color="auto" w:fill="FFF6E5"/>
          </w:tcPr>
          <w:p>
            <w:pPr>
              <w:spacing w:after="20" w:before="20"/>
            </w:pPr>
            <w:r>
              <w:rPr>
                <w:sz w:val="16"/>
              </w:rPr>
              <w:t>18,400</w:t>
            </w:r>
          </w:p>
        </w:tc>
        <w:tc>
          <w:tcPr>
            <w:tcW w:type="dxa" w:w="1814"/>
            <w:shd w:val="clear" w:color="auto" w:fill="FFF6E5"/>
          </w:tcPr>
          <w:p>
            <w:pPr>
              <w:spacing w:after="20" w:before="20"/>
            </w:pPr>
            <w:r>
              <w:rPr>
                <w:sz w:val="16"/>
              </w:rPr>
              <w:t>31,200</w:t>
            </w:r>
          </w:p>
        </w:tc>
        <w:tc>
          <w:tcPr>
            <w:tcW w:type="dxa" w:w="1587"/>
            <w:shd w:val="clear" w:color="auto" w:fill="FFF6E5"/>
          </w:tcPr>
          <w:p>
            <w:pPr>
              <w:spacing w:after="20" w:before="20"/>
            </w:pPr>
            <w:r>
              <w:rPr>
                <w:sz w:val="16"/>
              </w:rPr>
              <w:t>156</w:t>
            </w:r>
          </w:p>
        </w:tc>
      </w:tr>
      <w:tr>
        <w:tc>
          <w:tcPr>
            <w:tcW w:type="dxa" w:w="2041"/>
            <w:shd w:val="clear" w:color="auto" w:fill="FFF6E5"/>
          </w:tcPr>
          <w:p>
            <w:pPr>
              <w:spacing w:after="20" w:before="20"/>
            </w:pPr>
            <w:r>
              <w:rPr>
                <w:b/>
                <w:sz w:val="16"/>
              </w:rPr>
              <w:t>Stated policy grid, 2030</w:t>
            </w:r>
          </w:p>
        </w:tc>
        <w:tc>
          <w:tcPr>
            <w:tcW w:type="dxa" w:w="1928"/>
            <w:shd w:val="clear" w:color="auto" w:fill="FFF6E5"/>
          </w:tcPr>
          <w:p>
            <w:pPr>
              <w:spacing w:after="20" w:before="20"/>
            </w:pPr>
            <w:r>
              <w:rPr>
                <w:sz w:val="16"/>
              </w:rPr>
              <w:t>142</w:t>
            </w:r>
          </w:p>
        </w:tc>
        <w:tc>
          <w:tcPr>
            <w:tcW w:type="dxa" w:w="1814"/>
            <w:shd w:val="clear" w:color="auto" w:fill="FFF6E5"/>
          </w:tcPr>
          <w:p>
            <w:pPr>
              <w:spacing w:after="20" w:before="20"/>
            </w:pPr>
            <w:r>
              <w:rPr>
                <w:sz w:val="16"/>
              </w:rPr>
              <w:t>11,900</w:t>
            </w:r>
          </w:p>
        </w:tc>
        <w:tc>
          <w:tcPr>
            <w:tcW w:type="dxa" w:w="1814"/>
            <w:shd w:val="clear" w:color="auto" w:fill="FFF6E5"/>
          </w:tcPr>
          <w:p>
            <w:pPr>
              <w:spacing w:after="20" w:before="20"/>
            </w:pPr>
            <w:r>
              <w:rPr>
                <w:sz w:val="16"/>
              </w:rPr>
              <w:t>37,700</w:t>
            </w:r>
          </w:p>
        </w:tc>
        <w:tc>
          <w:tcPr>
            <w:tcW w:type="dxa" w:w="1587"/>
            <w:shd w:val="clear" w:color="auto" w:fill="FFF6E5"/>
          </w:tcPr>
          <w:p>
            <w:pPr>
              <w:spacing w:after="20" w:before="20"/>
            </w:pPr>
            <w:r>
              <w:rPr>
                <w:sz w:val="16"/>
              </w:rPr>
              <w:t>189</w:t>
            </w:r>
          </w:p>
        </w:tc>
      </w:tr>
      <w:tr>
        <w:tc>
          <w:tcPr>
            <w:tcW w:type="dxa" w:w="2041"/>
            <w:shd w:val="clear" w:color="auto" w:fill="FFF6E5"/>
          </w:tcPr>
          <w:p>
            <w:pPr>
              <w:spacing w:after="20" w:before="20"/>
            </w:pPr>
            <w:r>
              <w:rPr>
                <w:b/>
                <w:sz w:val="16"/>
              </w:rPr>
              <w:t>Fully renewable grid</w:t>
            </w:r>
          </w:p>
        </w:tc>
        <w:tc>
          <w:tcPr>
            <w:tcW w:type="dxa" w:w="1928"/>
            <w:shd w:val="clear" w:color="auto" w:fill="FFF6E5"/>
          </w:tcPr>
          <w:p>
            <w:pPr>
              <w:spacing w:after="20" w:before="20"/>
            </w:pPr>
            <w:r>
              <w:rPr>
                <w:sz w:val="16"/>
              </w:rPr>
              <w:t>142</w:t>
            </w:r>
          </w:p>
        </w:tc>
        <w:tc>
          <w:tcPr>
            <w:tcW w:type="dxa" w:w="1814"/>
            <w:shd w:val="clear" w:color="auto" w:fill="FFF6E5"/>
          </w:tcPr>
          <w:p>
            <w:pPr>
              <w:spacing w:after="20" w:before="20"/>
            </w:pPr>
            <w:r>
              <w:rPr>
                <w:sz w:val="16"/>
              </w:rPr>
              <w:t>1,200</w:t>
            </w:r>
          </w:p>
        </w:tc>
        <w:tc>
          <w:tcPr>
            <w:tcW w:type="dxa" w:w="1814"/>
            <w:shd w:val="clear" w:color="auto" w:fill="FFF6E5"/>
          </w:tcPr>
          <w:p>
            <w:pPr>
              <w:spacing w:after="20" w:before="20"/>
            </w:pPr>
            <w:r>
              <w:rPr>
                <w:sz w:val="16"/>
              </w:rPr>
              <w:t>48,400</w:t>
            </w:r>
          </w:p>
        </w:tc>
        <w:tc>
          <w:tcPr>
            <w:tcW w:type="dxa" w:w="1587"/>
            <w:shd w:val="clear" w:color="auto" w:fill="FFF6E5"/>
          </w:tcPr>
          <w:p>
            <w:pPr>
              <w:spacing w:after="20" w:before="20"/>
            </w:pPr>
            <w:r>
              <w:rPr>
                <w:sz w:val="16"/>
              </w:rPr>
              <w:t>242</w:t>
            </w:r>
          </w:p>
        </w:tc>
      </w:tr>
    </w:tbl>
    <w:p>
      <w:pPr>
        <w:spacing w:after="120"/>
      </w:pPr>
      <w:r>
        <w:rPr>
          <w:i/>
          <w:color w:val="555555"/>
          <w:sz w:val="16"/>
        </w:rPr>
        <w:t>Table M3.1. Annual GHG outcome under three grid scenarios. Scenario range, not a point estimate.</w:t>
      </w:r>
    </w:p>
    <w:p>
      <w:pPr>
        <w:spacing w:before="280" w:after="80"/>
        <w:pBdr>
          <w:bottom w:val="single" w:sz="6" w:space="3" w:color="006D77"/>
        </w:pBdr>
      </w:pPr>
      <w:r>
        <w:rPr>
          <w:b/>
          <w:color w:val="006D77"/>
          <w:sz w:val="26"/>
        </w:rPr>
        <w:t>M4  Resilience and adaptation</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835"/>
            <w:shd w:val="clear" w:color="auto" w:fill="F5E3C3"/>
          </w:tcPr>
          <w:p>
            <w:pPr>
              <w:spacing w:after="20" w:before="20"/>
            </w:pPr>
            <w:r>
              <w:rPr>
                <w:b/>
                <w:sz w:val="16"/>
              </w:rPr>
              <w:t>Indicator</w:t>
            </w:r>
          </w:p>
        </w:tc>
        <w:tc>
          <w:tcPr>
            <w:tcW w:type="dxa" w:w="1814"/>
            <w:shd w:val="clear" w:color="auto" w:fill="F5E3C3"/>
          </w:tcPr>
          <w:p>
            <w:pPr>
              <w:spacing w:after="20" w:before="20"/>
            </w:pPr>
            <w:r>
              <w:rPr>
                <w:b/>
                <w:sz w:val="16"/>
              </w:rPr>
              <w:t>Bus network</w:t>
            </w:r>
          </w:p>
        </w:tc>
        <w:tc>
          <w:tcPr>
            <w:tcW w:type="dxa" w:w="1814"/>
            <w:shd w:val="clear" w:color="auto" w:fill="F5E3C3"/>
          </w:tcPr>
          <w:p>
            <w:pPr>
              <w:spacing w:after="20" w:before="20"/>
            </w:pPr>
            <w:r>
              <w:rPr>
                <w:b/>
                <w:sz w:val="16"/>
              </w:rPr>
              <w:t>Private vehicle</w:t>
            </w:r>
          </w:p>
        </w:tc>
        <w:tc>
          <w:tcPr>
            <w:tcW w:type="dxa" w:w="3175"/>
            <w:shd w:val="clear" w:color="auto" w:fill="F5E3C3"/>
          </w:tcPr>
          <w:p>
            <w:pPr>
              <w:spacing w:after="20" w:before="20"/>
            </w:pPr>
            <w:r>
              <w:rPr>
                <w:b/>
                <w:sz w:val="16"/>
              </w:rPr>
              <w:t>Note</w:t>
            </w:r>
          </w:p>
        </w:tc>
      </w:tr>
      <w:tr>
        <w:tc>
          <w:tcPr>
            <w:tcW w:type="dxa" w:w="2835"/>
            <w:shd w:val="clear" w:color="auto" w:fill="FFF6E5"/>
          </w:tcPr>
          <w:p>
            <w:pPr>
              <w:spacing w:after="20" w:before="20"/>
            </w:pPr>
            <w:r>
              <w:rPr>
                <w:b/>
                <w:sz w:val="16"/>
              </w:rPr>
              <w:t>Population still mobile during flood event</w:t>
            </w:r>
          </w:p>
        </w:tc>
        <w:tc>
          <w:tcPr>
            <w:tcW w:type="dxa" w:w="1814"/>
            <w:shd w:val="clear" w:color="auto" w:fill="FFF6E5"/>
          </w:tcPr>
          <w:p>
            <w:pPr>
              <w:spacing w:after="20" w:before="20"/>
            </w:pPr>
            <w:r>
              <w:rPr>
                <w:sz w:val="16"/>
              </w:rPr>
              <w:t>62%</w:t>
            </w:r>
          </w:p>
        </w:tc>
        <w:tc>
          <w:tcPr>
            <w:tcW w:type="dxa" w:w="1814"/>
            <w:shd w:val="clear" w:color="auto" w:fill="FFF6E5"/>
          </w:tcPr>
          <w:p>
            <w:pPr>
              <w:spacing w:after="20" w:before="20"/>
            </w:pPr>
            <w:r>
              <w:rPr>
                <w:sz w:val="16"/>
              </w:rPr>
              <w:t>24%</w:t>
            </w:r>
          </w:p>
        </w:tc>
        <w:tc>
          <w:tcPr>
            <w:tcW w:type="dxa" w:w="3175"/>
            <w:shd w:val="clear" w:color="auto" w:fill="FFF6E5"/>
          </w:tcPr>
          <w:p>
            <w:pPr>
              <w:spacing w:after="20" w:before="20"/>
            </w:pPr>
            <w:r>
              <w:rPr>
                <w:sz w:val="16"/>
              </w:rPr>
              <w:t>GIS routing on hazard-tagged network</w:t>
            </w:r>
          </w:p>
        </w:tc>
      </w:tr>
      <w:tr>
        <w:tc>
          <w:tcPr>
            <w:tcW w:type="dxa" w:w="2835"/>
            <w:shd w:val="clear" w:color="auto" w:fill="FFF6E5"/>
          </w:tcPr>
          <w:p>
            <w:pPr>
              <w:spacing w:after="20" w:before="20"/>
            </w:pPr>
            <w:r>
              <w:rPr>
                <w:b/>
                <w:sz w:val="16"/>
              </w:rPr>
              <w:t>Economic downtime avoided</w:t>
            </w:r>
          </w:p>
        </w:tc>
        <w:tc>
          <w:tcPr>
            <w:tcW w:type="dxa" w:w="1814"/>
            <w:shd w:val="clear" w:color="auto" w:fill="FFF6E5"/>
          </w:tcPr>
          <w:p>
            <w:pPr>
              <w:spacing w:after="20" w:before="20"/>
            </w:pPr>
            <w:r>
              <w:rPr>
                <w:sz w:val="16"/>
              </w:rPr>
              <w:t>Rs 34 crore/event</w:t>
            </w:r>
          </w:p>
        </w:tc>
        <w:tc>
          <w:tcPr>
            <w:tcW w:type="dxa" w:w="1814"/>
            <w:shd w:val="clear" w:color="auto" w:fill="FFF6E5"/>
          </w:tcPr>
          <w:p>
            <w:pPr>
              <w:spacing w:after="20" w:before="20"/>
            </w:pPr>
            <w:r>
              <w:rPr>
                <w:sz w:val="16"/>
              </w:rPr>
              <w:t>—</w:t>
            </w:r>
          </w:p>
        </w:tc>
        <w:tc>
          <w:tcPr>
            <w:tcW w:type="dxa" w:w="3175"/>
            <w:shd w:val="clear" w:color="auto" w:fill="FFF6E5"/>
          </w:tcPr>
          <w:p>
            <w:pPr>
              <w:spacing w:after="20" w:before="20"/>
            </w:pPr>
            <w:r>
              <w:rPr>
                <w:sz w:val="16"/>
              </w:rPr>
              <w:t>Versus a no-bus counterfactual</w:t>
            </w:r>
          </w:p>
        </w:tc>
      </w:tr>
      <w:tr>
        <w:tc>
          <w:tcPr>
            <w:tcW w:type="dxa" w:w="2835"/>
            <w:shd w:val="clear" w:color="auto" w:fill="FFF6E5"/>
          </w:tcPr>
          <w:p>
            <w:pPr>
              <w:spacing w:after="20" w:before="20"/>
            </w:pPr>
            <w:r>
              <w:rPr>
                <w:b/>
                <w:sz w:val="16"/>
              </w:rPr>
              <w:t>Median evacuation time to shelter</w:t>
            </w:r>
          </w:p>
        </w:tc>
        <w:tc>
          <w:tcPr>
            <w:tcW w:type="dxa" w:w="1814"/>
            <w:shd w:val="clear" w:color="auto" w:fill="FFF6E5"/>
          </w:tcPr>
          <w:p>
            <w:pPr>
              <w:spacing w:after="20" w:before="20"/>
            </w:pPr>
            <w:r>
              <w:rPr>
                <w:sz w:val="16"/>
              </w:rPr>
              <w:t>41 min</w:t>
            </w:r>
          </w:p>
        </w:tc>
        <w:tc>
          <w:tcPr>
            <w:tcW w:type="dxa" w:w="1814"/>
            <w:shd w:val="clear" w:color="auto" w:fill="FFF6E5"/>
          </w:tcPr>
          <w:p>
            <w:pPr>
              <w:spacing w:after="20" w:before="20"/>
            </w:pPr>
            <w:r>
              <w:rPr>
                <w:sz w:val="16"/>
              </w:rPr>
              <w:t>78 min</w:t>
            </w:r>
          </w:p>
        </w:tc>
        <w:tc>
          <w:tcPr>
            <w:tcW w:type="dxa" w:w="3175"/>
            <w:shd w:val="clear" w:color="auto" w:fill="FFF6E5"/>
          </w:tcPr>
          <w:p>
            <w:pPr>
              <w:spacing w:after="20" w:before="20"/>
            </w:pPr>
            <w:r>
              <w:rPr>
                <w:sz w:val="16"/>
              </w:rPr>
              <w:t>Routing optimisation</w:t>
            </w:r>
          </w:p>
        </w:tc>
      </w:tr>
      <w:tr>
        <w:tc>
          <w:tcPr>
            <w:tcW w:type="dxa" w:w="2835"/>
            <w:shd w:val="clear" w:color="auto" w:fill="FFF6E5"/>
          </w:tcPr>
          <w:p>
            <w:pPr>
              <w:spacing w:after="20" w:before="20"/>
            </w:pPr>
            <w:r>
              <w:rPr>
                <w:b/>
                <w:sz w:val="16"/>
              </w:rPr>
              <w:t>Infrastructure restart cost</w:t>
            </w:r>
          </w:p>
        </w:tc>
        <w:tc>
          <w:tcPr>
            <w:tcW w:type="dxa" w:w="1814"/>
            <w:shd w:val="clear" w:color="auto" w:fill="FFF6E5"/>
          </w:tcPr>
          <w:p>
            <w:pPr>
              <w:spacing w:after="20" w:before="20"/>
            </w:pPr>
            <w:r>
              <w:rPr>
                <w:sz w:val="16"/>
              </w:rPr>
              <w:t>Rs 2.1 crore</w:t>
            </w:r>
          </w:p>
        </w:tc>
        <w:tc>
          <w:tcPr>
            <w:tcW w:type="dxa" w:w="1814"/>
            <w:shd w:val="clear" w:color="auto" w:fill="FFF6E5"/>
          </w:tcPr>
          <w:p>
            <w:pPr>
              <w:spacing w:after="20" w:before="20"/>
            </w:pPr>
            <w:r>
              <w:rPr>
                <w:sz w:val="16"/>
              </w:rPr>
              <w:t>—</w:t>
            </w:r>
          </w:p>
        </w:tc>
        <w:tc>
          <w:tcPr>
            <w:tcW w:type="dxa" w:w="3175"/>
            <w:shd w:val="clear" w:color="auto" w:fill="FFF6E5"/>
          </w:tcPr>
          <w:p>
            <w:pPr>
              <w:spacing w:after="20" w:before="20"/>
            </w:pPr>
            <w:r>
              <w:rPr>
                <w:sz w:val="16"/>
              </w:rPr>
              <w:t>Depot and fleet, post-event</w:t>
            </w:r>
          </w:p>
        </w:tc>
      </w:tr>
      <w:tr>
        <w:tc>
          <w:tcPr>
            <w:tcW w:type="dxa" w:w="2835"/>
            <w:shd w:val="clear" w:color="auto" w:fill="FFF6E5"/>
          </w:tcPr>
          <w:p>
            <w:pPr>
              <w:spacing w:after="20" w:before="20"/>
            </w:pPr>
            <w:r>
              <w:rPr>
                <w:b/>
                <w:sz w:val="16"/>
              </w:rPr>
              <w:t>Critical corridors identified</w:t>
            </w:r>
          </w:p>
        </w:tc>
        <w:tc>
          <w:tcPr>
            <w:tcW w:type="dxa" w:w="1814"/>
            <w:shd w:val="clear" w:color="auto" w:fill="FFF6E5"/>
          </w:tcPr>
          <w:p>
            <w:pPr>
              <w:spacing w:after="20" w:before="20"/>
            </w:pPr>
            <w:r>
              <w:rPr>
                <w:sz w:val="16"/>
              </w:rPr>
              <w:t>7</w:t>
            </w:r>
          </w:p>
        </w:tc>
        <w:tc>
          <w:tcPr>
            <w:tcW w:type="dxa" w:w="1814"/>
            <w:shd w:val="clear" w:color="auto" w:fill="FFF6E5"/>
          </w:tcPr>
          <w:p>
            <w:pPr>
              <w:spacing w:after="20" w:before="20"/>
            </w:pPr>
            <w:r>
              <w:rPr>
                <w:sz w:val="16"/>
              </w:rPr>
              <w:t>—</w:t>
            </w:r>
          </w:p>
        </w:tc>
        <w:tc>
          <w:tcPr>
            <w:tcW w:type="dxa" w:w="3175"/>
            <w:shd w:val="clear" w:color="auto" w:fill="FFF6E5"/>
          </w:tcPr>
          <w:p>
            <w:pPr>
              <w:spacing w:after="20" w:before="20"/>
            </w:pPr>
            <w:r>
              <w:rPr>
                <w:sz w:val="16"/>
              </w:rPr>
              <w:t>Highest-volume ward pairs on hazard routes</w:t>
            </w:r>
          </w:p>
        </w:tc>
      </w:tr>
    </w:tbl>
    <w:p>
      <w:pPr>
        <w:spacing w:after="120"/>
      </w:pPr>
      <w:r>
        <w:rPr>
          <w:i/>
          <w:color w:val="555555"/>
          <w:sz w:val="16"/>
        </w:rPr>
        <w:t>Table M4.1. Resilience outcome per disruption event.</w:t>
      </w:r>
    </w:p>
    <w:p>
      <w:pPr>
        <w:spacing w:before="280" w:after="80"/>
        <w:pBdr>
          <w:bottom w:val="single" w:sz="6" w:space="3" w:color="006D77"/>
        </w:pBdr>
      </w:pPr>
      <w:r>
        <w:rPr>
          <w:b/>
          <w:color w:val="006D77"/>
          <w:sz w:val="26"/>
        </w:rPr>
        <w:t>The integrated result: what the whole project produces</w:t>
      </w:r>
    </w:p>
    <w:p>
      <w:pPr>
        <w:spacing w:before="200" w:after="40"/>
      </w:pPr>
      <w:r>
        <w:rPr>
          <w:b/>
          <w:color w:val="1A1A1A"/>
          <w:sz w:val="22"/>
        </w:rPr>
        <w:t>Output 1: the single table the boss will want</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247"/>
            <w:shd w:val="clear" w:color="auto" w:fill="F5E3C3"/>
          </w:tcPr>
          <w:p>
            <w:pPr>
              <w:spacing w:after="20" w:before="20"/>
            </w:pPr>
            <w:r>
              <w:rPr>
                <w:b/>
                <w:sz w:val="16"/>
              </w:rPr>
              <w:t>Model</w:t>
            </w:r>
          </w:p>
        </w:tc>
        <w:tc>
          <w:tcPr>
            <w:tcW w:type="dxa" w:w="3515"/>
            <w:shd w:val="clear" w:color="auto" w:fill="F5E3C3"/>
          </w:tcPr>
          <w:p>
            <w:pPr>
              <w:spacing w:after="20" w:before="20"/>
            </w:pPr>
            <w:r>
              <w:rPr>
                <w:b/>
                <w:sz w:val="16"/>
              </w:rPr>
              <w:t>Benefit stream</w:t>
            </w:r>
          </w:p>
        </w:tc>
        <w:tc>
          <w:tcPr>
            <w:tcW w:type="dxa" w:w="1587"/>
            <w:shd w:val="clear" w:color="auto" w:fill="F5E3C3"/>
          </w:tcPr>
          <w:p>
            <w:pPr>
              <w:spacing w:after="20" w:before="20"/>
            </w:pPr>
            <w:r>
              <w:rPr>
                <w:b/>
                <w:sz w:val="16"/>
              </w:rPr>
              <w:t>Rs crore/year</w:t>
            </w:r>
          </w:p>
        </w:tc>
        <w:tc>
          <w:tcPr>
            <w:tcW w:type="dxa" w:w="1701"/>
            <w:shd w:val="clear" w:color="auto" w:fill="F5E3C3"/>
          </w:tcPr>
          <w:p>
            <w:pPr>
              <w:spacing w:after="20" w:before="20"/>
            </w:pPr>
            <w:r>
              <w:rPr>
                <w:b/>
                <w:sz w:val="16"/>
              </w:rPr>
              <w:t>Per bus</w:t>
              <w:br/>
              <w:t>Rs lakh/year</w:t>
            </w:r>
          </w:p>
        </w:tc>
        <w:tc>
          <w:tcPr>
            <w:tcW w:type="dxa" w:w="1587"/>
            <w:shd w:val="clear" w:color="auto" w:fill="F5E3C3"/>
          </w:tcPr>
          <w:p>
            <w:pPr>
              <w:spacing w:after="20" w:before="20"/>
            </w:pPr>
            <w:r>
              <w:rPr>
                <w:b/>
                <w:sz w:val="16"/>
              </w:rPr>
              <w:t>Confidence</w:t>
            </w:r>
          </w:p>
        </w:tc>
      </w:tr>
      <w:tr>
        <w:tc>
          <w:tcPr>
            <w:tcW w:type="dxa" w:w="1247"/>
            <w:shd w:val="clear" w:color="auto" w:fill="FFF6E5"/>
          </w:tcPr>
          <w:p>
            <w:pPr>
              <w:spacing w:after="20" w:before="20"/>
            </w:pPr>
            <w:r>
              <w:rPr>
                <w:b/>
                <w:sz w:val="16"/>
              </w:rPr>
              <w:t>M1</w:t>
            </w:r>
          </w:p>
        </w:tc>
        <w:tc>
          <w:tcPr>
            <w:tcW w:type="dxa" w:w="3515"/>
            <w:shd w:val="clear" w:color="auto" w:fill="FFF6E5"/>
          </w:tcPr>
          <w:p>
            <w:pPr>
              <w:spacing w:after="20" w:before="20"/>
            </w:pPr>
            <w:r>
              <w:rPr>
                <w:sz w:val="16"/>
              </w:rPr>
              <w:t>Household savings, time, earnings, decongestion, agglomeration</w:t>
            </w:r>
          </w:p>
        </w:tc>
        <w:tc>
          <w:tcPr>
            <w:tcW w:type="dxa" w:w="1587"/>
            <w:shd w:val="clear" w:color="auto" w:fill="FFF6E5"/>
          </w:tcPr>
          <w:p>
            <w:pPr>
              <w:spacing w:after="20" w:before="20"/>
            </w:pPr>
            <w:r>
              <w:rPr>
                <w:sz w:val="16"/>
              </w:rPr>
              <w:t>138.2</w:t>
            </w:r>
          </w:p>
        </w:tc>
        <w:tc>
          <w:tcPr>
            <w:tcW w:type="dxa" w:w="1701"/>
            <w:shd w:val="clear" w:color="auto" w:fill="FFF6E5"/>
          </w:tcPr>
          <w:p>
            <w:pPr>
              <w:spacing w:after="20" w:before="20"/>
            </w:pPr>
            <w:r>
              <w:rPr>
                <w:sz w:val="16"/>
              </w:rPr>
              <w:t>69.1</w:t>
            </w:r>
          </w:p>
        </w:tc>
        <w:tc>
          <w:tcPr>
            <w:tcW w:type="dxa" w:w="1587"/>
            <w:shd w:val="clear" w:color="auto" w:fill="FFF6E5"/>
          </w:tcPr>
          <w:p>
            <w:pPr>
              <w:spacing w:after="20" w:before="20"/>
            </w:pPr>
            <w:r>
              <w:rPr>
                <w:sz w:val="16"/>
              </w:rPr>
              <w:t>Medium</w:t>
            </w:r>
          </w:p>
        </w:tc>
      </w:tr>
      <w:tr>
        <w:tc>
          <w:tcPr>
            <w:tcW w:type="dxa" w:w="1247"/>
            <w:shd w:val="clear" w:color="auto" w:fill="FFF6E5"/>
          </w:tcPr>
          <w:p>
            <w:pPr>
              <w:spacing w:after="20" w:before="20"/>
            </w:pPr>
            <w:r>
              <w:rPr>
                <w:b/>
                <w:sz w:val="16"/>
              </w:rPr>
              <w:t>M2</w:t>
            </w:r>
          </w:p>
        </w:tc>
        <w:tc>
          <w:tcPr>
            <w:tcW w:type="dxa" w:w="3515"/>
            <w:shd w:val="clear" w:color="auto" w:fill="FFF6E5"/>
          </w:tcPr>
          <w:p>
            <w:pPr>
              <w:spacing w:after="20" w:before="20"/>
            </w:pPr>
            <w:r>
              <w:rPr>
                <w:sz w:val="16"/>
              </w:rPr>
              <w:t>DALYs averted, valued</w:t>
            </w:r>
          </w:p>
        </w:tc>
        <w:tc>
          <w:tcPr>
            <w:tcW w:type="dxa" w:w="1587"/>
            <w:shd w:val="clear" w:color="auto" w:fill="FFF6E5"/>
          </w:tcPr>
          <w:p>
            <w:pPr>
              <w:spacing w:after="20" w:before="20"/>
            </w:pPr>
            <w:r>
              <w:rPr>
                <w:sz w:val="16"/>
              </w:rPr>
              <w:t>86.4</w:t>
            </w:r>
          </w:p>
        </w:tc>
        <w:tc>
          <w:tcPr>
            <w:tcW w:type="dxa" w:w="1701"/>
            <w:shd w:val="clear" w:color="auto" w:fill="FFF6E5"/>
          </w:tcPr>
          <w:p>
            <w:pPr>
              <w:spacing w:after="20" w:before="20"/>
            </w:pPr>
            <w:r>
              <w:rPr>
                <w:sz w:val="16"/>
              </w:rPr>
              <w:t>43.2</w:t>
            </w:r>
          </w:p>
        </w:tc>
        <w:tc>
          <w:tcPr>
            <w:tcW w:type="dxa" w:w="1587"/>
            <w:shd w:val="clear" w:color="auto" w:fill="FFF6E5"/>
          </w:tcPr>
          <w:p>
            <w:pPr>
              <w:spacing w:after="20" w:before="20"/>
            </w:pPr>
            <w:r>
              <w:rPr>
                <w:sz w:val="16"/>
              </w:rPr>
              <w:t>Low to medium</w:t>
            </w:r>
          </w:p>
        </w:tc>
      </w:tr>
      <w:tr>
        <w:tc>
          <w:tcPr>
            <w:tcW w:type="dxa" w:w="1247"/>
            <w:shd w:val="clear" w:color="auto" w:fill="FFF6E5"/>
          </w:tcPr>
          <w:p>
            <w:pPr>
              <w:spacing w:after="20" w:before="20"/>
            </w:pPr>
            <w:r>
              <w:rPr>
                <w:b/>
                <w:sz w:val="16"/>
              </w:rPr>
              <w:t>M3</w:t>
            </w:r>
          </w:p>
        </w:tc>
        <w:tc>
          <w:tcPr>
            <w:tcW w:type="dxa" w:w="3515"/>
            <w:shd w:val="clear" w:color="auto" w:fill="FFF6E5"/>
          </w:tcPr>
          <w:p>
            <w:pPr>
              <w:spacing w:after="20" w:before="20"/>
            </w:pPr>
            <w:r>
              <w:rPr>
                <w:sz w:val="16"/>
              </w:rPr>
              <w:t>CO₂e avoided at shadow carbon price</w:t>
            </w:r>
          </w:p>
        </w:tc>
        <w:tc>
          <w:tcPr>
            <w:tcW w:type="dxa" w:w="1587"/>
            <w:shd w:val="clear" w:color="auto" w:fill="FFF6E5"/>
          </w:tcPr>
          <w:p>
            <w:pPr>
              <w:spacing w:after="20" w:before="20"/>
            </w:pPr>
            <w:r>
              <w:rPr>
                <w:sz w:val="16"/>
              </w:rPr>
              <w:t>12.7</w:t>
            </w:r>
          </w:p>
        </w:tc>
        <w:tc>
          <w:tcPr>
            <w:tcW w:type="dxa" w:w="1701"/>
            <w:shd w:val="clear" w:color="auto" w:fill="FFF6E5"/>
          </w:tcPr>
          <w:p>
            <w:pPr>
              <w:spacing w:after="20" w:before="20"/>
            </w:pPr>
            <w:r>
              <w:rPr>
                <w:sz w:val="16"/>
              </w:rPr>
              <w:t>6.4</w:t>
            </w:r>
          </w:p>
        </w:tc>
        <w:tc>
          <w:tcPr>
            <w:tcW w:type="dxa" w:w="1587"/>
            <w:shd w:val="clear" w:color="auto" w:fill="FFF6E5"/>
          </w:tcPr>
          <w:p>
            <w:pPr>
              <w:spacing w:after="20" w:before="20"/>
            </w:pPr>
            <w:r>
              <w:rPr>
                <w:sz w:val="16"/>
              </w:rPr>
              <w:t>Medium</w:t>
            </w:r>
          </w:p>
        </w:tc>
      </w:tr>
      <w:tr>
        <w:tc>
          <w:tcPr>
            <w:tcW w:type="dxa" w:w="1247"/>
            <w:shd w:val="clear" w:color="auto" w:fill="FFF6E5"/>
          </w:tcPr>
          <w:p>
            <w:pPr>
              <w:spacing w:after="20" w:before="20"/>
            </w:pPr>
            <w:r>
              <w:rPr>
                <w:b/>
                <w:sz w:val="16"/>
              </w:rPr>
              <w:t>M4</w:t>
            </w:r>
          </w:p>
        </w:tc>
        <w:tc>
          <w:tcPr>
            <w:tcW w:type="dxa" w:w="3515"/>
            <w:shd w:val="clear" w:color="auto" w:fill="FFF6E5"/>
          </w:tcPr>
          <w:p>
            <w:pPr>
              <w:spacing w:after="20" w:before="20"/>
            </w:pPr>
            <w:r>
              <w:rPr>
                <w:sz w:val="16"/>
              </w:rPr>
              <w:t>Downtime and evacuation value</w:t>
            </w:r>
          </w:p>
        </w:tc>
        <w:tc>
          <w:tcPr>
            <w:tcW w:type="dxa" w:w="1587"/>
            <w:shd w:val="clear" w:color="auto" w:fill="FFF6E5"/>
          </w:tcPr>
          <w:p>
            <w:pPr>
              <w:spacing w:after="20" w:before="20"/>
            </w:pPr>
            <w:r>
              <w:rPr>
                <w:sz w:val="16"/>
              </w:rPr>
              <w:t>21.9</w:t>
            </w:r>
          </w:p>
        </w:tc>
        <w:tc>
          <w:tcPr>
            <w:tcW w:type="dxa" w:w="1701"/>
            <w:shd w:val="clear" w:color="auto" w:fill="FFF6E5"/>
          </w:tcPr>
          <w:p>
            <w:pPr>
              <w:spacing w:after="20" w:before="20"/>
            </w:pPr>
            <w:r>
              <w:rPr>
                <w:sz w:val="16"/>
              </w:rPr>
              <w:t>11.0</w:t>
            </w:r>
          </w:p>
        </w:tc>
        <w:tc>
          <w:tcPr>
            <w:tcW w:type="dxa" w:w="1587"/>
            <w:shd w:val="clear" w:color="auto" w:fill="FFF6E5"/>
          </w:tcPr>
          <w:p>
            <w:pPr>
              <w:spacing w:after="20" w:before="20"/>
            </w:pPr>
            <w:r>
              <w:rPr>
                <w:sz w:val="16"/>
              </w:rPr>
              <w:t>Low</w:t>
            </w:r>
          </w:p>
        </w:tc>
      </w:tr>
      <w:tr>
        <w:tc>
          <w:tcPr>
            <w:tcW w:type="dxa" w:w="1247"/>
            <w:shd w:val="clear" w:color="auto" w:fill="FFF6E5"/>
          </w:tcPr>
          <w:p>
            <w:pPr>
              <w:spacing w:after="20" w:before="20"/>
            </w:pPr>
            <w:r>
              <w:rPr>
                <w:b/>
                <w:sz w:val="16"/>
              </w:rPr>
              <w:t>TOTAL</w:t>
            </w:r>
          </w:p>
        </w:tc>
        <w:tc>
          <w:tcPr>
            <w:tcW w:type="dxa" w:w="3515"/>
            <w:shd w:val="clear" w:color="auto" w:fill="FFF6E5"/>
          </w:tcPr>
          <w:p>
            <w:pPr>
              <w:spacing w:after="20" w:before="20"/>
            </w:pPr>
            <w:r>
              <w:rPr>
                <w:sz w:val="16"/>
              </w:rPr>
            </w:r>
          </w:p>
        </w:tc>
        <w:tc>
          <w:tcPr>
            <w:tcW w:type="dxa" w:w="1587"/>
            <w:shd w:val="clear" w:color="auto" w:fill="FFF6E5"/>
          </w:tcPr>
          <w:p>
            <w:pPr>
              <w:spacing w:after="20" w:before="20"/>
            </w:pPr>
            <w:r>
              <w:rPr>
                <w:sz w:val="16"/>
              </w:rPr>
              <w:t>259.2</w:t>
            </w:r>
          </w:p>
        </w:tc>
        <w:tc>
          <w:tcPr>
            <w:tcW w:type="dxa" w:w="1701"/>
            <w:shd w:val="clear" w:color="auto" w:fill="FFF6E5"/>
          </w:tcPr>
          <w:p>
            <w:pPr>
              <w:spacing w:after="20" w:before="20"/>
            </w:pPr>
            <w:r>
              <w:rPr>
                <w:sz w:val="16"/>
              </w:rPr>
              <w:t>129.6</w:t>
            </w:r>
          </w:p>
        </w:tc>
        <w:tc>
          <w:tcPr>
            <w:tcW w:type="dxa" w:w="1587"/>
            <w:shd w:val="clear" w:color="auto" w:fill="FFF6E5"/>
          </w:tcPr>
          <w:p>
            <w:pPr>
              <w:spacing w:after="20" w:before="20"/>
            </w:pPr>
            <w:r>
              <w:rPr>
                <w:sz w:val="16"/>
              </w:rPr>
              <w:t>—</w:t>
            </w:r>
          </w:p>
        </w:tc>
      </w:tr>
      <w:tr>
        <w:tc>
          <w:tcPr>
            <w:tcW w:type="dxa" w:w="1247"/>
            <w:shd w:val="clear" w:color="auto" w:fill="FFF6E5"/>
          </w:tcPr>
          <w:p>
            <w:pPr>
              <w:spacing w:after="20" w:before="20"/>
            </w:pPr>
            <w:r>
              <w:rPr>
                <w:b/>
                <w:sz w:val="16"/>
              </w:rPr>
              <w:t>Public cost</w:t>
            </w:r>
          </w:p>
        </w:tc>
        <w:tc>
          <w:tcPr>
            <w:tcW w:type="dxa" w:w="3515"/>
            <w:shd w:val="clear" w:color="auto" w:fill="FFF6E5"/>
          </w:tcPr>
          <w:p>
            <w:pPr>
              <w:spacing w:after="20" w:before="20"/>
            </w:pPr>
            <w:r>
              <w:rPr>
                <w:sz w:val="16"/>
              </w:rPr>
              <w:t>Capital annuitised plus operating subsidy</w:t>
            </w:r>
          </w:p>
        </w:tc>
        <w:tc>
          <w:tcPr>
            <w:tcW w:type="dxa" w:w="1587"/>
            <w:shd w:val="clear" w:color="auto" w:fill="FFF6E5"/>
          </w:tcPr>
          <w:p>
            <w:pPr>
              <w:spacing w:after="20" w:before="20"/>
            </w:pPr>
            <w:r>
              <w:rPr>
                <w:sz w:val="16"/>
              </w:rPr>
              <w:t>96.0</w:t>
            </w:r>
          </w:p>
        </w:tc>
        <w:tc>
          <w:tcPr>
            <w:tcW w:type="dxa" w:w="1701"/>
            <w:shd w:val="clear" w:color="auto" w:fill="FFF6E5"/>
          </w:tcPr>
          <w:p>
            <w:pPr>
              <w:spacing w:after="20" w:before="20"/>
            </w:pPr>
            <w:r>
              <w:rPr>
                <w:sz w:val="16"/>
              </w:rPr>
              <w:t>48.0</w:t>
            </w:r>
          </w:p>
        </w:tc>
        <w:tc>
          <w:tcPr>
            <w:tcW w:type="dxa" w:w="1587"/>
            <w:shd w:val="clear" w:color="auto" w:fill="FFF6E5"/>
          </w:tcPr>
          <w:p>
            <w:pPr>
              <w:spacing w:after="20" w:before="20"/>
            </w:pPr>
            <w:r>
              <w:rPr>
                <w:sz w:val="16"/>
              </w:rPr>
              <w:t>High</w:t>
            </w:r>
          </w:p>
        </w:tc>
      </w:tr>
      <w:tr>
        <w:tc>
          <w:tcPr>
            <w:tcW w:type="dxa" w:w="1247"/>
            <w:shd w:val="clear" w:color="auto" w:fill="FFF6E5"/>
          </w:tcPr>
          <w:p>
            <w:pPr>
              <w:spacing w:after="20" w:before="20"/>
            </w:pPr>
            <w:r>
              <w:rPr>
                <w:b/>
                <w:sz w:val="16"/>
              </w:rPr>
              <w:t>SROI ratio</w:t>
            </w:r>
          </w:p>
        </w:tc>
        <w:tc>
          <w:tcPr>
            <w:tcW w:type="dxa" w:w="3515"/>
            <w:shd w:val="clear" w:color="auto" w:fill="FFF6E5"/>
          </w:tcPr>
          <w:p>
            <w:pPr>
              <w:spacing w:after="20" w:before="20"/>
            </w:pPr>
            <w:r>
              <w:rPr>
                <w:sz w:val="16"/>
              </w:rPr>
              <w:t>Societal return per rupee of public spend</w:t>
            </w:r>
          </w:p>
        </w:tc>
        <w:tc>
          <w:tcPr>
            <w:tcW w:type="dxa" w:w="1587"/>
            <w:shd w:val="clear" w:color="auto" w:fill="FFF6E5"/>
          </w:tcPr>
          <w:p>
            <w:pPr>
              <w:spacing w:after="20" w:before="20"/>
            </w:pPr>
            <w:r>
              <w:rPr>
                <w:sz w:val="16"/>
              </w:rPr>
              <w:t>2.7 : 1</w:t>
            </w:r>
          </w:p>
        </w:tc>
        <w:tc>
          <w:tcPr>
            <w:tcW w:type="dxa" w:w="1701"/>
            <w:shd w:val="clear" w:color="auto" w:fill="FFF6E5"/>
          </w:tcPr>
          <w:p>
            <w:pPr>
              <w:spacing w:after="20" w:before="20"/>
            </w:pPr>
            <w:r>
              <w:rPr>
                <w:sz w:val="16"/>
              </w:rPr>
            </w:r>
          </w:p>
        </w:tc>
        <w:tc>
          <w:tcPr>
            <w:tcW w:type="dxa" w:w="1587"/>
            <w:shd w:val="clear" w:color="auto" w:fill="FFF6E5"/>
          </w:tcPr>
          <w:p>
            <w:pPr>
              <w:spacing w:after="20" w:before="20"/>
            </w:pPr>
            <w:r>
              <w:rPr>
                <w:sz w:val="16"/>
              </w:rPr>
              <w:t>—</w:t>
            </w:r>
          </w:p>
        </w:tc>
      </w:tr>
    </w:tbl>
    <w:p>
      <w:pPr>
        <w:spacing w:after="120"/>
      </w:pPr>
      <w:r>
        <w:rPr>
          <w:i/>
          <w:color w:val="555555"/>
          <w:sz w:val="16"/>
        </w:rPr>
        <w:t>Table INT.1. All four models, one city, one year. This is the headline table of the project.</w:t>
      </w:r>
    </w:p>
    <w:p>
      <w:pPr>
        <w:spacing w:before="200" w:after="40"/>
      </w:pPr>
      <w:r>
        <w:rPr>
          <w:b/>
          <w:color w:val="1A1A1A"/>
          <w:sz w:val="22"/>
        </w:rPr>
        <w:t>Output 2: the three SROI lenses, same data</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shd w:val="clear" w:color="auto" w:fill="F5E3C3"/>
          </w:tcPr>
          <w:p>
            <w:pPr>
              <w:spacing w:after="20" w:before="20"/>
            </w:pPr>
            <w:r>
              <w:rPr>
                <w:b/>
                <w:sz w:val="16"/>
              </w:rPr>
              <w:t>Lens</w:t>
            </w:r>
          </w:p>
        </w:tc>
        <w:tc>
          <w:tcPr>
            <w:tcW w:type="dxa" w:w="1928"/>
            <w:shd w:val="clear" w:color="auto" w:fill="F5E3C3"/>
          </w:tcPr>
          <w:p>
            <w:pPr>
              <w:spacing w:after="20" w:before="20"/>
            </w:pPr>
            <w:r>
              <w:rPr>
                <w:b/>
                <w:sz w:val="16"/>
              </w:rPr>
              <w:t>Audience</w:t>
            </w:r>
          </w:p>
        </w:tc>
        <w:tc>
          <w:tcPr>
            <w:tcW w:type="dxa" w:w="3402"/>
            <w:shd w:val="clear" w:color="auto" w:fill="F5E3C3"/>
          </w:tcPr>
          <w:p>
            <w:pPr>
              <w:spacing w:after="20" w:before="20"/>
            </w:pPr>
            <w:r>
              <w:rPr>
                <w:b/>
                <w:sz w:val="16"/>
              </w:rPr>
              <w:t>Headline metric</w:t>
            </w:r>
          </w:p>
        </w:tc>
        <w:tc>
          <w:tcPr>
            <w:tcW w:type="dxa" w:w="3402"/>
            <w:shd w:val="clear" w:color="auto" w:fill="F5E3C3"/>
          </w:tcPr>
          <w:p>
            <w:pPr>
              <w:spacing w:after="20" w:before="20"/>
            </w:pPr>
            <w:r>
              <w:rPr>
                <w:b/>
                <w:sz w:val="16"/>
              </w:rPr>
              <w:t>Illustrative value</w:t>
            </w:r>
          </w:p>
        </w:tc>
      </w:tr>
      <w:tr>
        <w:tc>
          <w:tcPr>
            <w:tcW w:type="dxa" w:w="1020"/>
            <w:shd w:val="clear" w:color="auto" w:fill="FFF6E5"/>
          </w:tcPr>
          <w:p>
            <w:pPr>
              <w:spacing w:after="20" w:before="20"/>
            </w:pPr>
            <w:r>
              <w:rPr>
                <w:b/>
                <w:sz w:val="16"/>
              </w:rPr>
              <w:t>Lens 1</w:t>
            </w:r>
          </w:p>
        </w:tc>
        <w:tc>
          <w:tcPr>
            <w:tcW w:type="dxa" w:w="1928"/>
            <w:shd w:val="clear" w:color="auto" w:fill="FFF6E5"/>
          </w:tcPr>
          <w:p>
            <w:pPr>
              <w:spacing w:after="20" w:before="20"/>
            </w:pPr>
            <w:r>
              <w:rPr>
                <w:sz w:val="16"/>
              </w:rPr>
              <w:t>Government, central and state</w:t>
            </w:r>
          </w:p>
        </w:tc>
        <w:tc>
          <w:tcPr>
            <w:tcW w:type="dxa" w:w="3402"/>
            <w:shd w:val="clear" w:color="auto" w:fill="FFF6E5"/>
          </w:tcPr>
          <w:p>
            <w:pPr>
              <w:spacing w:after="20" w:before="20"/>
            </w:pPr>
            <w:r>
              <w:rPr>
                <w:sz w:val="16"/>
              </w:rPr>
              <w:t>Societal return per rupee of public spend; return on the Rs 24/km PM e-Bus Sewa subsidy</w:t>
            </w:r>
          </w:p>
        </w:tc>
        <w:tc>
          <w:tcPr>
            <w:tcW w:type="dxa" w:w="3402"/>
            <w:shd w:val="clear" w:color="auto" w:fill="FFF6E5"/>
          </w:tcPr>
          <w:p>
            <w:pPr>
              <w:spacing w:after="20" w:before="20"/>
            </w:pPr>
            <w:r>
              <w:rPr>
                <w:sz w:val="16"/>
              </w:rPr>
              <w:t>2.7 : 1; Rs 65 of societal value per Rs 24 of subsidy per km</w:t>
            </w:r>
          </w:p>
        </w:tc>
      </w:tr>
      <w:tr>
        <w:tc>
          <w:tcPr>
            <w:tcW w:type="dxa" w:w="1020"/>
            <w:shd w:val="clear" w:color="auto" w:fill="FFF6E5"/>
          </w:tcPr>
          <w:p>
            <w:pPr>
              <w:spacing w:after="20" w:before="20"/>
            </w:pPr>
            <w:r>
              <w:rPr>
                <w:b/>
                <w:sz w:val="16"/>
              </w:rPr>
              <w:t>Lens 2</w:t>
            </w:r>
          </w:p>
        </w:tc>
        <w:tc>
          <w:tcPr>
            <w:tcW w:type="dxa" w:w="1928"/>
            <w:shd w:val="clear" w:color="auto" w:fill="FFF6E5"/>
          </w:tcPr>
          <w:p>
            <w:pPr>
              <w:spacing w:after="20" w:before="20"/>
            </w:pPr>
            <w:r>
              <w:rPr>
                <w:sz w:val="16"/>
              </w:rPr>
              <w:t>Climate and development finance</w:t>
            </w:r>
          </w:p>
        </w:tc>
        <w:tc>
          <w:tcPr>
            <w:tcW w:type="dxa" w:w="3402"/>
            <w:shd w:val="clear" w:color="auto" w:fill="FFF6E5"/>
          </w:tcPr>
          <w:p>
            <w:pPr>
              <w:spacing w:after="20" w:before="20"/>
            </w:pPr>
            <w:r>
              <w:rPr>
                <w:sz w:val="16"/>
              </w:rPr>
              <w:t>tCO₂e avoided; vulnerable people benefited; DALYs averted per 10,000; resilience value</w:t>
            </w:r>
          </w:p>
        </w:tc>
        <w:tc>
          <w:tcPr>
            <w:tcW w:type="dxa" w:w="3402"/>
            <w:shd w:val="clear" w:color="auto" w:fill="FFF6E5"/>
          </w:tcPr>
          <w:p>
            <w:pPr>
              <w:spacing w:after="20" w:before="20"/>
            </w:pPr>
            <w:r>
              <w:rPr>
                <w:sz w:val="16"/>
              </w:rPr>
              <w:t>31,200 tCO₂e; 212,000 people; 21 DALYs; Rs 34 crore per event</w:t>
            </w:r>
          </w:p>
        </w:tc>
      </w:tr>
      <w:tr>
        <w:tc>
          <w:tcPr>
            <w:tcW w:type="dxa" w:w="1020"/>
            <w:shd w:val="clear" w:color="auto" w:fill="FFF6E5"/>
          </w:tcPr>
          <w:p>
            <w:pPr>
              <w:spacing w:after="20" w:before="20"/>
            </w:pPr>
            <w:r>
              <w:rPr>
                <w:b/>
                <w:sz w:val="16"/>
              </w:rPr>
              <w:t>Lens 3</w:t>
            </w:r>
          </w:p>
        </w:tc>
        <w:tc>
          <w:tcPr>
            <w:tcW w:type="dxa" w:w="1928"/>
            <w:shd w:val="clear" w:color="auto" w:fill="FFF6E5"/>
          </w:tcPr>
          <w:p>
            <w:pPr>
              <w:spacing w:after="20" w:before="20"/>
            </w:pPr>
            <w:r>
              <w:rPr>
                <w:sz w:val="16"/>
              </w:rPr>
              <w:t>Private capital</w:t>
            </w:r>
          </w:p>
        </w:tc>
        <w:tc>
          <w:tcPr>
            <w:tcW w:type="dxa" w:w="3402"/>
            <w:shd w:val="clear" w:color="auto" w:fill="FFF6E5"/>
          </w:tcPr>
          <w:p>
            <w:pPr>
              <w:spacing w:after="20" w:before="20"/>
            </w:pPr>
            <w:r>
              <w:rPr>
                <w:sz w:val="16"/>
              </w:rPr>
              <w:t>Share of public savings available as a payment security mechanism</w:t>
            </w:r>
          </w:p>
        </w:tc>
        <w:tc>
          <w:tcPr>
            <w:tcW w:type="dxa" w:w="3402"/>
            <w:shd w:val="clear" w:color="auto" w:fill="FFF6E5"/>
          </w:tcPr>
          <w:p>
            <w:pPr>
              <w:spacing w:after="20" w:before="20"/>
            </w:pPr>
            <w:r>
              <w:rPr>
                <w:sz w:val="16"/>
              </w:rPr>
              <w:t>Rs 41 crore/year of health and productivity savings available to underwrite operator payments</w:t>
            </w:r>
          </w:p>
        </w:tc>
      </w:tr>
    </w:tbl>
    <w:p>
      <w:pPr>
        <w:spacing w:after="120"/>
      </w:pPr>
      <w:r>
        <w:rPr>
          <w:i/>
          <w:color w:val="555555"/>
          <w:sz w:val="16"/>
        </w:rPr>
        <w:t>Table INT.2. The same underlying result, expressed for three different audiences.</w:t>
      </w:r>
    </w:p>
    <w:p>
      <w:pPr>
        <w:spacing w:before="200" w:after="40"/>
      </w:pPr>
      <w:r>
        <w:rPr>
          <w:b/>
          <w:color w:val="1A1A1A"/>
          <w:sz w:val="22"/>
        </w:rPr>
        <w:t>Output 3: sensitivity, presented as switching values</w:t>
      </w:r>
    </w:p>
    <w:p>
      <w:pPr>
        <w:spacing w:after="20" w:before="120"/>
      </w:pPr>
      <w:r>
        <w:rPr>
          <w:b/>
          <w:color w:val="992222"/>
          <w:sz w:val="15"/>
        </w:rPr>
        <w:t>ILLUSTRATIVE OUTPUT — numbers are placeholders to show format only</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shd w:val="clear" w:color="auto" w:fill="F5E3C3"/>
          </w:tcPr>
          <w:p>
            <w:pPr>
              <w:spacing w:after="20" w:before="20"/>
            </w:pPr>
            <w:r>
              <w:rPr>
                <w:b/>
                <w:sz w:val="16"/>
              </w:rPr>
              <w:t>Assumption</w:t>
            </w:r>
          </w:p>
        </w:tc>
        <w:tc>
          <w:tcPr>
            <w:tcW w:type="dxa" w:w="1587"/>
            <w:shd w:val="clear" w:color="auto" w:fill="F5E3C3"/>
          </w:tcPr>
          <w:p>
            <w:pPr>
              <w:spacing w:after="20" w:before="20"/>
            </w:pPr>
            <w:r>
              <w:rPr>
                <w:b/>
                <w:sz w:val="16"/>
              </w:rPr>
              <w:t>Base value</w:t>
            </w:r>
          </w:p>
        </w:tc>
        <w:tc>
          <w:tcPr>
            <w:tcW w:type="dxa" w:w="1587"/>
            <w:shd w:val="clear" w:color="auto" w:fill="F5E3C3"/>
          </w:tcPr>
          <w:p>
            <w:pPr>
              <w:spacing w:after="20" w:before="20"/>
            </w:pPr>
            <w:r>
              <w:rPr>
                <w:b/>
                <w:sz w:val="16"/>
              </w:rPr>
              <w:t>Switching value</w:t>
            </w:r>
          </w:p>
        </w:tc>
        <w:tc>
          <w:tcPr>
            <w:tcW w:type="dxa" w:w="1134"/>
            <w:shd w:val="clear" w:color="auto" w:fill="F5E3C3"/>
          </w:tcPr>
          <w:p>
            <w:pPr>
              <w:spacing w:after="20" w:before="20"/>
            </w:pPr>
            <w:r>
              <w:rPr>
                <w:b/>
                <w:sz w:val="16"/>
              </w:rPr>
              <w:t>Margin</w:t>
            </w:r>
          </w:p>
        </w:tc>
        <w:tc>
          <w:tcPr>
            <w:tcW w:type="dxa" w:w="2835"/>
            <w:shd w:val="clear" w:color="auto" w:fill="F5E3C3"/>
          </w:tcPr>
          <w:p>
            <w:pPr>
              <w:spacing w:after="20" w:before="20"/>
            </w:pPr>
            <w:r>
              <w:rPr>
                <w:b/>
                <w:sz w:val="16"/>
              </w:rPr>
              <w:t>Plausible?</w:t>
            </w:r>
          </w:p>
        </w:tc>
      </w:tr>
      <w:tr>
        <w:tc>
          <w:tcPr>
            <w:tcW w:type="dxa" w:w="2494"/>
            <w:shd w:val="clear" w:color="auto" w:fill="FFF6E5"/>
          </w:tcPr>
          <w:p>
            <w:pPr>
              <w:spacing w:after="20" w:before="20"/>
            </w:pPr>
            <w:r>
              <w:rPr>
                <w:b/>
                <w:sz w:val="16"/>
              </w:rPr>
              <w:t>Value of statistical life</w:t>
            </w:r>
          </w:p>
        </w:tc>
        <w:tc>
          <w:tcPr>
            <w:tcW w:type="dxa" w:w="1587"/>
            <w:shd w:val="clear" w:color="auto" w:fill="FFF6E5"/>
          </w:tcPr>
          <w:p>
            <w:pPr>
              <w:spacing w:after="20" w:before="20"/>
            </w:pPr>
            <w:r>
              <w:rPr>
                <w:sz w:val="16"/>
              </w:rPr>
              <w:t>Rs 44.7 million</w:t>
            </w:r>
          </w:p>
        </w:tc>
        <w:tc>
          <w:tcPr>
            <w:tcW w:type="dxa" w:w="1587"/>
            <w:shd w:val="clear" w:color="auto" w:fill="FFF6E5"/>
          </w:tcPr>
          <w:p>
            <w:pPr>
              <w:spacing w:after="20" w:before="20"/>
            </w:pPr>
            <w:r>
              <w:rPr>
                <w:sz w:val="16"/>
              </w:rPr>
              <w:t>Rs 12.1 million</w:t>
            </w:r>
          </w:p>
        </w:tc>
        <w:tc>
          <w:tcPr>
            <w:tcW w:type="dxa" w:w="1134"/>
            <w:shd w:val="clear" w:color="auto" w:fill="FFF6E5"/>
          </w:tcPr>
          <w:p>
            <w:pPr>
              <w:spacing w:after="20" w:before="20"/>
            </w:pPr>
            <w:r>
              <w:rPr>
                <w:sz w:val="16"/>
              </w:rPr>
              <w:t>−73%</w:t>
            </w:r>
          </w:p>
        </w:tc>
        <w:tc>
          <w:tcPr>
            <w:tcW w:type="dxa" w:w="2835"/>
            <w:shd w:val="clear" w:color="auto" w:fill="FFF6E5"/>
          </w:tcPr>
          <w:p>
            <w:pPr>
              <w:spacing w:after="20" w:before="20"/>
            </w:pPr>
            <w:r>
              <w:rPr>
                <w:sz w:val="16"/>
              </w:rPr>
              <w:t>Yes, the lower Indian estimate is close</w:t>
            </w:r>
          </w:p>
        </w:tc>
      </w:tr>
      <w:tr>
        <w:tc>
          <w:tcPr>
            <w:tcW w:type="dxa" w:w="2494"/>
            <w:shd w:val="clear" w:color="auto" w:fill="FFF6E5"/>
          </w:tcPr>
          <w:p>
            <w:pPr>
              <w:spacing w:after="20" w:before="20"/>
            </w:pPr>
            <w:r>
              <w:rPr>
                <w:b/>
                <w:sz w:val="16"/>
              </w:rPr>
              <w:t>Modal shift from private vehicles</w:t>
            </w:r>
          </w:p>
        </w:tc>
        <w:tc>
          <w:tcPr>
            <w:tcW w:type="dxa" w:w="1587"/>
            <w:shd w:val="clear" w:color="auto" w:fill="FFF6E5"/>
          </w:tcPr>
          <w:p>
            <w:pPr>
              <w:spacing w:after="20" w:before="20"/>
            </w:pPr>
            <w:r>
              <w:rPr>
                <w:sz w:val="16"/>
              </w:rPr>
              <w:t>18%</w:t>
            </w:r>
          </w:p>
        </w:tc>
        <w:tc>
          <w:tcPr>
            <w:tcW w:type="dxa" w:w="1587"/>
            <w:shd w:val="clear" w:color="auto" w:fill="FFF6E5"/>
          </w:tcPr>
          <w:p>
            <w:pPr>
              <w:spacing w:after="20" w:before="20"/>
            </w:pPr>
            <w:r>
              <w:rPr>
                <w:sz w:val="16"/>
              </w:rPr>
              <w:t>7%</w:t>
            </w:r>
          </w:p>
        </w:tc>
        <w:tc>
          <w:tcPr>
            <w:tcW w:type="dxa" w:w="1134"/>
            <w:shd w:val="clear" w:color="auto" w:fill="FFF6E5"/>
          </w:tcPr>
          <w:p>
            <w:pPr>
              <w:spacing w:after="20" w:before="20"/>
            </w:pPr>
            <w:r>
              <w:rPr>
                <w:sz w:val="16"/>
              </w:rPr>
              <w:t>−61%</w:t>
            </w:r>
          </w:p>
        </w:tc>
        <w:tc>
          <w:tcPr>
            <w:tcW w:type="dxa" w:w="2835"/>
            <w:shd w:val="clear" w:color="auto" w:fill="FFF6E5"/>
          </w:tcPr>
          <w:p>
            <w:pPr>
              <w:spacing w:after="20" w:before="20"/>
            </w:pPr>
            <w:r>
              <w:rPr>
                <w:sz w:val="16"/>
              </w:rPr>
              <w:t>Possible</w:t>
            </w:r>
          </w:p>
        </w:tc>
      </w:tr>
      <w:tr>
        <w:tc>
          <w:tcPr>
            <w:tcW w:type="dxa" w:w="2494"/>
            <w:shd w:val="clear" w:color="auto" w:fill="FFF6E5"/>
          </w:tcPr>
          <w:p>
            <w:pPr>
              <w:spacing w:after="20" w:before="20"/>
            </w:pPr>
            <w:r>
              <w:rPr>
                <w:b/>
                <w:sz w:val="16"/>
              </w:rPr>
              <w:t>Value of travel time, bus users</w:t>
            </w:r>
          </w:p>
        </w:tc>
        <w:tc>
          <w:tcPr>
            <w:tcW w:type="dxa" w:w="1587"/>
            <w:shd w:val="clear" w:color="auto" w:fill="FFF6E5"/>
          </w:tcPr>
          <w:p>
            <w:pPr>
              <w:spacing w:after="20" w:before="20"/>
            </w:pPr>
            <w:r>
              <w:rPr>
                <w:sz w:val="16"/>
              </w:rPr>
              <w:t>Rs 19/hour</w:t>
            </w:r>
          </w:p>
        </w:tc>
        <w:tc>
          <w:tcPr>
            <w:tcW w:type="dxa" w:w="1587"/>
            <w:shd w:val="clear" w:color="auto" w:fill="FFF6E5"/>
          </w:tcPr>
          <w:p>
            <w:pPr>
              <w:spacing w:after="20" w:before="20"/>
            </w:pPr>
            <w:r>
              <w:rPr>
                <w:sz w:val="16"/>
              </w:rPr>
              <w:t>Rs 6/hour</w:t>
            </w:r>
          </w:p>
        </w:tc>
        <w:tc>
          <w:tcPr>
            <w:tcW w:type="dxa" w:w="1134"/>
            <w:shd w:val="clear" w:color="auto" w:fill="FFF6E5"/>
          </w:tcPr>
          <w:p>
            <w:pPr>
              <w:spacing w:after="20" w:before="20"/>
            </w:pPr>
            <w:r>
              <w:rPr>
                <w:sz w:val="16"/>
              </w:rPr>
              <w:t>−68%</w:t>
            </w:r>
          </w:p>
        </w:tc>
        <w:tc>
          <w:tcPr>
            <w:tcW w:type="dxa" w:w="2835"/>
            <w:shd w:val="clear" w:color="auto" w:fill="FFF6E5"/>
          </w:tcPr>
          <w:p>
            <w:pPr>
              <w:spacing w:after="20" w:before="20"/>
            </w:pPr>
            <w:r>
              <w:rPr>
                <w:sz w:val="16"/>
              </w:rPr>
              <w:t>Unlikely</w:t>
            </w:r>
          </w:p>
        </w:tc>
      </w:tr>
      <w:tr>
        <w:tc>
          <w:tcPr>
            <w:tcW w:type="dxa" w:w="2494"/>
            <w:shd w:val="clear" w:color="auto" w:fill="FFF6E5"/>
          </w:tcPr>
          <w:p>
            <w:pPr>
              <w:spacing w:after="20" w:before="20"/>
            </w:pPr>
            <w:r>
              <w:rPr>
                <w:b/>
                <w:sz w:val="16"/>
              </w:rPr>
              <w:t>Agglomeration elasticity</w:t>
            </w:r>
          </w:p>
        </w:tc>
        <w:tc>
          <w:tcPr>
            <w:tcW w:type="dxa" w:w="1587"/>
            <w:shd w:val="clear" w:color="auto" w:fill="FFF6E5"/>
          </w:tcPr>
          <w:p>
            <w:pPr>
              <w:spacing w:after="20" w:before="20"/>
            </w:pPr>
            <w:r>
              <w:rPr>
                <w:sz w:val="16"/>
              </w:rPr>
              <w:t>0.04</w:t>
            </w:r>
          </w:p>
        </w:tc>
        <w:tc>
          <w:tcPr>
            <w:tcW w:type="dxa" w:w="1587"/>
            <w:shd w:val="clear" w:color="auto" w:fill="FFF6E5"/>
          </w:tcPr>
          <w:p>
            <w:pPr>
              <w:spacing w:after="20" w:before="20"/>
            </w:pPr>
            <w:r>
              <w:rPr>
                <w:sz w:val="16"/>
              </w:rPr>
              <w:t>0.01</w:t>
            </w:r>
          </w:p>
        </w:tc>
        <w:tc>
          <w:tcPr>
            <w:tcW w:type="dxa" w:w="1134"/>
            <w:shd w:val="clear" w:color="auto" w:fill="FFF6E5"/>
          </w:tcPr>
          <w:p>
            <w:pPr>
              <w:spacing w:after="20" w:before="20"/>
            </w:pPr>
            <w:r>
              <w:rPr>
                <w:sz w:val="16"/>
              </w:rPr>
              <w:t>−75%</w:t>
            </w:r>
          </w:p>
        </w:tc>
        <w:tc>
          <w:tcPr>
            <w:tcW w:type="dxa" w:w="2835"/>
            <w:shd w:val="clear" w:color="auto" w:fill="FFF6E5"/>
          </w:tcPr>
          <w:p>
            <w:pPr>
              <w:spacing w:after="20" w:before="20"/>
            </w:pPr>
            <w:r>
              <w:rPr>
                <w:sz w:val="16"/>
              </w:rPr>
              <w:t>Possible</w:t>
            </w:r>
          </w:p>
        </w:tc>
      </w:tr>
      <w:tr>
        <w:tc>
          <w:tcPr>
            <w:tcW w:type="dxa" w:w="2494"/>
            <w:shd w:val="clear" w:color="auto" w:fill="FFF6E5"/>
          </w:tcPr>
          <w:p>
            <w:pPr>
              <w:spacing w:after="20" w:before="20"/>
            </w:pPr>
            <w:r>
              <w:rPr>
                <w:b/>
                <w:sz w:val="16"/>
              </w:rPr>
              <w:t>Discount rate</w:t>
            </w:r>
          </w:p>
        </w:tc>
        <w:tc>
          <w:tcPr>
            <w:tcW w:type="dxa" w:w="1587"/>
            <w:shd w:val="clear" w:color="auto" w:fill="FFF6E5"/>
          </w:tcPr>
          <w:p>
            <w:pPr>
              <w:spacing w:after="20" w:before="20"/>
            </w:pPr>
            <w:r>
              <w:rPr>
                <w:sz w:val="16"/>
              </w:rPr>
              <w:t>8%</w:t>
            </w:r>
          </w:p>
        </w:tc>
        <w:tc>
          <w:tcPr>
            <w:tcW w:type="dxa" w:w="1587"/>
            <w:shd w:val="clear" w:color="auto" w:fill="FFF6E5"/>
          </w:tcPr>
          <w:p>
            <w:pPr>
              <w:spacing w:after="20" w:before="20"/>
            </w:pPr>
            <w:r>
              <w:rPr>
                <w:sz w:val="16"/>
              </w:rPr>
              <w:t>19%</w:t>
            </w:r>
          </w:p>
        </w:tc>
        <w:tc>
          <w:tcPr>
            <w:tcW w:type="dxa" w:w="1134"/>
            <w:shd w:val="clear" w:color="auto" w:fill="FFF6E5"/>
          </w:tcPr>
          <w:p>
            <w:pPr>
              <w:spacing w:after="20" w:before="20"/>
            </w:pPr>
            <w:r>
              <w:rPr>
                <w:sz w:val="16"/>
              </w:rPr>
              <w:t>+138%</w:t>
            </w:r>
          </w:p>
        </w:tc>
        <w:tc>
          <w:tcPr>
            <w:tcW w:type="dxa" w:w="2835"/>
            <w:shd w:val="clear" w:color="auto" w:fill="FFF6E5"/>
          </w:tcPr>
          <w:p>
            <w:pPr>
              <w:spacing w:after="20" w:before="20"/>
            </w:pPr>
            <w:r>
              <w:rPr>
                <w:sz w:val="16"/>
              </w:rPr>
              <w:t>No</w:t>
            </w:r>
          </w:p>
        </w:tc>
      </w:tr>
    </w:tbl>
    <w:p>
      <w:pPr>
        <w:spacing w:after="120"/>
      </w:pPr>
      <w:r>
        <w:rPr>
          <w:i/>
          <w:color w:val="555555"/>
          <w:sz w:val="16"/>
        </w:rPr>
        <w:t>Table INT.3. How far each assumption must move before the conclusion flips to a ratio below 1:1. This is the format finance institutions expect.</w:t>
      </w:r>
    </w:p>
    <w:p>
      <w:pPr>
        <w:spacing w:after="100"/>
      </w:pPr>
      <w:r>
        <w:rPr>
          <w:b w:val="0"/>
          <w:i/>
          <w:color w:val="555555"/>
          <w:sz w:val="20"/>
        </w:rPr>
        <w:t>The value of statistical life row is the one to watch. Because the two published Indian estimates differ by roughly three times, and the switching value sits inside that gap, the headline conclusion depends on which estimate is chosen. That has to be stated openly in the report, not buried in an annexe.</w:t>
      </w:r>
    </w:p>
    <w:p>
      <w:pPr>
        <w:spacing w:before="280" w:after="80"/>
        <w:pBdr>
          <w:bottom w:val="single" w:sz="6" w:space="3" w:color="006D77"/>
        </w:pBdr>
      </w:pPr>
      <w:r>
        <w:rPr>
          <w:b/>
          <w:color w:val="006D77"/>
          <w:sz w:val="26"/>
        </w:rPr>
        <w:t>How to use this document</w:t>
      </w:r>
    </w:p>
    <w:tbl>
      <w:tblPr>
        <w:tblStyle w:val="TableGrid"/>
        <w:tblW w:type="auto" w:w="0"/>
        <w:jc w:val="center"/>
        <w:tblLook w:firstColumn="1" w:firstRow="1" w:lastColumn="0" w:lastRow="0" w:noHBand="0" w:noVBand="1" w:val="04A0"/>
      </w:tblPr>
      <w:tblGrid>
        <w:gridCol w:w="5043"/>
        <w:gridCol w:w="5043"/>
      </w:tblGrid>
      <w:tr>
        <w:tc>
          <w:tcPr>
            <w:tcW w:type="dxa" w:w="2835"/>
            <w:shd w:val="clear" w:color="auto" w:fill="E8F2F2"/>
          </w:tcPr>
          <w:p>
            <w:pPr>
              <w:spacing w:after="20" w:before="20"/>
            </w:pPr>
            <w:r>
              <w:rPr>
                <w:b/>
                <w:color w:val="006D77"/>
                <w:sz w:val="17"/>
              </w:rPr>
              <w:t>Purpose</w:t>
            </w:r>
          </w:p>
        </w:tc>
        <w:tc>
          <w:tcPr>
            <w:tcW w:type="dxa" w:w="6917"/>
            <w:shd w:val="clear" w:color="auto" w:fill="E8F2F2"/>
          </w:tcPr>
          <w:p>
            <w:pPr>
              <w:spacing w:after="20" w:before="20"/>
            </w:pPr>
            <w:r>
              <w:rPr>
                <w:b/>
                <w:color w:val="006D77"/>
                <w:sz w:val="17"/>
              </w:rPr>
              <w:t>How</w:t>
            </w:r>
          </w:p>
        </w:tc>
      </w:tr>
      <w:tr>
        <w:tc>
          <w:tcPr>
            <w:tcW w:type="dxa" w:w="2835"/>
          </w:tcPr>
          <w:p>
            <w:pPr>
              <w:spacing w:after="20" w:before="20"/>
            </w:pPr>
            <w:r>
              <w:rPr>
                <w:b/>
                <w:sz w:val="17"/>
              </w:rPr>
              <w:t>Briefing a funder or a ministry</w:t>
            </w:r>
          </w:p>
        </w:tc>
        <w:tc>
          <w:tcPr>
            <w:tcW w:type="dxa" w:w="6917"/>
          </w:tcPr>
          <w:p>
            <w:pPr>
              <w:spacing w:after="20" w:before="20"/>
            </w:pPr>
            <w:r>
              <w:rPr>
                <w:sz w:val="17"/>
              </w:rPr>
              <w:t>Show the shape of Table INT.1 and INT.2. Say clearly that the numbers are placeholders and the structure is the commitment</w:t>
            </w:r>
          </w:p>
        </w:tc>
      </w:tr>
      <w:tr>
        <w:tc>
          <w:tcPr>
            <w:tcW w:type="dxa" w:w="2835"/>
          </w:tcPr>
          <w:p>
            <w:pPr>
              <w:spacing w:after="20" w:before="20"/>
            </w:pPr>
            <w:r>
              <w:rPr>
                <w:b/>
                <w:sz w:val="17"/>
              </w:rPr>
              <w:t>Designing the survey</w:t>
            </w:r>
          </w:p>
        </w:tc>
        <w:tc>
          <w:tcPr>
            <w:tcW w:type="dxa" w:w="6917"/>
          </w:tcPr>
          <w:p>
            <w:pPr>
              <w:spacing w:after="20" w:before="20"/>
            </w:pPr>
            <w:r>
              <w:rPr>
                <w:sz w:val="17"/>
              </w:rPr>
              <w:t>Work backwards from Tables M1.1 and M2.4. Every coefficient in those tables needs a variable, and every variable needs a question</w:t>
            </w:r>
          </w:p>
        </w:tc>
      </w:tr>
      <w:tr>
        <w:tc>
          <w:tcPr>
            <w:tcW w:type="dxa" w:w="2835"/>
          </w:tcPr>
          <w:p>
            <w:pPr>
              <w:spacing w:after="20" w:before="20"/>
            </w:pPr>
            <w:r>
              <w:rPr>
                <w:b/>
                <w:sz w:val="17"/>
              </w:rPr>
              <w:t>Setting up the analysis code</w:t>
            </w:r>
          </w:p>
        </w:tc>
        <w:tc>
          <w:tcPr>
            <w:tcW w:type="dxa" w:w="6917"/>
          </w:tcPr>
          <w:p>
            <w:pPr>
              <w:spacing w:after="20" w:before="20"/>
            </w:pPr>
            <w:r>
              <w:rPr>
                <w:sz w:val="17"/>
              </w:rPr>
              <w:t>Build the empty output tables first, then write the code that fills them. It prevents the analysis drifting away from what was promised</w:t>
            </w:r>
          </w:p>
        </w:tc>
      </w:tr>
      <w:tr>
        <w:tc>
          <w:tcPr>
            <w:tcW w:type="dxa" w:w="2835"/>
          </w:tcPr>
          <w:p>
            <w:pPr>
              <w:spacing w:after="20" w:before="20"/>
            </w:pPr>
            <w:r>
              <w:rPr>
                <w:b/>
                <w:sz w:val="17"/>
              </w:rPr>
              <w:t>Peer review readiness</w:t>
            </w:r>
          </w:p>
        </w:tc>
        <w:tc>
          <w:tcPr>
            <w:tcW w:type="dxa" w:w="6917"/>
          </w:tcPr>
          <w:p>
            <w:pPr>
              <w:spacing w:after="20" w:before="20"/>
            </w:pPr>
            <w:r>
              <w:rPr>
                <w:sz w:val="17"/>
              </w:rPr>
              <w:t>Tables M2.2 and INT.3 are the ones reviewers will attack. Having the harms and the switching values already in the output design is what protects the result</w:t>
            </w:r>
          </w:p>
        </w:tc>
      </w:tr>
    </w:tbl>
    <w:p>
      <w:pPr>
        <w:spacing w:after="40"/>
      </w:pP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