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6D77"/>
          <w:sz w:val="36"/>
        </w:rPr>
        <w:t>#BBUS research framework</w:t>
      </w:r>
    </w:p>
    <w:p>
      <w:pPr>
        <w:spacing w:after="40"/>
      </w:pPr>
      <w:r>
        <w:rPr>
          <w:color w:val="555555"/>
          <w:sz w:val="22"/>
        </w:rPr>
        <w:t>Hypotheses, data strategy and the policy recommendation each test produces</w:t>
      </w:r>
    </w:p>
    <w:p>
      <w:pPr>
        <w:spacing w:after="160"/>
      </w:pPr>
      <w:r>
        <w:rPr>
          <w:i/>
          <w:color w:val="555555"/>
          <w:sz w:val="17"/>
        </w:rPr>
        <w:t>Models M1 socio-economic and M2 health  ·  CEEW  ·  September 2026</w:t>
      </w:r>
    </w:p>
    <w:p>
      <w:pPr>
        <w:spacing w:before="260" w:after="60"/>
        <w:pBdr>
          <w:bottom w:val="single" w:sz="6" w:space="3" w:color="006D77"/>
        </w:pBdr>
      </w:pPr>
      <w:r>
        <w:rPr>
          <w:b/>
          <w:color w:val="006D77"/>
          <w:sz w:val="25"/>
        </w:rPr>
        <w:t>1. The policy question</w:t>
      </w:r>
    </w:p>
    <w:p>
      <w:pPr>
        <w:spacing w:after="80"/>
      </w:pPr>
      <w:r>
        <w:rPr>
          <w:i w:val="0"/>
          <w:color w:val="1A1A1A"/>
          <w:sz w:val="19"/>
        </w:rPr>
        <w:t>Indian cities are receiving the largest bus investment since JNNURM through PM e-Bus Sewa, but the appraisal case rests on farebox revenue, operating cost and in-vehicle time saved. Everything else a bus delivers goes unpriced, so bus budgets lose to road budgets by default.</w:t>
      </w:r>
    </w:p>
    <w:p>
      <w:pPr>
        <w:spacing w:after="80"/>
      </w:pPr>
      <w:r>
        <w:rPr>
          <w:i w:val="0"/>
          <w:color w:val="1A1A1A"/>
          <w:sz w:val="19"/>
        </w:rPr>
        <w:t>This framework asks one question. What is a city bus worth beyond its fares, and what should a government do differently once that number exists?</w:t>
      </w:r>
    </w:p>
    <w:p>
      <w:pPr>
        <w:spacing w:after="80"/>
      </w:pPr>
      <w:r>
        <w:rPr>
          <w:i w:val="0"/>
          <w:color w:val="1A1A1A"/>
          <w:sz w:val="19"/>
        </w:rPr>
        <w:t>The design constraint is fixed. We hold large passive mobile GPS trip data already paid for, and we can field 6,000 household surveys across six cities. The framework is built so that passive data carries everything it can, and the survey is spent only on what cannot be observed.</w:t>
      </w:r>
    </w:p>
    <w:p>
      <w:pPr>
        <w:spacing w:before="260" w:after="60"/>
        <w:pBdr>
          <w:bottom w:val="single" w:sz="6" w:space="3" w:color="006D77"/>
        </w:pBdr>
      </w:pPr>
      <w:r>
        <w:rPr>
          <w:b/>
          <w:color w:val="006D77"/>
          <w:sz w:val="25"/>
        </w:rPr>
        <w:t>2. The causal chain being tested</w:t>
      </w:r>
    </w:p>
    <w:tbl>
      <w:tblPr>
        <w:tblStyle w:val="TableGrid"/>
        <w:tblW w:type="auto" w:w="0"/>
        <w:jc w:val="center"/>
        <w:tblLook w:firstColumn="1" w:firstRow="1" w:lastColumn="0" w:lastRow="0" w:noHBand="0" w:noVBand="1" w:val="04A0"/>
      </w:tblPr>
      <w:tblGrid>
        <w:gridCol w:w="3475"/>
        <w:gridCol w:w="3475"/>
        <w:gridCol w:w="3475"/>
      </w:tblGrid>
      <w:tr>
        <w:tc>
          <w:tcPr>
            <w:tcW w:type="dxa" w:w="624"/>
            <w:shd w:val="clear" w:color="auto" w:fill="E8F2F2"/>
          </w:tcPr>
          <w:p>
            <w:pPr>
              <w:spacing w:after="20" w:before="20"/>
            </w:pPr>
            <w:r>
              <w:rPr>
                <w:b/>
                <w:color w:val="006D77"/>
                <w:sz w:val="15"/>
              </w:rPr>
              <w:t>Link</w:t>
            </w:r>
          </w:p>
        </w:tc>
        <w:tc>
          <w:tcPr>
            <w:tcW w:type="dxa" w:w="4876"/>
            <w:shd w:val="clear" w:color="auto" w:fill="E8F2F2"/>
          </w:tcPr>
          <w:p>
            <w:pPr>
              <w:spacing w:after="20" w:before="20"/>
            </w:pPr>
            <w:r>
              <w:rPr>
                <w:b/>
                <w:color w:val="006D77"/>
                <w:sz w:val="15"/>
              </w:rPr>
              <w:t>What changes</w:t>
            </w:r>
          </w:p>
        </w:tc>
        <w:tc>
          <w:tcPr>
            <w:tcW w:type="dxa" w:w="4592"/>
            <w:shd w:val="clear" w:color="auto" w:fill="E8F2F2"/>
          </w:tcPr>
          <w:p>
            <w:pPr>
              <w:spacing w:after="20" w:before="20"/>
            </w:pPr>
            <w:r>
              <w:rPr>
                <w:b/>
                <w:color w:val="006D77"/>
                <w:sz w:val="15"/>
              </w:rPr>
              <w:t>Observed by</w:t>
            </w:r>
          </w:p>
        </w:tc>
      </w:tr>
      <w:tr>
        <w:tc>
          <w:tcPr>
            <w:tcW w:type="dxa" w:w="624"/>
          </w:tcPr>
          <w:p>
            <w:pPr>
              <w:spacing w:after="20" w:before="20"/>
            </w:pPr>
            <w:r>
              <w:rPr>
                <w:b/>
                <w:sz w:val="15"/>
              </w:rPr>
              <w:t>1</w:t>
            </w:r>
          </w:p>
        </w:tc>
        <w:tc>
          <w:tcPr>
            <w:tcW w:type="dxa" w:w="4876"/>
          </w:tcPr>
          <w:p>
            <w:pPr>
              <w:spacing w:after="20" w:before="20"/>
            </w:pPr>
            <w:r>
              <w:rPr>
                <w:sz w:val="15"/>
              </w:rPr>
              <w:t>Bus deployment lowers the generalised cost of travel: time, fare, waiting, access walk</w:t>
            </w:r>
          </w:p>
        </w:tc>
        <w:tc>
          <w:tcPr>
            <w:tcW w:type="dxa" w:w="4592"/>
          </w:tcPr>
          <w:p>
            <w:pPr>
              <w:spacing w:after="20" w:before="20"/>
            </w:pPr>
            <w:r>
              <w:rPr>
                <w:sz w:val="15"/>
              </w:rPr>
              <w:t>Passive traces, GTFS, survey for fare</w:t>
            </w:r>
          </w:p>
        </w:tc>
      </w:tr>
      <w:tr>
        <w:tc>
          <w:tcPr>
            <w:tcW w:type="dxa" w:w="624"/>
          </w:tcPr>
          <w:p>
            <w:pPr>
              <w:spacing w:after="20" w:before="20"/>
            </w:pPr>
            <w:r>
              <w:rPr>
                <w:b/>
                <w:sz w:val="15"/>
              </w:rPr>
              <w:t>2</w:t>
            </w:r>
          </w:p>
        </w:tc>
        <w:tc>
          <w:tcPr>
            <w:tcW w:type="dxa" w:w="4876"/>
          </w:tcPr>
          <w:p>
            <w:pPr>
              <w:spacing w:after="20" w:before="20"/>
            </w:pPr>
            <w:r>
              <w:rPr>
                <w:sz w:val="15"/>
              </w:rPr>
              <w:t>Travellers respond: some switch mode, some make trips they otherwise would not</w:t>
            </w:r>
          </w:p>
        </w:tc>
        <w:tc>
          <w:tcPr>
            <w:tcW w:type="dxa" w:w="4592"/>
          </w:tcPr>
          <w:p>
            <w:pPr>
              <w:spacing w:after="20" w:before="20"/>
            </w:pPr>
            <w:r>
              <w:rPr>
                <w:sz w:val="15"/>
              </w:rPr>
              <w:t>Survey counterfactual, joined to traces</w:t>
            </w:r>
          </w:p>
        </w:tc>
      </w:tr>
      <w:tr>
        <w:tc>
          <w:tcPr>
            <w:tcW w:type="dxa" w:w="624"/>
          </w:tcPr>
          <w:p>
            <w:pPr>
              <w:spacing w:after="20" w:before="20"/>
            </w:pPr>
            <w:r>
              <w:rPr>
                <w:b/>
                <w:sz w:val="15"/>
              </w:rPr>
              <w:t>3</w:t>
            </w:r>
          </w:p>
        </w:tc>
        <w:tc>
          <w:tcPr>
            <w:tcW w:type="dxa" w:w="4876"/>
          </w:tcPr>
          <w:p>
            <w:pPr>
              <w:spacing w:after="20" w:before="20"/>
            </w:pPr>
            <w:r>
              <w:rPr>
                <w:sz w:val="15"/>
              </w:rPr>
              <w:t>Aggregate travel changes: vehicle-km by mode, time in traffic, walking, jobs reachable</w:t>
            </w:r>
          </w:p>
        </w:tc>
        <w:tc>
          <w:tcPr>
            <w:tcW w:type="dxa" w:w="4592"/>
          </w:tcPr>
          <w:p>
            <w:pPr>
              <w:spacing w:after="20" w:before="20"/>
            </w:pPr>
            <w:r>
              <w:rPr>
                <w:sz w:val="15"/>
              </w:rPr>
              <w:t>Passive traces plus GTFS and jobs data</w:t>
            </w:r>
          </w:p>
        </w:tc>
      </w:tr>
      <w:tr>
        <w:tc>
          <w:tcPr>
            <w:tcW w:type="dxa" w:w="624"/>
          </w:tcPr>
          <w:p>
            <w:pPr>
              <w:spacing w:after="20" w:before="20"/>
            </w:pPr>
            <w:r>
              <w:rPr>
                <w:b/>
                <w:sz w:val="15"/>
              </w:rPr>
              <w:t>4a</w:t>
            </w:r>
          </w:p>
        </w:tc>
        <w:tc>
          <w:tcPr>
            <w:tcW w:type="dxa" w:w="4876"/>
          </w:tcPr>
          <w:p>
            <w:pPr>
              <w:spacing w:after="20" w:before="20"/>
            </w:pPr>
            <w:r>
              <w:rPr>
                <w:sz w:val="15"/>
              </w:rPr>
              <w:t>Socio-economic outcomes move: spending, employment, women’s mobility, access to services</w:t>
            </w:r>
          </w:p>
        </w:tc>
        <w:tc>
          <w:tcPr>
            <w:tcW w:type="dxa" w:w="4592"/>
          </w:tcPr>
          <w:p>
            <w:pPr>
              <w:spacing w:after="20" w:before="20"/>
            </w:pPr>
            <w:r>
              <w:rPr>
                <w:sz w:val="15"/>
              </w:rPr>
              <w:t>Survey</w:t>
            </w:r>
          </w:p>
        </w:tc>
      </w:tr>
      <w:tr>
        <w:tc>
          <w:tcPr>
            <w:tcW w:type="dxa" w:w="624"/>
          </w:tcPr>
          <w:p>
            <w:pPr>
              <w:spacing w:after="20" w:before="20"/>
            </w:pPr>
            <w:r>
              <w:rPr>
                <w:b/>
                <w:sz w:val="15"/>
              </w:rPr>
              <w:t>4b</w:t>
            </w:r>
          </w:p>
        </w:tc>
        <w:tc>
          <w:tcPr>
            <w:tcW w:type="dxa" w:w="4876"/>
          </w:tcPr>
          <w:p>
            <w:pPr>
              <w:spacing w:after="20" w:before="20"/>
            </w:pPr>
            <w:r>
              <w:rPr>
                <w:sz w:val="15"/>
              </w:rPr>
              <w:t>Health outcomes move: physical activity, pollution exposure, injury risk, stress</w:t>
            </w:r>
          </w:p>
        </w:tc>
        <w:tc>
          <w:tcPr>
            <w:tcW w:type="dxa" w:w="4592"/>
          </w:tcPr>
          <w:p>
            <w:pPr>
              <w:spacing w:after="20" w:before="20"/>
            </w:pPr>
            <w:r>
              <w:rPr>
                <w:sz w:val="15"/>
              </w:rPr>
              <w:t>Passive plus survey plus secondary records</w:t>
            </w:r>
          </w:p>
        </w:tc>
      </w:tr>
      <w:tr>
        <w:tc>
          <w:tcPr>
            <w:tcW w:type="dxa" w:w="624"/>
          </w:tcPr>
          <w:p>
            <w:pPr>
              <w:spacing w:after="20" w:before="20"/>
            </w:pPr>
            <w:r>
              <w:rPr>
                <w:b/>
                <w:sz w:val="15"/>
              </w:rPr>
              <w:t>5</w:t>
            </w:r>
          </w:p>
        </w:tc>
        <w:tc>
          <w:tcPr>
            <w:tcW w:type="dxa" w:w="4876"/>
          </w:tcPr>
          <w:p>
            <w:pPr>
              <w:spacing w:after="20" w:before="20"/>
            </w:pPr>
            <w:r>
              <w:rPr>
                <w:sz w:val="15"/>
              </w:rPr>
              <w:t>Effects become rupees and become a policy instrument</w:t>
            </w:r>
          </w:p>
        </w:tc>
        <w:tc>
          <w:tcPr>
            <w:tcW w:type="dxa" w:w="4592"/>
          </w:tcPr>
          <w:p>
            <w:pPr>
              <w:spacing w:after="20" w:before="20"/>
            </w:pPr>
            <w:r>
              <w:rPr>
                <w:sz w:val="15"/>
              </w:rPr>
              <w:t>Valuation and appraisal</w:t>
            </w:r>
          </w:p>
        </w:tc>
      </w:tr>
    </w:tbl>
    <w:p>
      <w:pPr>
        <w:spacing w:after="40"/>
      </w:pPr>
    </w:p>
    <w:p>
      <w:pPr>
        <w:spacing w:after="80"/>
      </w:pPr>
      <w:r>
        <w:rPr>
          <w:i/>
          <w:color w:val="555555"/>
          <w:sz w:val="19"/>
        </w:rPr>
        <w:t>Link 2 is the hinge. It is the only point where passive data and survey must be formally joined, and it is what allows 6,000 households to speak for six cities.</w:t>
      </w:r>
    </w:p>
    <w:p>
      <w:pPr>
        <w:spacing w:before="260" w:after="60"/>
        <w:pBdr>
          <w:bottom w:val="single" w:sz="6" w:space="3" w:color="006D77"/>
        </w:pBdr>
      </w:pPr>
      <w:r>
        <w:rPr>
          <w:b/>
          <w:color w:val="006D77"/>
          <w:sz w:val="25"/>
        </w:rPr>
        <w:t>3. Hypotheses</w:t>
      </w:r>
    </w:p>
    <w:p>
      <w:pPr>
        <w:spacing w:after="80"/>
      </w:pPr>
      <w:r>
        <w:rPr>
          <w:i w:val="0"/>
          <w:color w:val="1A1A1A"/>
          <w:sz w:val="19"/>
        </w:rPr>
        <w:t>Thirteen hypotheses. Each is stated so it can fail. The final column is the honest one: what result would force us to abandon or rewrite the claim.</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510"/>
            <w:shd w:val="clear" w:color="auto" w:fill="E8F2F2"/>
          </w:tcPr>
          <w:p>
            <w:pPr>
              <w:spacing w:after="20" w:before="20"/>
            </w:pPr>
            <w:r>
              <w:rPr>
                <w:b/>
                <w:color w:val="006D77"/>
                <w:sz w:val="15"/>
              </w:rPr>
              <w:t>#</w:t>
            </w:r>
          </w:p>
        </w:tc>
        <w:tc>
          <w:tcPr>
            <w:tcW w:type="dxa" w:w="2835"/>
            <w:shd w:val="clear" w:color="auto" w:fill="E8F2F2"/>
          </w:tcPr>
          <w:p>
            <w:pPr>
              <w:spacing w:after="20" w:before="20"/>
            </w:pPr>
            <w:r>
              <w:rPr>
                <w:b/>
                <w:color w:val="006D77"/>
                <w:sz w:val="15"/>
              </w:rPr>
              <w:t>Hypothesis</w:t>
            </w:r>
          </w:p>
        </w:tc>
        <w:tc>
          <w:tcPr>
            <w:tcW w:type="dxa" w:w="1361"/>
            <w:shd w:val="clear" w:color="auto" w:fill="E8F2F2"/>
          </w:tcPr>
          <w:p>
            <w:pPr>
              <w:spacing w:after="20" w:before="20"/>
            </w:pPr>
            <w:r>
              <w:rPr>
                <w:b/>
                <w:color w:val="006D77"/>
                <w:sz w:val="15"/>
              </w:rPr>
              <w:t>Data</w:t>
            </w:r>
          </w:p>
        </w:tc>
        <w:tc>
          <w:tcPr>
            <w:tcW w:type="dxa" w:w="2608"/>
            <w:shd w:val="clear" w:color="auto" w:fill="E8F2F2"/>
          </w:tcPr>
          <w:p>
            <w:pPr>
              <w:spacing w:after="20" w:before="20"/>
            </w:pPr>
            <w:r>
              <w:rPr>
                <w:b/>
                <w:color w:val="006D77"/>
                <w:sz w:val="15"/>
              </w:rPr>
              <w:t>Test</w:t>
            </w:r>
          </w:p>
        </w:tc>
        <w:tc>
          <w:tcPr>
            <w:tcW w:type="dxa" w:w="2778"/>
            <w:shd w:val="clear" w:color="auto" w:fill="E8F2F2"/>
          </w:tcPr>
          <w:p>
            <w:pPr>
              <w:spacing w:after="20" w:before="20"/>
            </w:pPr>
            <w:r>
              <w:rPr>
                <w:b/>
                <w:color w:val="006D77"/>
                <w:sz w:val="15"/>
              </w:rPr>
              <w:t>What would refute it</w:t>
            </w:r>
          </w:p>
        </w:tc>
      </w:tr>
      <w:tr>
        <w:tc>
          <w:tcPr>
            <w:tcW w:type="dxa" w:w="10425"/>
            <w:gridSpan w:val="5"/>
            <w:shd w:val="clear" w:color="auto" w:fill="D6E8E8"/>
          </w:tcPr>
          <w:p>
            <w:pPr>
              <w:spacing w:after="20" w:before="20"/>
            </w:pPr>
            <w:r>
              <w:rPr>
                <w:b/>
                <w:color w:val="006D77"/>
                <w:sz w:val="16"/>
              </w:rPr>
              <w:t>PASSIVE DATA ALONE — testable now, no survey required</w:t>
            </w:r>
          </w:p>
        </w:tc>
      </w:tr>
      <w:tr>
        <w:tc>
          <w:tcPr>
            <w:tcW w:type="dxa" w:w="510"/>
          </w:tcPr>
          <w:p>
            <w:pPr>
              <w:spacing w:after="20" w:before="20"/>
            </w:pPr>
            <w:r>
              <w:rPr>
                <w:b/>
                <w:sz w:val="15"/>
              </w:rPr>
              <w:t>H1</w:t>
            </w:r>
          </w:p>
        </w:tc>
        <w:tc>
          <w:tcPr>
            <w:tcW w:type="dxa" w:w="2835"/>
          </w:tcPr>
          <w:p>
            <w:pPr>
              <w:spacing w:after="20" w:before="20"/>
            </w:pPr>
            <w:r>
              <w:rPr>
                <w:sz w:val="15"/>
              </w:rPr>
              <w:t>A material share of urban motorised travel occurs on corridors with no bus service within walking distance</w:t>
            </w:r>
          </w:p>
        </w:tc>
        <w:tc>
          <w:tcPr>
            <w:tcW w:type="dxa" w:w="1361"/>
          </w:tcPr>
          <w:p>
            <w:pPr>
              <w:spacing w:after="20" w:before="20"/>
            </w:pPr>
            <w:r>
              <w:rPr>
                <w:sz w:val="15"/>
              </w:rPr>
              <w:t>Passive + GTFS</w:t>
            </w:r>
          </w:p>
        </w:tc>
        <w:tc>
          <w:tcPr>
            <w:tcW w:type="dxa" w:w="2608"/>
          </w:tcPr>
          <w:p>
            <w:pPr>
              <w:spacing w:after="20" w:before="20"/>
            </w:pPr>
            <w:r>
              <w:rPr>
                <w:sz w:val="15"/>
              </w:rPr>
              <w:t>Share of OD flow falling outside a 500 m stop buffer, ranked by corridor</w:t>
            </w:r>
          </w:p>
        </w:tc>
        <w:tc>
          <w:tcPr>
            <w:tcW w:type="dxa" w:w="2778"/>
          </w:tcPr>
          <w:p>
            <w:pPr>
              <w:spacing w:after="20" w:before="20"/>
            </w:pPr>
            <w:r>
              <w:rPr>
                <w:sz w:val="15"/>
              </w:rPr>
              <w:t>Unserved share is small, or unserved corridors carry trivial volume</w:t>
            </w:r>
          </w:p>
        </w:tc>
      </w:tr>
      <w:tr>
        <w:tc>
          <w:tcPr>
            <w:tcW w:type="dxa" w:w="510"/>
          </w:tcPr>
          <w:p>
            <w:pPr>
              <w:spacing w:after="20" w:before="20"/>
            </w:pPr>
            <w:r>
              <w:rPr>
                <w:b/>
                <w:sz w:val="15"/>
              </w:rPr>
              <w:t>H2</w:t>
            </w:r>
          </w:p>
        </w:tc>
        <w:tc>
          <w:tcPr>
            <w:tcW w:type="dxa" w:w="2835"/>
          </w:tcPr>
          <w:p>
            <w:pPr>
              <w:spacing w:after="20" w:before="20"/>
            </w:pPr>
            <w:r>
              <w:rPr>
                <w:sz w:val="15"/>
              </w:rPr>
              <w:t>Peak congestion on main corridors imposes a large, measurable time cost</w:t>
            </w:r>
          </w:p>
        </w:tc>
        <w:tc>
          <w:tcPr>
            <w:tcW w:type="dxa" w:w="1361"/>
          </w:tcPr>
          <w:p>
            <w:pPr>
              <w:spacing w:after="20" w:before="20"/>
            </w:pPr>
            <w:r>
              <w:rPr>
                <w:sz w:val="15"/>
              </w:rPr>
              <w:t>Passive</w:t>
            </w:r>
          </w:p>
        </w:tc>
        <w:tc>
          <w:tcPr>
            <w:tcW w:type="dxa" w:w="2608"/>
          </w:tcPr>
          <w:p>
            <w:pPr>
              <w:spacing w:after="20" w:before="20"/>
            </w:pPr>
            <w:r>
              <w:rPr>
                <w:sz w:val="15"/>
              </w:rPr>
              <w:t>Delay against a free-flow baseline from high-percentile observed speed, by corridor and hour</w:t>
            </w:r>
          </w:p>
        </w:tc>
        <w:tc>
          <w:tcPr>
            <w:tcW w:type="dxa" w:w="2778"/>
          </w:tcPr>
          <w:p>
            <w:pPr>
              <w:spacing w:after="20" w:before="20"/>
            </w:pPr>
            <w:r>
              <w:rPr>
                <w:sz w:val="15"/>
              </w:rPr>
              <w:t>Peak and off-peak times are close, meaning congestion is not the binding problem</w:t>
            </w:r>
          </w:p>
        </w:tc>
      </w:tr>
      <w:tr>
        <w:tc>
          <w:tcPr>
            <w:tcW w:type="dxa" w:w="510"/>
          </w:tcPr>
          <w:p>
            <w:pPr>
              <w:spacing w:after="20" w:before="20"/>
            </w:pPr>
            <w:r>
              <w:rPr>
                <w:b/>
                <w:sz w:val="15"/>
              </w:rPr>
              <w:t>H3</w:t>
            </w:r>
          </w:p>
        </w:tc>
        <w:tc>
          <w:tcPr>
            <w:tcW w:type="dxa" w:w="2835"/>
          </w:tcPr>
          <w:p>
            <w:pPr>
              <w:spacing w:after="20" w:before="20"/>
            </w:pPr>
            <w:r>
              <w:rPr>
                <w:sz w:val="15"/>
              </w:rPr>
              <w:t>Bus network expansion materially raises the number of jobs reachable within 45 minutes, most of all from low-income wards</w:t>
            </w:r>
          </w:p>
        </w:tc>
        <w:tc>
          <w:tcPr>
            <w:tcW w:type="dxa" w:w="1361"/>
          </w:tcPr>
          <w:p>
            <w:pPr>
              <w:spacing w:after="20" w:before="20"/>
            </w:pPr>
            <w:r>
              <w:rPr>
                <w:sz w:val="15"/>
              </w:rPr>
              <w:t>Passive + GTFS + Economic Census</w:t>
            </w:r>
          </w:p>
        </w:tc>
        <w:tc>
          <w:tcPr>
            <w:tcW w:type="dxa" w:w="2608"/>
          </w:tcPr>
          <w:p>
            <w:pPr>
              <w:spacing w:after="20" w:before="20"/>
            </w:pPr>
            <w:r>
              <w:rPr>
                <w:sz w:val="15"/>
              </w:rPr>
              <w:t>Cumulative opportunity accessibility, before and after planned corridors</w:t>
            </w:r>
          </w:p>
        </w:tc>
        <w:tc>
          <w:tcPr>
            <w:tcW w:type="dxa" w:w="2778"/>
          </w:tcPr>
          <w:p>
            <w:pPr>
              <w:spacing w:after="20" w:before="20"/>
            </w:pPr>
            <w:r>
              <w:rPr>
                <w:sz w:val="15"/>
              </w:rPr>
              <w:t>Accessibility gain is small, or accrues mainly to already well-served wards</w:t>
            </w:r>
          </w:p>
        </w:tc>
      </w:tr>
      <w:tr>
        <w:tc>
          <w:tcPr>
            <w:tcW w:type="dxa" w:w="510"/>
          </w:tcPr>
          <w:p>
            <w:pPr>
              <w:spacing w:after="20" w:before="20"/>
            </w:pPr>
            <w:r>
              <w:rPr>
                <w:b/>
                <w:sz w:val="15"/>
              </w:rPr>
              <w:t>H4</w:t>
            </w:r>
          </w:p>
        </w:tc>
        <w:tc>
          <w:tcPr>
            <w:tcW w:type="dxa" w:w="2835"/>
          </w:tcPr>
          <w:p>
            <w:pPr>
              <w:spacing w:after="20" w:before="20"/>
            </w:pPr>
            <w:r>
              <w:rPr>
                <w:sz w:val="15"/>
              </w:rPr>
              <w:t>Observed trip lengths sit within single-charge electric bus range</w:t>
            </w:r>
          </w:p>
        </w:tc>
        <w:tc>
          <w:tcPr>
            <w:tcW w:type="dxa" w:w="1361"/>
          </w:tcPr>
          <w:p>
            <w:pPr>
              <w:spacing w:after="20" w:before="20"/>
            </w:pPr>
            <w:r>
              <w:rPr>
                <w:sz w:val="15"/>
              </w:rPr>
              <w:t>Passive</w:t>
            </w:r>
          </w:p>
        </w:tc>
        <w:tc>
          <w:tcPr>
            <w:tcW w:type="dxa" w:w="2608"/>
          </w:tcPr>
          <w:p>
            <w:pPr>
              <w:spacing w:after="20" w:before="20"/>
            </w:pPr>
            <w:r>
              <w:rPr>
                <w:sz w:val="15"/>
              </w:rPr>
              <w:t>Cumulative trip length distribution against candidate vehicle ranges</w:t>
            </w:r>
          </w:p>
        </w:tc>
        <w:tc>
          <w:tcPr>
            <w:tcW w:type="dxa" w:w="2778"/>
          </w:tcPr>
          <w:p>
            <w:pPr>
              <w:spacing w:after="20" w:before="20"/>
            </w:pPr>
            <w:r>
              <w:rPr>
                <w:sz w:val="15"/>
              </w:rPr>
              <w:t>A large share of demand exceeds feasible range, implying depot or opportunity charging</w:t>
            </w:r>
          </w:p>
        </w:tc>
      </w:tr>
      <w:tr>
        <w:tc>
          <w:tcPr>
            <w:tcW w:type="dxa" w:w="510"/>
          </w:tcPr>
          <w:p>
            <w:pPr>
              <w:spacing w:after="20" w:before="20"/>
            </w:pPr>
            <w:r>
              <w:rPr>
                <w:b/>
                <w:sz w:val="15"/>
              </w:rPr>
              <w:t>H5</w:t>
            </w:r>
          </w:p>
        </w:tc>
        <w:tc>
          <w:tcPr>
            <w:tcW w:type="dxa" w:w="2835"/>
          </w:tcPr>
          <w:p>
            <w:pPr>
              <w:spacing w:after="20" w:before="20"/>
            </w:pPr>
            <w:r>
              <w:rPr>
                <w:sz w:val="15"/>
              </w:rPr>
              <w:t>A small number of ward pairs carry a disproportionate share of travel, and some cross hazard-prone roads</w:t>
            </w:r>
          </w:p>
        </w:tc>
        <w:tc>
          <w:tcPr>
            <w:tcW w:type="dxa" w:w="1361"/>
          </w:tcPr>
          <w:p>
            <w:pPr>
              <w:spacing w:after="20" w:before="20"/>
            </w:pPr>
            <w:r>
              <w:rPr>
                <w:sz w:val="15"/>
              </w:rPr>
              <w:t>Passive + hazard maps</w:t>
            </w:r>
          </w:p>
        </w:tc>
        <w:tc>
          <w:tcPr>
            <w:tcW w:type="dxa" w:w="2608"/>
          </w:tcPr>
          <w:p>
            <w:pPr>
              <w:spacing w:after="20" w:before="20"/>
            </w:pPr>
            <w:r>
              <w:rPr>
                <w:sz w:val="15"/>
              </w:rPr>
              <w:t>Ward-to-ward OD matrix ranked by volume, overlaid on municipal hazard layers</w:t>
            </w:r>
          </w:p>
        </w:tc>
        <w:tc>
          <w:tcPr>
            <w:tcW w:type="dxa" w:w="2778"/>
          </w:tcPr>
          <w:p>
            <w:pPr>
              <w:spacing w:after="20" w:before="20"/>
            </w:pPr>
            <w:r>
              <w:rPr>
                <w:sz w:val="15"/>
              </w:rPr>
              <w:t>Flows are diffuse, so no corridor is critical enough to prioritise</w:t>
            </w:r>
          </w:p>
        </w:tc>
      </w:tr>
      <w:tr>
        <w:tc>
          <w:tcPr>
            <w:tcW w:type="dxa" w:w="10425"/>
            <w:gridSpan w:val="5"/>
            <w:shd w:val="clear" w:color="auto" w:fill="D6E8E8"/>
          </w:tcPr>
          <w:p>
            <w:pPr>
              <w:spacing w:after="20" w:before="20"/>
            </w:pPr>
            <w:r>
              <w:rPr>
                <w:b/>
                <w:color w:val="006D77"/>
                <w:sz w:val="16"/>
              </w:rPr>
              <w:t>SURVEY REQUIRED — M1 socio-economic</w:t>
            </w:r>
          </w:p>
        </w:tc>
      </w:tr>
      <w:tr>
        <w:tc>
          <w:tcPr>
            <w:tcW w:type="dxa" w:w="510"/>
          </w:tcPr>
          <w:p>
            <w:pPr>
              <w:spacing w:after="20" w:before="20"/>
            </w:pPr>
            <w:r>
              <w:rPr>
                <w:b/>
                <w:sz w:val="15"/>
              </w:rPr>
              <w:t>H6</w:t>
            </w:r>
          </w:p>
        </w:tc>
        <w:tc>
          <w:tcPr>
            <w:tcW w:type="dxa" w:w="2835"/>
          </w:tcPr>
          <w:p>
            <w:pPr>
              <w:spacing w:after="20" w:before="20"/>
            </w:pPr>
            <w:r>
              <w:rPr>
                <w:sz w:val="15"/>
              </w:rPr>
              <w:t>Households with bus access spend less on transport than comparable households without it</w:t>
            </w:r>
          </w:p>
        </w:tc>
        <w:tc>
          <w:tcPr>
            <w:tcW w:type="dxa" w:w="1361"/>
          </w:tcPr>
          <w:p>
            <w:pPr>
              <w:spacing w:after="20" w:before="20"/>
            </w:pPr>
            <w:r>
              <w:rPr>
                <w:sz w:val="15"/>
              </w:rPr>
              <w:t>Survey</w:t>
            </w:r>
          </w:p>
        </w:tc>
        <w:tc>
          <w:tcPr>
            <w:tcW w:type="dxa" w:w="2608"/>
          </w:tcPr>
          <w:p>
            <w:pPr>
              <w:spacing w:after="20" w:before="20"/>
            </w:pPr>
            <w:r>
              <w:rPr>
                <w:sz w:val="15"/>
              </w:rPr>
              <w:t>DiD in Group B, cross-sectional regression with controls in Group A</w:t>
            </w:r>
          </w:p>
        </w:tc>
        <w:tc>
          <w:tcPr>
            <w:tcW w:type="dxa" w:w="2778"/>
          </w:tcPr>
          <w:p>
            <w:pPr>
              <w:spacing w:after="20" w:before="20"/>
            </w:pPr>
            <w:r>
              <w:rPr>
                <w:sz w:val="15"/>
              </w:rPr>
              <w:t>No significant difference, or higher spending among bus-access households</w:t>
            </w:r>
          </w:p>
        </w:tc>
      </w:tr>
      <w:tr>
        <w:tc>
          <w:tcPr>
            <w:tcW w:type="dxa" w:w="510"/>
          </w:tcPr>
          <w:p>
            <w:pPr>
              <w:spacing w:after="20" w:before="20"/>
            </w:pPr>
            <w:r>
              <w:rPr>
                <w:b/>
                <w:sz w:val="15"/>
              </w:rPr>
              <w:t>H7</w:t>
            </w:r>
          </w:p>
        </w:tc>
        <w:tc>
          <w:tcPr>
            <w:tcW w:type="dxa" w:w="2835"/>
          </w:tcPr>
          <w:p>
            <w:pPr>
              <w:spacing w:after="20" w:before="20"/>
            </w:pPr>
            <w:r>
              <w:rPr>
                <w:sz w:val="15"/>
              </w:rPr>
              <w:t>That saving is a larger share of income for poorer households</w:t>
            </w:r>
          </w:p>
        </w:tc>
        <w:tc>
          <w:tcPr>
            <w:tcW w:type="dxa" w:w="1361"/>
          </w:tcPr>
          <w:p>
            <w:pPr>
              <w:spacing w:after="20" w:before="20"/>
            </w:pPr>
            <w:r>
              <w:rPr>
                <w:sz w:val="15"/>
              </w:rPr>
              <w:t>Survey</w:t>
            </w:r>
          </w:p>
        </w:tc>
        <w:tc>
          <w:tcPr>
            <w:tcW w:type="dxa" w:w="2608"/>
          </w:tcPr>
          <w:p>
            <w:pPr>
              <w:spacing w:after="20" w:before="20"/>
            </w:pPr>
            <w:r>
              <w:rPr>
                <w:sz w:val="15"/>
              </w:rPr>
              <w:t>Vulnerability interaction, and spend as a share of income by tertile</w:t>
            </w:r>
          </w:p>
        </w:tc>
        <w:tc>
          <w:tcPr>
            <w:tcW w:type="dxa" w:w="2778"/>
          </w:tcPr>
          <w:p>
            <w:pPr>
              <w:spacing w:after="20" w:before="20"/>
            </w:pPr>
            <w:r>
              <w:rPr>
                <w:sz w:val="15"/>
              </w:rPr>
              <w:t>Saving is flat or regressive across income groups</w:t>
            </w:r>
          </w:p>
        </w:tc>
      </w:tr>
      <w:tr>
        <w:tc>
          <w:tcPr>
            <w:tcW w:type="dxa" w:w="510"/>
          </w:tcPr>
          <w:p>
            <w:pPr>
              <w:spacing w:after="20" w:before="20"/>
            </w:pPr>
            <w:r>
              <w:rPr>
                <w:b/>
                <w:sz w:val="15"/>
              </w:rPr>
              <w:t>H8</w:t>
            </w:r>
          </w:p>
        </w:tc>
        <w:tc>
          <w:tcPr>
            <w:tcW w:type="dxa" w:w="2835"/>
          </w:tcPr>
          <w:p>
            <w:pPr>
              <w:spacing w:after="20" w:before="20"/>
            </w:pPr>
            <w:r>
              <w:rPr>
                <w:sz w:val="15"/>
              </w:rPr>
              <w:t>A material share of bus trips would not be made at all without the bus</w:t>
            </w:r>
          </w:p>
        </w:tc>
        <w:tc>
          <w:tcPr>
            <w:tcW w:type="dxa" w:w="1361"/>
          </w:tcPr>
          <w:p>
            <w:pPr>
              <w:spacing w:after="20" w:before="20"/>
            </w:pPr>
            <w:r>
              <w:rPr>
                <w:sz w:val="15"/>
              </w:rPr>
              <w:t>Survey</w:t>
            </w:r>
          </w:p>
        </w:tc>
        <w:tc>
          <w:tcPr>
            <w:tcW w:type="dxa" w:w="2608"/>
          </w:tcPr>
          <w:p>
            <w:pPr>
              <w:spacing w:after="20" w:before="20"/>
            </w:pPr>
            <w:r>
              <w:rPr>
                <w:sz w:val="15"/>
              </w:rPr>
              <w:t>Descriptive, from the stated counterfactual question</w:t>
            </w:r>
          </w:p>
        </w:tc>
        <w:tc>
          <w:tcPr>
            <w:tcW w:type="dxa" w:w="2778"/>
          </w:tcPr>
          <w:p>
            <w:pPr>
              <w:spacing w:after="20" w:before="20"/>
            </w:pPr>
            <w:r>
              <w:rPr>
                <w:sz w:val="15"/>
              </w:rPr>
              <w:t>Nearly all riders report an alternative, meaning the bus substitutes rather than enables</w:t>
            </w:r>
          </w:p>
        </w:tc>
      </w:tr>
      <w:tr>
        <w:tc>
          <w:tcPr>
            <w:tcW w:type="dxa" w:w="510"/>
          </w:tcPr>
          <w:p>
            <w:pPr>
              <w:spacing w:after="20" w:before="20"/>
            </w:pPr>
            <w:r>
              <w:rPr>
                <w:b/>
                <w:sz w:val="15"/>
              </w:rPr>
              <w:t>H9</w:t>
            </w:r>
          </w:p>
        </w:tc>
        <w:tc>
          <w:tcPr>
            <w:tcW w:type="dxa" w:w="2835"/>
          </w:tcPr>
          <w:p>
            <w:pPr>
              <w:spacing w:after="20" w:before="20"/>
            </w:pPr>
            <w:r>
              <w:rPr>
                <w:sz w:val="15"/>
              </w:rPr>
              <w:t>Bus access is associated with higher female employment and trip-making, concentrated in households without a private vehicle</w:t>
            </w:r>
          </w:p>
        </w:tc>
        <w:tc>
          <w:tcPr>
            <w:tcW w:type="dxa" w:w="1361"/>
          </w:tcPr>
          <w:p>
            <w:pPr>
              <w:spacing w:after="20" w:before="20"/>
            </w:pPr>
            <w:r>
              <w:rPr>
                <w:sz w:val="15"/>
              </w:rPr>
              <w:t>Survey</w:t>
            </w:r>
          </w:p>
        </w:tc>
        <w:tc>
          <w:tcPr>
            <w:tcW w:type="dxa" w:w="2608"/>
          </w:tcPr>
          <w:p>
            <w:pPr>
              <w:spacing w:after="20" w:before="20"/>
            </w:pPr>
            <w:r>
              <w:rPr>
                <w:sz w:val="15"/>
              </w:rPr>
              <w:t>Regression on the women-only subsample, interacted with vehicle ownership</w:t>
            </w:r>
          </w:p>
        </w:tc>
        <w:tc>
          <w:tcPr>
            <w:tcW w:type="dxa" w:w="2778"/>
          </w:tcPr>
          <w:p>
            <w:pPr>
              <w:spacing w:after="20" w:before="20"/>
            </w:pPr>
            <w:r>
              <w:rPr>
                <w:sz w:val="15"/>
              </w:rPr>
              <w:t>No association, or an association that disappears once household income is controlled</w:t>
            </w:r>
          </w:p>
        </w:tc>
      </w:tr>
      <w:tr>
        <w:tc>
          <w:tcPr>
            <w:tcW w:type="dxa" w:w="510"/>
          </w:tcPr>
          <w:p>
            <w:pPr>
              <w:spacing w:after="20" w:before="20"/>
            </w:pPr>
            <w:r>
              <w:rPr>
                <w:b/>
                <w:sz w:val="15"/>
              </w:rPr>
              <w:t>H10</w:t>
            </w:r>
          </w:p>
        </w:tc>
        <w:tc>
          <w:tcPr>
            <w:tcW w:type="dxa" w:w="2835"/>
          </w:tcPr>
          <w:p>
            <w:pPr>
              <w:spacing w:after="20" w:before="20"/>
            </w:pPr>
            <w:r>
              <w:rPr>
                <w:sz w:val="15"/>
              </w:rPr>
              <w:t>The current bus subsidy is not captured proportionally by the poorest households</w:t>
            </w:r>
          </w:p>
        </w:tc>
        <w:tc>
          <w:tcPr>
            <w:tcW w:type="dxa" w:w="1361"/>
          </w:tcPr>
          <w:p>
            <w:pPr>
              <w:spacing w:after="20" w:before="20"/>
            </w:pPr>
            <w:r>
              <w:rPr>
                <w:sz w:val="15"/>
              </w:rPr>
              <w:t>Survey + operator data</w:t>
            </w:r>
          </w:p>
        </w:tc>
        <w:tc>
          <w:tcPr>
            <w:tcW w:type="dxa" w:w="2608"/>
          </w:tcPr>
          <w:p>
            <w:pPr>
              <w:spacing w:after="20" w:before="20"/>
            </w:pPr>
            <w:r>
              <w:rPr>
                <w:sz w:val="15"/>
              </w:rPr>
              <w:t>Benefit incidence analysis by income decile</w:t>
            </w:r>
          </w:p>
        </w:tc>
        <w:tc>
          <w:tcPr>
            <w:tcW w:type="dxa" w:w="2778"/>
          </w:tcPr>
          <w:p>
            <w:pPr>
              <w:spacing w:after="20" w:before="20"/>
            </w:pPr>
            <w:r>
              <w:rPr>
                <w:sz w:val="15"/>
              </w:rPr>
              <w:t>Subsidy is proportional or progressive, which would itself be a finding worth reporting</w:t>
            </w:r>
          </w:p>
        </w:tc>
      </w:tr>
      <w:tr>
        <w:tc>
          <w:tcPr>
            <w:tcW w:type="dxa" w:w="10425"/>
            <w:gridSpan w:val="5"/>
            <w:shd w:val="clear" w:color="auto" w:fill="D6E8E8"/>
          </w:tcPr>
          <w:p>
            <w:pPr>
              <w:spacing w:after="20" w:before="20"/>
            </w:pPr>
            <w:r>
              <w:rPr>
                <w:b/>
                <w:color w:val="006D77"/>
                <w:sz w:val="16"/>
              </w:rPr>
              <w:t>SURVEY REQUIRED — M2 health</w:t>
            </w:r>
          </w:p>
        </w:tc>
      </w:tr>
      <w:tr>
        <w:tc>
          <w:tcPr>
            <w:tcW w:type="dxa" w:w="510"/>
          </w:tcPr>
          <w:p>
            <w:pPr>
              <w:spacing w:after="20" w:before="20"/>
            </w:pPr>
            <w:r>
              <w:rPr>
                <w:b/>
                <w:sz w:val="15"/>
              </w:rPr>
              <w:t>H11</w:t>
            </w:r>
          </w:p>
        </w:tc>
        <w:tc>
          <w:tcPr>
            <w:tcW w:type="dxa" w:w="2835"/>
          </w:tcPr>
          <w:p>
            <w:pPr>
              <w:spacing w:after="20" w:before="20"/>
            </w:pPr>
            <w:r>
              <w:rPr>
                <w:sz w:val="15"/>
              </w:rPr>
              <w:t>Bus users accumulate enough additional daily walking to shift health risk measurably</w:t>
            </w:r>
          </w:p>
        </w:tc>
        <w:tc>
          <w:tcPr>
            <w:tcW w:type="dxa" w:w="1361"/>
          </w:tcPr>
          <w:p>
            <w:pPr>
              <w:spacing w:after="20" w:before="20"/>
            </w:pPr>
            <w:r>
              <w:rPr>
                <w:sz w:val="15"/>
              </w:rPr>
              <w:t>Passive + survey</w:t>
            </w:r>
          </w:p>
        </w:tc>
        <w:tc>
          <w:tcPr>
            <w:tcW w:type="dxa" w:w="2608"/>
          </w:tcPr>
          <w:p>
            <w:pPr>
              <w:spacing w:after="20" w:before="20"/>
            </w:pPr>
            <w:r>
              <w:rPr>
                <w:sz w:val="15"/>
              </w:rPr>
              <w:t>WHO HEAT on access and egress walking volumes</w:t>
            </w:r>
          </w:p>
        </w:tc>
        <w:tc>
          <w:tcPr>
            <w:tcW w:type="dxa" w:w="2778"/>
          </w:tcPr>
          <w:p>
            <w:pPr>
              <w:spacing w:after="20" w:before="20"/>
            </w:pPr>
            <w:r>
              <w:rPr>
                <w:sz w:val="15"/>
              </w:rPr>
              <w:t>Walking gain is too small to move the dose-response relationship</w:t>
            </w:r>
          </w:p>
        </w:tc>
      </w:tr>
      <w:tr>
        <w:tc>
          <w:tcPr>
            <w:tcW w:type="dxa" w:w="510"/>
          </w:tcPr>
          <w:p>
            <w:pPr>
              <w:spacing w:after="20" w:before="20"/>
            </w:pPr>
            <w:r>
              <w:rPr>
                <w:b/>
                <w:sz w:val="15"/>
              </w:rPr>
              <w:t>H12</w:t>
            </w:r>
          </w:p>
        </w:tc>
        <w:tc>
          <w:tcPr>
            <w:tcW w:type="dxa" w:w="2835"/>
          </w:tcPr>
          <w:p>
            <w:pPr>
              <w:spacing w:after="20" w:before="20"/>
            </w:pPr>
            <w:r>
              <w:rPr>
                <w:sz w:val="15"/>
              </w:rPr>
              <w:t>Mode shift to bus lowers population pollution exposure, even though it may not lower the individual rider’s exposure</w:t>
            </w:r>
          </w:p>
        </w:tc>
        <w:tc>
          <w:tcPr>
            <w:tcW w:type="dxa" w:w="1361"/>
          </w:tcPr>
          <w:p>
            <w:pPr>
              <w:spacing w:after="20" w:before="20"/>
            </w:pPr>
            <w:r>
              <w:rPr>
                <w:sz w:val="15"/>
              </w:rPr>
              <w:t>Passive + survey + published exposure factors</w:t>
            </w:r>
          </w:p>
        </w:tc>
        <w:tc>
          <w:tcPr>
            <w:tcW w:type="dxa" w:w="2608"/>
          </w:tcPr>
          <w:p>
            <w:pPr>
              <w:spacing w:after="20" w:before="20"/>
            </w:pPr>
            <w:r>
              <w:rPr>
                <w:sz w:val="15"/>
              </w:rPr>
              <w:t>Comparative risk assessment on the concentration change from avoided vehicle-km</w:t>
            </w:r>
          </w:p>
        </w:tc>
        <w:tc>
          <w:tcPr>
            <w:tcW w:type="dxa" w:w="2778"/>
          </w:tcPr>
          <w:p>
            <w:pPr>
              <w:spacing w:after="20" w:before="20"/>
            </w:pPr>
            <w:r>
              <w:rPr>
                <w:sz w:val="15"/>
              </w:rPr>
              <w:t>Avoided vehicle-km are too small to change ambient concentration measurably</w:t>
            </w:r>
          </w:p>
        </w:tc>
      </w:tr>
      <w:tr>
        <w:tc>
          <w:tcPr>
            <w:tcW w:type="dxa" w:w="510"/>
          </w:tcPr>
          <w:p>
            <w:pPr>
              <w:spacing w:after="20" w:before="20"/>
            </w:pPr>
            <w:r>
              <w:rPr>
                <w:b/>
                <w:sz w:val="15"/>
              </w:rPr>
              <w:t>H13</w:t>
            </w:r>
          </w:p>
        </w:tc>
        <w:tc>
          <w:tcPr>
            <w:tcW w:type="dxa" w:w="2835"/>
          </w:tcPr>
          <w:p>
            <w:pPr>
              <w:spacing w:after="20" w:before="20"/>
            </w:pPr>
            <w:r>
              <w:rPr>
                <w:sz w:val="15"/>
              </w:rPr>
              <w:t>Shifting from two-wheelers to buses lowers injury risk per passenger-km, conditional on safe pedestrian access</w:t>
            </w:r>
          </w:p>
        </w:tc>
        <w:tc>
          <w:tcPr>
            <w:tcW w:type="dxa" w:w="1361"/>
          </w:tcPr>
          <w:p>
            <w:pPr>
              <w:spacing w:after="20" w:before="20"/>
            </w:pPr>
            <w:r>
              <w:rPr>
                <w:sz w:val="15"/>
              </w:rPr>
              <w:t>Survey + passive + police records</w:t>
            </w:r>
          </w:p>
        </w:tc>
        <w:tc>
          <w:tcPr>
            <w:tcW w:type="dxa" w:w="2608"/>
          </w:tcPr>
          <w:p>
            <w:pPr>
              <w:spacing w:after="20" w:before="20"/>
            </w:pPr>
            <w:r>
              <w:rPr>
                <w:sz w:val="15"/>
              </w:rPr>
              <w:t>Exposure-adjusted injury model, person-km by mode against crash records</w:t>
            </w:r>
          </w:p>
        </w:tc>
        <w:tc>
          <w:tcPr>
            <w:tcW w:type="dxa" w:w="2778"/>
          </w:tcPr>
          <w:p>
            <w:pPr>
              <w:spacing w:after="20" w:before="20"/>
            </w:pPr>
            <w:r>
              <w:rPr>
                <w:sz w:val="15"/>
              </w:rPr>
              <w:t>Added pedestrian exposure at stops offsets the in-vehicle safety gain</w:t>
            </w:r>
          </w:p>
        </w:tc>
      </w:tr>
    </w:tbl>
    <w:p>
      <w:pPr>
        <w:spacing w:after="40"/>
      </w:pPr>
    </w:p>
    <w:tbl>
      <w:tblPr>
        <w:tblStyle w:val="TableGrid"/>
        <w:tblW w:type="auto" w:w="0"/>
        <w:tblLook w:firstColumn="1" w:firstRow="1" w:lastColumn="0" w:lastRow="0" w:noHBand="0" w:noVBand="1" w:val="04A0"/>
      </w:tblPr>
      <w:tblGrid>
        <w:gridCol w:w="10426"/>
      </w:tblGrid>
      <w:tr>
        <w:tc>
          <w:tcPr>
            <w:tcW w:type="dxa" w:w="10091"/>
            <w:shd w:val="clear" w:color="auto" w:fill="FBEAEA"/>
          </w:tcPr>
          <w:p>
            <w:pPr>
              <w:spacing w:after="40"/>
            </w:pPr>
            <w:r>
              <w:rPr>
                <w:b/>
                <w:color w:val="992222"/>
                <w:sz w:val="19"/>
              </w:rPr>
              <w:t>One hypothesis we are deliberately not making a headline</w:t>
            </w:r>
          </w:p>
          <w:p>
            <w:pPr>
              <w:spacing w:after="20"/>
            </w:pPr>
            <w:r>
              <w:rPr>
                <w:sz w:val="18"/>
              </w:rPr>
              <w:t>That benefits are significantly LARGER for vulnerable groups, as a tested difference. A subgroup-difference test needs roughly four times the sample of a main effect, which puts the detectable interaction near 10 to 13 percentage points at a sample of 6,000. Unless vulnerable households are deliberately over-sampled, H7 and H9 should be reported as stratified estimates with confidence intervals, not as a significance test. Reporting an underpowered null would be read as "buses do not help the poor more", which the data cannot support either way.</w:t>
            </w:r>
          </w:p>
        </w:tc>
      </w:tr>
    </w:tbl>
    <w:p>
      <w:pPr>
        <w:spacing w:after="60"/>
      </w:pPr>
    </w:p>
    <w:p>
      <w:r>
        <w:br w:type="page"/>
      </w:r>
    </w:p>
    <w:p>
      <w:pPr>
        <w:spacing w:before="260" w:after="60"/>
        <w:pBdr>
          <w:bottom w:val="single" w:sz="6" w:space="3" w:color="006D77"/>
        </w:pBdr>
      </w:pPr>
      <w:r>
        <w:rPr>
          <w:b/>
          <w:color w:val="006D77"/>
          <w:sz w:val="25"/>
        </w:rPr>
        <w:t>4. Data strategy: passive first, survey for the remainder</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3061"/>
            <w:shd w:val="clear" w:color="auto" w:fill="E8F2F2"/>
          </w:tcPr>
          <w:p>
            <w:pPr>
              <w:spacing w:after="20" w:before="20"/>
            </w:pPr>
            <w:r>
              <w:rPr>
                <w:b/>
                <w:color w:val="006D77"/>
                <w:sz w:val="15"/>
              </w:rPr>
              <w:t>Question</w:t>
            </w:r>
          </w:p>
        </w:tc>
        <w:tc>
          <w:tcPr>
            <w:tcW w:type="dxa" w:w="2494"/>
            <w:shd w:val="clear" w:color="auto" w:fill="E8F2F2"/>
          </w:tcPr>
          <w:p>
            <w:pPr>
              <w:spacing w:after="20" w:before="20"/>
            </w:pPr>
            <w:r>
              <w:rPr>
                <w:b/>
                <w:color w:val="006D77"/>
                <w:sz w:val="15"/>
              </w:rPr>
              <w:t>Passive GPS</w:t>
            </w:r>
          </w:p>
        </w:tc>
        <w:tc>
          <w:tcPr>
            <w:tcW w:type="dxa" w:w="2041"/>
            <w:shd w:val="clear" w:color="auto" w:fill="E8F2F2"/>
          </w:tcPr>
          <w:p>
            <w:pPr>
              <w:spacing w:after="20" w:before="20"/>
            </w:pPr>
            <w:r>
              <w:rPr>
                <w:b/>
                <w:color w:val="006D77"/>
                <w:sz w:val="15"/>
              </w:rPr>
              <w:t>Survey</w:t>
            </w:r>
          </w:p>
        </w:tc>
        <w:tc>
          <w:tcPr>
            <w:tcW w:type="dxa" w:w="2494"/>
            <w:shd w:val="clear" w:color="auto" w:fill="E8F2F2"/>
          </w:tcPr>
          <w:p>
            <w:pPr>
              <w:spacing w:after="20" w:before="20"/>
            </w:pPr>
            <w:r>
              <w:rPr>
                <w:b/>
                <w:color w:val="006D77"/>
                <w:sz w:val="15"/>
              </w:rPr>
              <w:t>Decision</w:t>
            </w:r>
          </w:p>
        </w:tc>
      </w:tr>
      <w:tr>
        <w:tc>
          <w:tcPr>
            <w:tcW w:type="dxa" w:w="3061"/>
          </w:tcPr>
          <w:p>
            <w:pPr>
              <w:spacing w:after="20" w:before="20"/>
            </w:pPr>
            <w:r>
              <w:rPr>
                <w:b/>
                <w:sz w:val="15"/>
              </w:rPr>
              <w:t>Where trips happen, and where buses do not go</w:t>
            </w:r>
          </w:p>
        </w:tc>
        <w:tc>
          <w:tcPr>
            <w:tcW w:type="dxa" w:w="2494"/>
          </w:tcPr>
          <w:p>
            <w:pPr>
              <w:spacing w:after="20" w:before="20"/>
            </w:pPr>
            <w:r>
              <w:rPr>
                <w:sz w:val="15"/>
              </w:rPr>
              <w:t>Complete</w:t>
            </w:r>
          </w:p>
        </w:tc>
        <w:tc>
          <w:tcPr>
            <w:tcW w:type="dxa" w:w="2041"/>
          </w:tcPr>
          <w:p>
            <w:pPr>
              <w:spacing w:after="20" w:before="20"/>
            </w:pPr>
            <w:r>
              <w:rPr>
                <w:sz w:val="15"/>
              </w:rPr>
              <w:t>Not needed</w:t>
            </w:r>
          </w:p>
        </w:tc>
        <w:tc>
          <w:tcPr>
            <w:tcW w:type="dxa" w:w="2494"/>
          </w:tcPr>
          <w:p>
            <w:pPr>
              <w:spacing w:after="20" w:before="20"/>
            </w:pPr>
            <w:r>
              <w:rPr>
                <w:sz w:val="15"/>
              </w:rPr>
              <w:t>Passive</w:t>
            </w:r>
          </w:p>
        </w:tc>
      </w:tr>
      <w:tr>
        <w:tc>
          <w:tcPr>
            <w:tcW w:type="dxa" w:w="3061"/>
          </w:tcPr>
          <w:p>
            <w:pPr>
              <w:spacing w:after="20" w:before="20"/>
            </w:pPr>
            <w:r>
              <w:rPr>
                <w:b/>
                <w:sz w:val="15"/>
              </w:rPr>
              <w:t>Travel time, delay, congestion</w:t>
            </w:r>
          </w:p>
        </w:tc>
        <w:tc>
          <w:tcPr>
            <w:tcW w:type="dxa" w:w="2494"/>
          </w:tcPr>
          <w:p>
            <w:pPr>
              <w:spacing w:after="20" w:before="20"/>
            </w:pPr>
            <w:r>
              <w:rPr>
                <w:sz w:val="15"/>
              </w:rPr>
              <w:t>Complete</w:t>
            </w:r>
          </w:p>
        </w:tc>
        <w:tc>
          <w:tcPr>
            <w:tcW w:type="dxa" w:w="2041"/>
          </w:tcPr>
          <w:p>
            <w:pPr>
              <w:spacing w:after="20" w:before="20"/>
            </w:pPr>
            <w:r>
              <w:rPr>
                <w:sz w:val="15"/>
              </w:rPr>
              <w:t>Recall is worse than traces</w:t>
            </w:r>
          </w:p>
        </w:tc>
        <w:tc>
          <w:tcPr>
            <w:tcW w:type="dxa" w:w="2494"/>
          </w:tcPr>
          <w:p>
            <w:pPr>
              <w:spacing w:after="20" w:before="20"/>
            </w:pPr>
            <w:r>
              <w:rPr>
                <w:sz w:val="15"/>
              </w:rPr>
              <w:t>Passive</w:t>
            </w:r>
          </w:p>
        </w:tc>
      </w:tr>
      <w:tr>
        <w:tc>
          <w:tcPr>
            <w:tcW w:type="dxa" w:w="3061"/>
          </w:tcPr>
          <w:p>
            <w:pPr>
              <w:spacing w:after="20" w:before="20"/>
            </w:pPr>
            <w:r>
              <w:rPr>
                <w:b/>
                <w:sz w:val="15"/>
              </w:rPr>
              <w:t>Trip length and time-of-day profile</w:t>
            </w:r>
          </w:p>
        </w:tc>
        <w:tc>
          <w:tcPr>
            <w:tcW w:type="dxa" w:w="2494"/>
          </w:tcPr>
          <w:p>
            <w:pPr>
              <w:spacing w:after="20" w:before="20"/>
            </w:pPr>
            <w:r>
              <w:rPr>
                <w:sz w:val="15"/>
              </w:rPr>
              <w:t>Complete</w:t>
            </w:r>
          </w:p>
        </w:tc>
        <w:tc>
          <w:tcPr>
            <w:tcW w:type="dxa" w:w="2041"/>
          </w:tcPr>
          <w:p>
            <w:pPr>
              <w:spacing w:after="20" w:before="20"/>
            </w:pPr>
            <w:r>
              <w:rPr>
                <w:sz w:val="15"/>
              </w:rPr>
              <w:t>Not needed</w:t>
            </w:r>
          </w:p>
        </w:tc>
        <w:tc>
          <w:tcPr>
            <w:tcW w:type="dxa" w:w="2494"/>
          </w:tcPr>
          <w:p>
            <w:pPr>
              <w:spacing w:after="20" w:before="20"/>
            </w:pPr>
            <w:r>
              <w:rPr>
                <w:sz w:val="15"/>
              </w:rPr>
              <w:t>Passive</w:t>
            </w:r>
          </w:p>
        </w:tc>
      </w:tr>
      <w:tr>
        <w:tc>
          <w:tcPr>
            <w:tcW w:type="dxa" w:w="3061"/>
          </w:tcPr>
          <w:p>
            <w:pPr>
              <w:spacing w:after="20" w:before="20"/>
            </w:pPr>
            <w:r>
              <w:rPr>
                <w:b/>
                <w:sz w:val="15"/>
              </w:rPr>
              <w:t>Jobs and services reachable</w:t>
            </w:r>
          </w:p>
        </w:tc>
        <w:tc>
          <w:tcPr>
            <w:tcW w:type="dxa" w:w="2494"/>
          </w:tcPr>
          <w:p>
            <w:pPr>
              <w:spacing w:after="20" w:before="20"/>
            </w:pPr>
            <w:r>
              <w:rPr>
                <w:sz w:val="15"/>
              </w:rPr>
              <w:t>With GTFS and jobs data</w:t>
            </w:r>
          </w:p>
        </w:tc>
        <w:tc>
          <w:tcPr>
            <w:tcW w:type="dxa" w:w="2041"/>
          </w:tcPr>
          <w:p>
            <w:pPr>
              <w:spacing w:after="20" w:before="20"/>
            </w:pPr>
            <w:r>
              <w:rPr>
                <w:sz w:val="15"/>
              </w:rPr>
              <w:t>Not needed</w:t>
            </w:r>
          </w:p>
        </w:tc>
        <w:tc>
          <w:tcPr>
            <w:tcW w:type="dxa" w:w="2494"/>
          </w:tcPr>
          <w:p>
            <w:pPr>
              <w:spacing w:after="20" w:before="20"/>
            </w:pPr>
            <w:r>
              <w:rPr>
                <w:sz w:val="15"/>
              </w:rPr>
              <w:t>Passive</w:t>
            </w:r>
          </w:p>
        </w:tc>
      </w:tr>
      <w:tr>
        <w:tc>
          <w:tcPr>
            <w:tcW w:type="dxa" w:w="3061"/>
          </w:tcPr>
          <w:p>
            <w:pPr>
              <w:spacing w:after="20" w:before="20"/>
            </w:pPr>
            <w:r>
              <w:rPr>
                <w:b/>
                <w:sz w:val="15"/>
              </w:rPr>
              <w:t>Critical corridors in a disaster</w:t>
            </w:r>
          </w:p>
        </w:tc>
        <w:tc>
          <w:tcPr>
            <w:tcW w:type="dxa" w:w="2494"/>
          </w:tcPr>
          <w:p>
            <w:pPr>
              <w:spacing w:after="20" w:before="20"/>
            </w:pPr>
            <w:r>
              <w:rPr>
                <w:sz w:val="15"/>
              </w:rPr>
              <w:t>With hazard maps</w:t>
            </w:r>
          </w:p>
        </w:tc>
        <w:tc>
          <w:tcPr>
            <w:tcW w:type="dxa" w:w="2041"/>
          </w:tcPr>
          <w:p>
            <w:pPr>
              <w:spacing w:after="20" w:before="20"/>
            </w:pPr>
            <w:r>
              <w:rPr>
                <w:sz w:val="15"/>
              </w:rPr>
              <w:t>Not needed</w:t>
            </w:r>
          </w:p>
        </w:tc>
        <w:tc>
          <w:tcPr>
            <w:tcW w:type="dxa" w:w="2494"/>
          </w:tcPr>
          <w:p>
            <w:pPr>
              <w:spacing w:after="20" w:before="20"/>
            </w:pPr>
            <w:r>
              <w:rPr>
                <w:sz w:val="15"/>
              </w:rPr>
              <w:t>Passive</w:t>
            </w:r>
          </w:p>
        </w:tc>
      </w:tr>
      <w:tr>
        <w:tc>
          <w:tcPr>
            <w:tcW w:type="dxa" w:w="3061"/>
          </w:tcPr>
          <w:p>
            <w:pPr>
              <w:spacing w:after="20" w:before="20"/>
            </w:pPr>
            <w:r>
              <w:rPr>
                <w:b/>
                <w:sz w:val="15"/>
              </w:rPr>
              <w:t>Which mode a trip used</w:t>
            </w:r>
          </w:p>
        </w:tc>
        <w:tc>
          <w:tcPr>
            <w:tcW w:type="dxa" w:w="2494"/>
          </w:tcPr>
          <w:p>
            <w:pPr>
              <w:spacing w:after="20" w:before="20"/>
            </w:pPr>
            <w:r>
              <w:rPr>
                <w:sz w:val="15"/>
              </w:rPr>
              <w:t>Only after building a classifier</w:t>
            </w:r>
          </w:p>
        </w:tc>
        <w:tc>
          <w:tcPr>
            <w:tcW w:type="dxa" w:w="2041"/>
          </w:tcPr>
          <w:p>
            <w:pPr>
              <w:spacing w:after="20" w:before="20"/>
            </w:pPr>
            <w:r>
              <w:rPr>
                <w:sz w:val="15"/>
              </w:rPr>
              <w:t>Directly</w:t>
            </w:r>
          </w:p>
        </w:tc>
        <w:tc>
          <w:tcPr>
            <w:tcW w:type="dxa" w:w="2494"/>
          </w:tcPr>
          <w:p>
            <w:pPr>
              <w:spacing w:after="20" w:before="20"/>
            </w:pPr>
            <w:r>
              <w:rPr>
                <w:sz w:val="15"/>
              </w:rPr>
              <w:t>Survey trains, passive scales</w:t>
            </w:r>
          </w:p>
        </w:tc>
      </w:tr>
      <w:tr>
        <w:tc>
          <w:tcPr>
            <w:tcW w:type="dxa" w:w="3061"/>
          </w:tcPr>
          <w:p>
            <w:pPr>
              <w:spacing w:after="20" w:before="20"/>
            </w:pPr>
            <w:r>
              <w:rPr>
                <w:b/>
                <w:sz w:val="15"/>
              </w:rPr>
              <w:t>What people would do without the bus</w:t>
            </w:r>
          </w:p>
        </w:tc>
        <w:tc>
          <w:tcPr>
            <w:tcW w:type="dxa" w:w="2494"/>
          </w:tcPr>
          <w:p>
            <w:pPr>
              <w:spacing w:after="20" w:before="20"/>
            </w:pPr>
            <w:r>
              <w:rPr>
                <w:sz w:val="15"/>
              </w:rPr>
              <w:t>Impossible, the choice was never made</w:t>
            </w:r>
          </w:p>
        </w:tc>
        <w:tc>
          <w:tcPr>
            <w:tcW w:type="dxa" w:w="2041"/>
          </w:tcPr>
          <w:p>
            <w:pPr>
              <w:spacing w:after="20" w:before="20"/>
            </w:pPr>
            <w:r>
              <w:rPr>
                <w:sz w:val="15"/>
              </w:rPr>
              <w:t>Directly</w:t>
            </w:r>
          </w:p>
        </w:tc>
        <w:tc>
          <w:tcPr>
            <w:tcW w:type="dxa" w:w="2494"/>
          </w:tcPr>
          <w:p>
            <w:pPr>
              <w:spacing w:after="20" w:before="20"/>
            </w:pPr>
            <w:r>
              <w:rPr>
                <w:sz w:val="15"/>
              </w:rPr>
              <w:t>Survey</w:t>
            </w:r>
          </w:p>
        </w:tc>
      </w:tr>
      <w:tr>
        <w:tc>
          <w:tcPr>
            <w:tcW w:type="dxa" w:w="3061"/>
          </w:tcPr>
          <w:p>
            <w:pPr>
              <w:spacing w:after="20" w:before="20"/>
            </w:pPr>
            <w:r>
              <w:rPr>
                <w:b/>
                <w:sz w:val="15"/>
              </w:rPr>
              <w:t>Household transport spending</w:t>
            </w:r>
          </w:p>
        </w:tc>
        <w:tc>
          <w:tcPr>
            <w:tcW w:type="dxa" w:w="2494"/>
          </w:tcPr>
          <w:p>
            <w:pPr>
              <w:spacing w:after="20" w:before="20"/>
            </w:pPr>
            <w:r>
              <w:rPr>
                <w:sz w:val="15"/>
              </w:rPr>
              <w:t>Impossible</w:t>
            </w:r>
          </w:p>
        </w:tc>
        <w:tc>
          <w:tcPr>
            <w:tcW w:type="dxa" w:w="2041"/>
          </w:tcPr>
          <w:p>
            <w:pPr>
              <w:spacing w:after="20" w:before="20"/>
            </w:pPr>
            <w:r>
              <w:rPr>
                <w:sz w:val="15"/>
              </w:rPr>
              <w:t>Directly</w:t>
            </w:r>
          </w:p>
        </w:tc>
        <w:tc>
          <w:tcPr>
            <w:tcW w:type="dxa" w:w="2494"/>
          </w:tcPr>
          <w:p>
            <w:pPr>
              <w:spacing w:after="20" w:before="20"/>
            </w:pPr>
            <w:r>
              <w:rPr>
                <w:sz w:val="15"/>
              </w:rPr>
              <w:t>Survey</w:t>
            </w:r>
          </w:p>
        </w:tc>
      </w:tr>
      <w:tr>
        <w:tc>
          <w:tcPr>
            <w:tcW w:type="dxa" w:w="3061"/>
          </w:tcPr>
          <w:p>
            <w:pPr>
              <w:spacing w:after="20" w:before="20"/>
            </w:pPr>
            <w:r>
              <w:rPr>
                <w:b/>
                <w:sz w:val="15"/>
              </w:rPr>
              <w:t>Employment status</w:t>
            </w:r>
          </w:p>
        </w:tc>
        <w:tc>
          <w:tcPr>
            <w:tcW w:type="dxa" w:w="2494"/>
          </w:tcPr>
          <w:p>
            <w:pPr>
              <w:spacing w:after="20" w:before="20"/>
            </w:pPr>
            <w:r>
              <w:rPr>
                <w:sz w:val="15"/>
              </w:rPr>
              <w:t>Impossible</w:t>
            </w:r>
          </w:p>
        </w:tc>
        <w:tc>
          <w:tcPr>
            <w:tcW w:type="dxa" w:w="2041"/>
          </w:tcPr>
          <w:p>
            <w:pPr>
              <w:spacing w:after="20" w:before="20"/>
            </w:pPr>
            <w:r>
              <w:rPr>
                <w:sz w:val="15"/>
              </w:rPr>
              <w:t>Directly</w:t>
            </w:r>
          </w:p>
        </w:tc>
        <w:tc>
          <w:tcPr>
            <w:tcW w:type="dxa" w:w="2494"/>
          </w:tcPr>
          <w:p>
            <w:pPr>
              <w:spacing w:after="20" w:before="20"/>
            </w:pPr>
            <w:r>
              <w:rPr>
                <w:sz w:val="15"/>
              </w:rPr>
              <w:t>Survey</w:t>
            </w:r>
          </w:p>
        </w:tc>
      </w:tr>
      <w:tr>
        <w:tc>
          <w:tcPr>
            <w:tcW w:type="dxa" w:w="3061"/>
          </w:tcPr>
          <w:p>
            <w:pPr>
              <w:spacing w:after="20" w:before="20"/>
            </w:pPr>
            <w:r>
              <w:rPr>
                <w:b/>
                <w:sz w:val="15"/>
              </w:rPr>
              <w:t>Sex, income, disability of traveller</w:t>
            </w:r>
          </w:p>
        </w:tc>
        <w:tc>
          <w:tcPr>
            <w:tcW w:type="dxa" w:w="2494"/>
          </w:tcPr>
          <w:p>
            <w:pPr>
              <w:spacing w:after="20" w:before="20"/>
            </w:pPr>
            <w:r>
              <w:rPr>
                <w:sz w:val="15"/>
              </w:rPr>
              <w:t>Impossible, data is anonymous</w:t>
            </w:r>
          </w:p>
        </w:tc>
        <w:tc>
          <w:tcPr>
            <w:tcW w:type="dxa" w:w="2041"/>
          </w:tcPr>
          <w:p>
            <w:pPr>
              <w:spacing w:after="20" w:before="20"/>
            </w:pPr>
            <w:r>
              <w:rPr>
                <w:sz w:val="15"/>
              </w:rPr>
              <w:t>Directly</w:t>
            </w:r>
          </w:p>
        </w:tc>
        <w:tc>
          <w:tcPr>
            <w:tcW w:type="dxa" w:w="2494"/>
          </w:tcPr>
          <w:p>
            <w:pPr>
              <w:spacing w:after="20" w:before="20"/>
            </w:pPr>
            <w:r>
              <w:rPr>
                <w:sz w:val="15"/>
              </w:rPr>
              <w:t>Survey</w:t>
            </w:r>
          </w:p>
        </w:tc>
      </w:tr>
      <w:tr>
        <w:tc>
          <w:tcPr>
            <w:tcW w:type="dxa" w:w="3061"/>
          </w:tcPr>
          <w:p>
            <w:pPr>
              <w:spacing w:after="20" w:before="20"/>
            </w:pPr>
            <w:r>
              <w:rPr>
                <w:b/>
                <w:sz w:val="15"/>
              </w:rPr>
              <w:t>Trips people did not make</w:t>
            </w:r>
          </w:p>
        </w:tc>
        <w:tc>
          <w:tcPr>
            <w:tcW w:type="dxa" w:w="2494"/>
          </w:tcPr>
          <w:p>
            <w:pPr>
              <w:spacing w:after="20" w:before="20"/>
            </w:pPr>
            <w:r>
              <w:rPr>
                <w:sz w:val="15"/>
              </w:rPr>
              <w:t>Impossible, leaves no trace</w:t>
            </w:r>
          </w:p>
        </w:tc>
        <w:tc>
          <w:tcPr>
            <w:tcW w:type="dxa" w:w="2041"/>
          </w:tcPr>
          <w:p>
            <w:pPr>
              <w:spacing w:after="20" w:before="20"/>
            </w:pPr>
            <w:r>
              <w:rPr>
                <w:sz w:val="15"/>
              </w:rPr>
              <w:t>Directly</w:t>
            </w:r>
          </w:p>
        </w:tc>
        <w:tc>
          <w:tcPr>
            <w:tcW w:type="dxa" w:w="2494"/>
          </w:tcPr>
          <w:p>
            <w:pPr>
              <w:spacing w:after="20" w:before="20"/>
            </w:pPr>
            <w:r>
              <w:rPr>
                <w:sz w:val="15"/>
              </w:rPr>
              <w:t>Survey</w:t>
            </w:r>
          </w:p>
        </w:tc>
      </w:tr>
      <w:tr>
        <w:tc>
          <w:tcPr>
            <w:tcW w:type="dxa" w:w="3061"/>
          </w:tcPr>
          <w:p>
            <w:pPr>
              <w:spacing w:after="20" w:before="20"/>
            </w:pPr>
            <w:r>
              <w:rPr>
                <w:b/>
                <w:sz w:val="15"/>
              </w:rPr>
              <w:t>Stress, safety, satisfaction</w:t>
            </w:r>
          </w:p>
        </w:tc>
        <w:tc>
          <w:tcPr>
            <w:tcW w:type="dxa" w:w="2494"/>
          </w:tcPr>
          <w:p>
            <w:pPr>
              <w:spacing w:after="20" w:before="20"/>
            </w:pPr>
            <w:r>
              <w:rPr>
                <w:sz w:val="15"/>
              </w:rPr>
              <w:t>Impossible</w:t>
            </w:r>
          </w:p>
        </w:tc>
        <w:tc>
          <w:tcPr>
            <w:tcW w:type="dxa" w:w="2041"/>
          </w:tcPr>
          <w:p>
            <w:pPr>
              <w:spacing w:after="20" w:before="20"/>
            </w:pPr>
            <w:r>
              <w:rPr>
                <w:sz w:val="15"/>
              </w:rPr>
              <w:t>Directly</w:t>
            </w:r>
          </w:p>
        </w:tc>
        <w:tc>
          <w:tcPr>
            <w:tcW w:type="dxa" w:w="2494"/>
          </w:tcPr>
          <w:p>
            <w:pPr>
              <w:spacing w:after="20" w:before="20"/>
            </w:pPr>
            <w:r>
              <w:rPr>
                <w:sz w:val="15"/>
              </w:rPr>
              <w:t>Survey</w:t>
            </w:r>
          </w:p>
        </w:tc>
      </w:tr>
    </w:tbl>
    <w:p>
      <w:pPr>
        <w:spacing w:after="40"/>
      </w:pPr>
    </w:p>
    <w:p>
      <w:pPr>
        <w:spacing w:after="80"/>
      </w:pPr>
      <w:r>
        <w:rPr>
          <w:i/>
          <w:color w:val="555555"/>
          <w:sz w:val="19"/>
        </w:rPr>
        <w:t>The rule that follows: the passive data knows everything about the trip and nothing about the person; the survey knows everything about the person and less about the trip than the traces do. So the survey stops asking about trips. The multi-day travel diary, normally the longest and costliest module, is dropped for most respondents.</w:t>
      </w:r>
    </w:p>
    <w:tbl>
      <w:tblPr>
        <w:tblStyle w:val="TableGrid"/>
        <w:tblW w:type="auto" w:w="0"/>
        <w:tblLook w:firstColumn="1" w:firstRow="1" w:lastColumn="0" w:lastRow="0" w:noHBand="0" w:noVBand="1" w:val="04A0"/>
      </w:tblPr>
      <w:tblGrid>
        <w:gridCol w:w="10426"/>
      </w:tblGrid>
      <w:tr>
        <w:tc>
          <w:tcPr>
            <w:tcW w:type="dxa" w:w="10091"/>
            <w:shd w:val="clear" w:color="auto" w:fill="FBEAEA"/>
          </w:tcPr>
          <w:p>
            <w:pPr>
              <w:spacing w:after="40"/>
            </w:pPr>
            <w:r>
              <w:rPr>
                <w:b/>
                <w:color w:val="992222"/>
                <w:sz w:val="19"/>
              </w:rPr>
              <w:t>The blocking dependency</w:t>
            </w:r>
          </w:p>
          <w:p>
            <w:pPr>
              <w:spacing w:after="20"/>
            </w:pPr>
            <w:r>
              <w:rPr>
                <w:sz w:val="18"/>
              </w:rPr>
              <w:t>Travel mode is absent from the passive dataset. H12 and H13, and all of M3, require separating a bus trip from a car trip. Mode must be inferred from the traces using speed, acceleration, stop pattern and route matching against the GTFS network. That needs a labelled training set, which means a subset of survey respondents must consent to GPS matching or complete a one-day diary. Budget for it explicitly. Without it, five hypotheses cannot be tested and the passive data stays descriptive.</w:t>
            </w:r>
          </w:p>
        </w:tc>
      </w:tr>
    </w:tbl>
    <w:p>
      <w:pPr>
        <w:spacing w:after="60"/>
      </w:pPr>
    </w:p>
    <w:p>
      <w:pPr>
        <w:spacing w:before="260" w:after="60"/>
        <w:pBdr>
          <w:bottom w:val="single" w:sz="6" w:space="3" w:color="006D77"/>
        </w:pBdr>
      </w:pPr>
      <w:r>
        <w:rPr>
          <w:b/>
          <w:color w:val="006D77"/>
          <w:sz w:val="25"/>
        </w:rPr>
        <w:t>5. Sample, and what it can support</w:t>
      </w:r>
    </w:p>
    <w:tbl>
      <w:tblPr>
        <w:tblStyle w:val="TableGrid"/>
        <w:tblW w:type="auto" w:w="0"/>
        <w:jc w:val="center"/>
        <w:tblLook w:firstColumn="1" w:firstRow="1" w:lastColumn="0" w:lastRow="0" w:noHBand="0" w:noVBand="1" w:val="04A0"/>
      </w:tblPr>
      <w:tblGrid>
        <w:gridCol w:w="3475"/>
        <w:gridCol w:w="3475"/>
        <w:gridCol w:w="3475"/>
      </w:tblGrid>
      <w:tr>
        <w:tc>
          <w:tcPr>
            <w:tcW w:type="dxa" w:w="1928"/>
            <w:shd w:val="clear" w:color="auto" w:fill="E8F2F2"/>
          </w:tcPr>
          <w:p>
            <w:pPr>
              <w:spacing w:after="20" w:before="20"/>
            </w:pPr>
            <w:r>
              <w:rPr>
                <w:b/>
                <w:color w:val="006D77"/>
                <w:sz w:val="15"/>
              </w:rPr>
              <w:t>Parameter</w:t>
            </w:r>
          </w:p>
        </w:tc>
        <w:tc>
          <w:tcPr>
            <w:tcW w:type="dxa" w:w="3061"/>
            <w:shd w:val="clear" w:color="auto" w:fill="E8F2F2"/>
          </w:tcPr>
          <w:p>
            <w:pPr>
              <w:spacing w:after="20" w:before="20"/>
            </w:pPr>
            <w:r>
              <w:rPr>
                <w:b/>
                <w:color w:val="006D77"/>
                <w:sz w:val="15"/>
              </w:rPr>
              <w:t>Decision</w:t>
            </w:r>
          </w:p>
        </w:tc>
        <w:tc>
          <w:tcPr>
            <w:tcW w:type="dxa" w:w="5102"/>
            <w:shd w:val="clear" w:color="auto" w:fill="E8F2F2"/>
          </w:tcPr>
          <w:p>
            <w:pPr>
              <w:spacing w:after="20" w:before="20"/>
            </w:pPr>
            <w:r>
              <w:rPr>
                <w:b/>
                <w:color w:val="006D77"/>
                <w:sz w:val="15"/>
              </w:rPr>
              <w:t>Reason</w:t>
            </w:r>
          </w:p>
        </w:tc>
      </w:tr>
      <w:tr>
        <w:tc>
          <w:tcPr>
            <w:tcW w:type="dxa" w:w="1928"/>
          </w:tcPr>
          <w:p>
            <w:pPr>
              <w:spacing w:after="20" w:before="20"/>
            </w:pPr>
            <w:r>
              <w:rPr>
                <w:b/>
                <w:sz w:val="15"/>
              </w:rPr>
              <w:t>Total sample</w:t>
            </w:r>
          </w:p>
        </w:tc>
        <w:tc>
          <w:tcPr>
            <w:tcW w:type="dxa" w:w="3061"/>
          </w:tcPr>
          <w:p>
            <w:pPr>
              <w:spacing w:after="20" w:before="20"/>
            </w:pPr>
            <w:r>
              <w:rPr>
                <w:sz w:val="15"/>
              </w:rPr>
              <w:t>6,000 across six cities</w:t>
            </w:r>
          </w:p>
        </w:tc>
        <w:tc>
          <w:tcPr>
            <w:tcW w:type="dxa" w:w="5102"/>
          </w:tcPr>
          <w:p>
            <w:pPr>
              <w:spacing w:after="20" w:before="20"/>
            </w:pPr>
            <w:r>
              <w:rPr>
                <w:sz w:val="15"/>
              </w:rPr>
              <w:t>Fixed</w:t>
            </w:r>
          </w:p>
        </w:tc>
      </w:tr>
      <w:tr>
        <w:tc>
          <w:tcPr>
            <w:tcW w:type="dxa" w:w="1928"/>
          </w:tcPr>
          <w:p>
            <w:pPr>
              <w:spacing w:after="20" w:before="20"/>
            </w:pPr>
            <w:r>
              <w:rPr>
                <w:b/>
                <w:sz w:val="15"/>
              </w:rPr>
              <w:t>Per city</w:t>
            </w:r>
          </w:p>
        </w:tc>
        <w:tc>
          <w:tcPr>
            <w:tcW w:type="dxa" w:w="3061"/>
          </w:tcPr>
          <w:p>
            <w:pPr>
              <w:spacing w:after="20" w:before="20"/>
            </w:pPr>
            <w:r>
              <w:rPr>
                <w:sz w:val="15"/>
              </w:rPr>
              <w:t>About 1,000</w:t>
            </w:r>
          </w:p>
        </w:tc>
        <w:tc>
          <w:tcPr>
            <w:tcW w:type="dxa" w:w="5102"/>
          </w:tcPr>
          <w:p>
            <w:pPr>
              <w:spacing w:after="20" w:before="20"/>
            </w:pPr>
            <w:r>
              <w:rPr>
                <w:sz w:val="15"/>
              </w:rPr>
              <w:t>Fixed</w:t>
            </w:r>
          </w:p>
        </w:tc>
      </w:tr>
      <w:tr>
        <w:tc>
          <w:tcPr>
            <w:tcW w:type="dxa" w:w="1928"/>
          </w:tcPr>
          <w:p>
            <w:pPr>
              <w:spacing w:after="20" w:before="20"/>
            </w:pPr>
            <w:r>
              <w:rPr>
                <w:b/>
                <w:sz w:val="15"/>
              </w:rPr>
              <w:t>Wards per city</w:t>
            </w:r>
          </w:p>
        </w:tc>
        <w:tc>
          <w:tcPr>
            <w:tcW w:type="dxa" w:w="3061"/>
          </w:tcPr>
          <w:p>
            <w:pPr>
              <w:spacing w:after="20" w:before="20"/>
            </w:pPr>
            <w:r>
              <w:rPr>
                <w:sz w:val="15"/>
              </w:rPr>
              <w:t>40 to 50, at 20 to 25 households each</w:t>
            </w:r>
          </w:p>
        </w:tc>
        <w:tc>
          <w:tcPr>
            <w:tcW w:type="dxa" w:w="5102"/>
          </w:tcPr>
          <w:p>
            <w:pPr>
              <w:spacing w:after="20" w:before="20"/>
            </w:pPr>
            <w:r>
              <w:rPr>
                <w:sz w:val="15"/>
              </w:rPr>
              <w:t>Bus access is assigned to wards, not households, so power comes from the number of wards. Spreading across 50 wards instead of 25 cuts the detectable effect by about a third at no extra cost</w:t>
            </w:r>
          </w:p>
        </w:tc>
      </w:tr>
      <w:tr>
        <w:tc>
          <w:tcPr>
            <w:tcW w:type="dxa" w:w="1928"/>
          </w:tcPr>
          <w:p>
            <w:pPr>
              <w:spacing w:after="20" w:before="20"/>
            </w:pPr>
            <w:r>
              <w:rPr>
                <w:b/>
                <w:sz w:val="15"/>
              </w:rPr>
              <w:t>Primary specification</w:t>
            </w:r>
          </w:p>
        </w:tc>
        <w:tc>
          <w:tcPr>
            <w:tcW w:type="dxa" w:w="3061"/>
          </w:tcPr>
          <w:p>
            <w:pPr>
              <w:spacing w:after="20" w:before="20"/>
            </w:pPr>
            <w:r>
              <w:rPr>
                <w:sz w:val="15"/>
              </w:rPr>
              <w:t>Pooled across cities with city fixed effects</w:t>
            </w:r>
          </w:p>
        </w:tc>
        <w:tc>
          <w:tcPr>
            <w:tcW w:type="dxa" w:w="5102"/>
          </w:tcPr>
          <w:p>
            <w:pPr>
              <w:spacing w:after="20" w:before="20"/>
            </w:pPr>
            <w:r>
              <w:rPr>
                <w:sz w:val="15"/>
              </w:rPr>
              <w:t>A single city detects only about 11 percentage points on employment, which is not a plausible effect size</w:t>
            </w:r>
          </w:p>
        </w:tc>
      </w:tr>
      <w:tr>
        <w:tc>
          <w:tcPr>
            <w:tcW w:type="dxa" w:w="1928"/>
          </w:tcPr>
          <w:p>
            <w:pPr>
              <w:spacing w:after="20" w:before="20"/>
            </w:pPr>
            <w:r>
              <w:rPr>
                <w:b/>
                <w:sz w:val="15"/>
              </w:rPr>
              <w:t>Stratification</w:t>
            </w:r>
          </w:p>
        </w:tc>
        <w:tc>
          <w:tcPr>
            <w:tcW w:type="dxa" w:w="3061"/>
          </w:tcPr>
          <w:p>
            <w:pPr>
              <w:spacing w:after="20" w:before="20"/>
            </w:pPr>
            <w:r>
              <w:rPr>
                <w:sz w:val="15"/>
              </w:rPr>
              <w:t>Over-sample low income, no vehicle, disabled and elderly</w:t>
            </w:r>
          </w:p>
        </w:tc>
        <w:tc>
          <w:tcPr>
            <w:tcW w:type="dxa" w:w="5102"/>
          </w:tcPr>
          <w:p>
            <w:pPr>
              <w:spacing w:after="20" w:before="20"/>
            </w:pPr>
            <w:r>
              <w:rPr>
                <w:sz w:val="15"/>
              </w:rPr>
              <w:t>The only way to rescue the equity interaction in H7 and H9</w:t>
            </w:r>
          </w:p>
        </w:tc>
      </w:tr>
      <w:tr>
        <w:tc>
          <w:tcPr>
            <w:tcW w:type="dxa" w:w="1928"/>
          </w:tcPr>
          <w:p>
            <w:pPr>
              <w:spacing w:after="20" w:before="20"/>
            </w:pPr>
            <w:r>
              <w:rPr>
                <w:b/>
                <w:sz w:val="15"/>
              </w:rPr>
              <w:t>Group B panel</w:t>
            </w:r>
          </w:p>
        </w:tc>
        <w:tc>
          <w:tcPr>
            <w:tcW w:type="dxa" w:w="3061"/>
          </w:tcPr>
          <w:p>
            <w:pPr>
              <w:spacing w:after="20" w:before="20"/>
            </w:pPr>
            <w:r>
              <w:rPr>
                <w:sz w:val="15"/>
              </w:rPr>
              <w:t>450 users and 450 non-users tracked per city</w:t>
            </w:r>
          </w:p>
        </w:tc>
        <w:tc>
          <w:tcPr>
            <w:tcW w:type="dxa" w:w="5102"/>
          </w:tcPr>
          <w:p>
            <w:pPr>
              <w:spacing w:after="20" w:before="20"/>
            </w:pPr>
            <w:r>
              <w:rPr>
                <w:sz w:val="15"/>
              </w:rPr>
              <w:t>Attrition of 20 to 30 per cent means wave one must recruit above this. Resolve before fielding</w:t>
            </w:r>
          </w:p>
        </w:tc>
      </w:tr>
      <w:tr>
        <w:tc>
          <w:tcPr>
            <w:tcW w:type="dxa" w:w="1928"/>
          </w:tcPr>
          <w:p>
            <w:pPr>
              <w:spacing w:after="20" w:before="20"/>
            </w:pPr>
            <w:r>
              <w:rPr>
                <w:b/>
                <w:sz w:val="15"/>
              </w:rPr>
              <w:t>Detectable effect, pooled</w:t>
            </w:r>
          </w:p>
        </w:tc>
        <w:tc>
          <w:tcPr>
            <w:tcW w:type="dxa" w:w="3061"/>
          </w:tcPr>
          <w:p>
            <w:pPr>
              <w:spacing w:after="20" w:before="20"/>
            </w:pPr>
            <w:r>
              <w:rPr>
                <w:sz w:val="15"/>
              </w:rPr>
              <w:t>About 5 percentage points on employment; about Rs 140 to 180 per month on spending</w:t>
            </w:r>
          </w:p>
        </w:tc>
        <w:tc>
          <w:tcPr>
            <w:tcW w:type="dxa" w:w="5102"/>
          </w:tcPr>
          <w:p>
            <w:pPr>
              <w:spacing w:after="20" w:before="20"/>
            </w:pPr>
            <w:r>
              <w:rPr>
                <w:sz w:val="15"/>
              </w:rPr>
              <w:t>At ICC 0.05 with controls</w:t>
            </w:r>
          </w:p>
        </w:tc>
      </w:tr>
    </w:tbl>
    <w:p>
      <w:pPr>
        <w:spacing w:after="40"/>
      </w:pPr>
    </w:p>
    <w:p>
      <w:pPr>
        <w:spacing w:before="260" w:after="60"/>
        <w:pBdr>
          <w:bottom w:val="single" w:sz="6" w:space="3" w:color="006D77"/>
        </w:pBdr>
      </w:pPr>
      <w:r>
        <w:rPr>
          <w:b/>
          <w:color w:val="006D77"/>
          <w:sz w:val="25"/>
        </w:rPr>
        <w:t>6. Analysis plan</w:t>
      </w:r>
    </w:p>
    <w:tbl>
      <w:tblPr>
        <w:tblStyle w:val="TableGrid"/>
        <w:tblW w:type="auto" w:w="0"/>
        <w:jc w:val="center"/>
        <w:tblLook w:firstColumn="1" w:firstRow="1" w:lastColumn="0" w:lastRow="0" w:noHBand="0" w:noVBand="1" w:val="04A0"/>
      </w:tblPr>
      <w:tblGrid>
        <w:gridCol w:w="3475"/>
        <w:gridCol w:w="3475"/>
        <w:gridCol w:w="3475"/>
      </w:tblGrid>
      <w:tr>
        <w:tc>
          <w:tcPr>
            <w:tcW w:type="dxa" w:w="1474"/>
            <w:shd w:val="clear" w:color="auto" w:fill="E8F2F2"/>
          </w:tcPr>
          <w:p>
            <w:pPr>
              <w:spacing w:after="20" w:before="20"/>
            </w:pPr>
            <w:r>
              <w:rPr>
                <w:b/>
                <w:color w:val="006D77"/>
                <w:sz w:val="15"/>
              </w:rPr>
              <w:t>Hypotheses</w:t>
            </w:r>
          </w:p>
        </w:tc>
        <w:tc>
          <w:tcPr>
            <w:tcW w:type="dxa" w:w="4876"/>
            <w:shd w:val="clear" w:color="auto" w:fill="E8F2F2"/>
          </w:tcPr>
          <w:p>
            <w:pPr>
              <w:spacing w:after="20" w:before="20"/>
            </w:pPr>
            <w:r>
              <w:rPr>
                <w:b/>
                <w:color w:val="006D77"/>
                <w:sz w:val="15"/>
              </w:rPr>
              <w:t>Method</w:t>
            </w:r>
          </w:p>
        </w:tc>
        <w:tc>
          <w:tcPr>
            <w:tcW w:type="dxa" w:w="3742"/>
            <w:shd w:val="clear" w:color="auto" w:fill="E8F2F2"/>
          </w:tcPr>
          <w:p>
            <w:pPr>
              <w:spacing w:after="20" w:before="20"/>
            </w:pPr>
            <w:r>
              <w:rPr>
                <w:b/>
                <w:color w:val="006D77"/>
                <w:sz w:val="15"/>
              </w:rPr>
              <w:t>Output unit</w:t>
            </w:r>
          </w:p>
        </w:tc>
      </w:tr>
      <w:tr>
        <w:tc>
          <w:tcPr>
            <w:tcW w:type="dxa" w:w="1474"/>
          </w:tcPr>
          <w:p>
            <w:pPr>
              <w:spacing w:after="20" w:before="20"/>
            </w:pPr>
            <w:r>
              <w:rPr>
                <w:b/>
                <w:sz w:val="15"/>
              </w:rPr>
              <w:t>H1, H5</w:t>
            </w:r>
          </w:p>
        </w:tc>
        <w:tc>
          <w:tcPr>
            <w:tcW w:type="dxa" w:w="4876"/>
          </w:tcPr>
          <w:p>
            <w:pPr>
              <w:spacing w:after="20" w:before="20"/>
            </w:pPr>
            <w:r>
              <w:rPr>
                <w:sz w:val="15"/>
              </w:rPr>
              <w:t>Origin-destination overlay on stop buffers and hazard layers</w:t>
            </w:r>
          </w:p>
        </w:tc>
        <w:tc>
          <w:tcPr>
            <w:tcW w:type="dxa" w:w="3742"/>
          </w:tcPr>
          <w:p>
            <w:pPr>
              <w:spacing w:after="20" w:before="20"/>
            </w:pPr>
            <w:r>
              <w:rPr>
                <w:sz w:val="15"/>
              </w:rPr>
              <w:t>Share of trips, ranked corridor list</w:t>
            </w:r>
          </w:p>
        </w:tc>
      </w:tr>
      <w:tr>
        <w:tc>
          <w:tcPr>
            <w:tcW w:type="dxa" w:w="1474"/>
          </w:tcPr>
          <w:p>
            <w:pPr>
              <w:spacing w:after="20" w:before="20"/>
            </w:pPr>
            <w:r>
              <w:rPr>
                <w:b/>
                <w:sz w:val="15"/>
              </w:rPr>
              <w:t>H2</w:t>
            </w:r>
          </w:p>
        </w:tc>
        <w:tc>
          <w:tcPr>
            <w:tcW w:type="dxa" w:w="4876"/>
          </w:tcPr>
          <w:p>
            <w:pPr>
              <w:spacing w:after="20" w:before="20"/>
            </w:pPr>
            <w:r>
              <w:rPr>
                <w:sz w:val="15"/>
              </w:rPr>
              <w:t>Marginal external congestion cost from a fitted speed-flow relationship</w:t>
            </w:r>
          </w:p>
        </w:tc>
        <w:tc>
          <w:tcPr>
            <w:tcW w:type="dxa" w:w="3742"/>
          </w:tcPr>
          <w:p>
            <w:pPr>
              <w:spacing w:after="20" w:before="20"/>
            </w:pPr>
            <w:r>
              <w:rPr>
                <w:sz w:val="15"/>
              </w:rPr>
              <w:t>Person-hours, then Rs crore per year</w:t>
            </w:r>
          </w:p>
        </w:tc>
      </w:tr>
      <w:tr>
        <w:tc>
          <w:tcPr>
            <w:tcW w:type="dxa" w:w="1474"/>
          </w:tcPr>
          <w:p>
            <w:pPr>
              <w:spacing w:after="20" w:before="20"/>
            </w:pPr>
            <w:r>
              <w:rPr>
                <w:b/>
                <w:sz w:val="15"/>
              </w:rPr>
              <w:t>H3</w:t>
            </w:r>
          </w:p>
        </w:tc>
        <w:tc>
          <w:tcPr>
            <w:tcW w:type="dxa" w:w="4876"/>
          </w:tcPr>
          <w:p>
            <w:pPr>
              <w:spacing w:after="20" w:before="20"/>
            </w:pPr>
            <w:r>
              <w:rPr>
                <w:sz w:val="15"/>
              </w:rPr>
              <w:t>Cumulative opportunity accessibility with distance decay</w:t>
            </w:r>
          </w:p>
        </w:tc>
        <w:tc>
          <w:tcPr>
            <w:tcW w:type="dxa" w:w="3742"/>
          </w:tcPr>
          <w:p>
            <w:pPr>
              <w:spacing w:after="20" w:before="20"/>
            </w:pPr>
            <w:r>
              <w:rPr>
                <w:sz w:val="15"/>
              </w:rPr>
              <w:t>Per cent of jobs, and persons gaining access</w:t>
            </w:r>
          </w:p>
        </w:tc>
      </w:tr>
      <w:tr>
        <w:tc>
          <w:tcPr>
            <w:tcW w:type="dxa" w:w="1474"/>
          </w:tcPr>
          <w:p>
            <w:pPr>
              <w:spacing w:after="20" w:before="20"/>
            </w:pPr>
            <w:r>
              <w:rPr>
                <w:b/>
                <w:sz w:val="15"/>
              </w:rPr>
              <w:t>H4</w:t>
            </w:r>
          </w:p>
        </w:tc>
        <w:tc>
          <w:tcPr>
            <w:tcW w:type="dxa" w:w="4876"/>
          </w:tcPr>
          <w:p>
            <w:pPr>
              <w:spacing w:after="20" w:before="20"/>
            </w:pPr>
            <w:r>
              <w:rPr>
                <w:sz w:val="15"/>
              </w:rPr>
              <w:t>Cumulative trip length distribution</w:t>
            </w:r>
          </w:p>
        </w:tc>
        <w:tc>
          <w:tcPr>
            <w:tcW w:type="dxa" w:w="3742"/>
          </w:tcPr>
          <w:p>
            <w:pPr>
              <w:spacing w:after="20" w:before="20"/>
            </w:pPr>
            <w:r>
              <w:rPr>
                <w:sz w:val="15"/>
              </w:rPr>
              <w:t>Per cent of trips within range</w:t>
            </w:r>
          </w:p>
        </w:tc>
      </w:tr>
      <w:tr>
        <w:tc>
          <w:tcPr>
            <w:tcW w:type="dxa" w:w="1474"/>
          </w:tcPr>
          <w:p>
            <w:pPr>
              <w:spacing w:after="20" w:before="20"/>
            </w:pPr>
            <w:r>
              <w:rPr>
                <w:b/>
                <w:sz w:val="15"/>
              </w:rPr>
              <w:t>H6, H7</w:t>
            </w:r>
          </w:p>
        </w:tc>
        <w:tc>
          <w:tcPr>
            <w:tcW w:type="dxa" w:w="4876"/>
          </w:tcPr>
          <w:p>
            <w:pPr>
              <w:spacing w:after="20" w:before="20"/>
            </w:pPr>
            <w:r>
              <w:rPr>
                <w:sz w:val="15"/>
              </w:rPr>
              <w:t>Difference-in-differences with household fixed effects (Group B); log-linear cross-section with rich controls (Group A); ward-clustered standard errors</w:t>
            </w:r>
          </w:p>
        </w:tc>
        <w:tc>
          <w:tcPr>
            <w:tcW w:type="dxa" w:w="3742"/>
          </w:tcPr>
          <w:p>
            <w:pPr>
              <w:spacing w:after="20" w:before="20"/>
            </w:pPr>
            <w:r>
              <w:rPr>
                <w:sz w:val="15"/>
              </w:rPr>
              <w:t>Rs per household per year, Rs crore per year, per cent of income</w:t>
            </w:r>
          </w:p>
        </w:tc>
      </w:tr>
      <w:tr>
        <w:tc>
          <w:tcPr>
            <w:tcW w:type="dxa" w:w="1474"/>
          </w:tcPr>
          <w:p>
            <w:pPr>
              <w:spacing w:after="20" w:before="20"/>
            </w:pPr>
            <w:r>
              <w:rPr>
                <w:b/>
                <w:sz w:val="15"/>
              </w:rPr>
              <w:t>H8</w:t>
            </w:r>
          </w:p>
        </w:tc>
        <w:tc>
          <w:tcPr>
            <w:tcW w:type="dxa" w:w="4876"/>
          </w:tcPr>
          <w:p>
            <w:pPr>
              <w:spacing w:after="20" w:before="20"/>
            </w:pPr>
            <w:r>
              <w:rPr>
                <w:sz w:val="15"/>
              </w:rPr>
              <w:t>Descriptive on the stated counterfactual</w:t>
            </w:r>
          </w:p>
        </w:tc>
        <w:tc>
          <w:tcPr>
            <w:tcW w:type="dxa" w:w="3742"/>
          </w:tcPr>
          <w:p>
            <w:pPr>
              <w:spacing w:after="20" w:before="20"/>
            </w:pPr>
            <w:r>
              <w:rPr>
                <w:sz w:val="15"/>
              </w:rPr>
              <w:t>Per cent of trips suppressed</w:t>
            </w:r>
          </w:p>
        </w:tc>
      </w:tr>
      <w:tr>
        <w:tc>
          <w:tcPr>
            <w:tcW w:type="dxa" w:w="1474"/>
          </w:tcPr>
          <w:p>
            <w:pPr>
              <w:spacing w:after="20" w:before="20"/>
            </w:pPr>
            <w:r>
              <w:rPr>
                <w:b/>
                <w:sz w:val="15"/>
              </w:rPr>
              <w:t>H9</w:t>
            </w:r>
          </w:p>
        </w:tc>
        <w:tc>
          <w:tcPr>
            <w:tcW w:type="dxa" w:w="4876"/>
          </w:tcPr>
          <w:p>
            <w:pPr>
              <w:spacing w:after="20" w:before="20"/>
            </w:pPr>
            <w:r>
              <w:rPr>
                <w:sz w:val="15"/>
              </w:rPr>
              <w:t>Linear probability or logit on the women-only subsample; count model for trip frequency</w:t>
            </w:r>
          </w:p>
        </w:tc>
        <w:tc>
          <w:tcPr>
            <w:tcW w:type="dxa" w:w="3742"/>
          </w:tcPr>
          <w:p>
            <w:pPr>
              <w:spacing w:after="20" w:before="20"/>
            </w:pPr>
            <w:r>
              <w:rPr>
                <w:sz w:val="15"/>
              </w:rPr>
              <w:t>Percentage points; trips per day</w:t>
            </w:r>
          </w:p>
        </w:tc>
      </w:tr>
      <w:tr>
        <w:tc>
          <w:tcPr>
            <w:tcW w:type="dxa" w:w="1474"/>
          </w:tcPr>
          <w:p>
            <w:pPr>
              <w:spacing w:after="20" w:before="20"/>
            </w:pPr>
            <w:r>
              <w:rPr>
                <w:b/>
                <w:sz w:val="15"/>
              </w:rPr>
              <w:t>H10</w:t>
            </w:r>
          </w:p>
        </w:tc>
        <w:tc>
          <w:tcPr>
            <w:tcW w:type="dxa" w:w="4876"/>
          </w:tcPr>
          <w:p>
            <w:pPr>
              <w:spacing w:after="20" w:before="20"/>
            </w:pPr>
            <w:r>
              <w:rPr>
                <w:sz w:val="15"/>
              </w:rPr>
              <w:t>Benefit incidence analysis by income decile</w:t>
            </w:r>
          </w:p>
        </w:tc>
        <w:tc>
          <w:tcPr>
            <w:tcW w:type="dxa" w:w="3742"/>
          </w:tcPr>
          <w:p>
            <w:pPr>
              <w:spacing w:after="20" w:before="20"/>
            </w:pPr>
            <w:r>
              <w:rPr>
                <w:sz w:val="15"/>
              </w:rPr>
              <w:t>Per cent of subsidy by decile</w:t>
            </w:r>
          </w:p>
        </w:tc>
      </w:tr>
      <w:tr>
        <w:tc>
          <w:tcPr>
            <w:tcW w:type="dxa" w:w="1474"/>
          </w:tcPr>
          <w:p>
            <w:pPr>
              <w:spacing w:after="20" w:before="20"/>
            </w:pPr>
            <w:r>
              <w:rPr>
                <w:b/>
                <w:sz w:val="15"/>
              </w:rPr>
              <w:t>H11</w:t>
            </w:r>
          </w:p>
        </w:tc>
        <w:tc>
          <w:tcPr>
            <w:tcW w:type="dxa" w:w="4876"/>
          </w:tcPr>
          <w:p>
            <w:pPr>
              <w:spacing w:after="20" w:before="20"/>
            </w:pPr>
            <w:r>
              <w:rPr>
                <w:sz w:val="15"/>
              </w:rPr>
              <w:t>WHO HEAT dose-response, monetised at value of statistical life</w:t>
            </w:r>
          </w:p>
        </w:tc>
        <w:tc>
          <w:tcPr>
            <w:tcW w:type="dxa" w:w="3742"/>
          </w:tcPr>
          <w:p>
            <w:pPr>
              <w:spacing w:after="20" w:before="20"/>
            </w:pPr>
            <w:r>
              <w:rPr>
                <w:sz w:val="15"/>
              </w:rPr>
              <w:t>Deaths averted, Rs crore per year</w:t>
            </w:r>
          </w:p>
        </w:tc>
      </w:tr>
      <w:tr>
        <w:tc>
          <w:tcPr>
            <w:tcW w:type="dxa" w:w="1474"/>
          </w:tcPr>
          <w:p>
            <w:pPr>
              <w:spacing w:after="20" w:before="20"/>
            </w:pPr>
            <w:r>
              <w:rPr>
                <w:b/>
                <w:sz w:val="15"/>
              </w:rPr>
              <w:t>H12, H13</w:t>
            </w:r>
          </w:p>
        </w:tc>
        <w:tc>
          <w:tcPr>
            <w:tcW w:type="dxa" w:w="4876"/>
          </w:tcPr>
          <w:p>
            <w:pPr>
              <w:spacing w:after="20" w:before="20"/>
            </w:pPr>
            <w:r>
              <w:rPr>
                <w:sz w:val="15"/>
              </w:rPr>
              <w:t>Comparative risk assessment across pathways, with Monte Carlo uncertainty</w:t>
            </w:r>
          </w:p>
        </w:tc>
        <w:tc>
          <w:tcPr>
            <w:tcW w:type="dxa" w:w="3742"/>
          </w:tcPr>
          <w:p>
            <w:pPr>
              <w:spacing w:after="20" w:before="20"/>
            </w:pPr>
            <w:r>
              <w:rPr>
                <w:sz w:val="15"/>
              </w:rPr>
              <w:t>DALYs averted with intervals</w:t>
            </w:r>
          </w:p>
        </w:tc>
      </w:tr>
      <w:tr>
        <w:tc>
          <w:tcPr>
            <w:tcW w:type="dxa" w:w="1474"/>
          </w:tcPr>
          <w:p>
            <w:pPr>
              <w:spacing w:after="20" w:before="20"/>
            </w:pPr>
            <w:r>
              <w:rPr>
                <w:b/>
                <w:sz w:val="15"/>
              </w:rPr>
              <w:t>All monetised</w:t>
            </w:r>
          </w:p>
        </w:tc>
        <w:tc>
          <w:tcPr>
            <w:tcW w:type="dxa" w:w="4876"/>
          </w:tcPr>
          <w:p>
            <w:pPr>
              <w:spacing w:after="20" w:before="20"/>
            </w:pPr>
            <w:r>
              <w:rPr>
                <w:sz w:val="15"/>
              </w:rPr>
              <w:t>Cost-benefit analysis with switching values, plus three social return lenses</w:t>
            </w:r>
          </w:p>
        </w:tc>
        <w:tc>
          <w:tcPr>
            <w:tcW w:type="dxa" w:w="3742"/>
          </w:tcPr>
          <w:p>
            <w:pPr>
              <w:spacing w:after="20" w:before="20"/>
            </w:pPr>
            <w:r>
              <w:rPr>
                <w:sz w:val="15"/>
              </w:rPr>
              <w:t>Benefit-cost ratio, net present value, social return ratio</w:t>
            </w:r>
          </w:p>
        </w:tc>
      </w:tr>
    </w:tbl>
    <w:p>
      <w:pPr>
        <w:spacing w:after="40"/>
      </w:pPr>
    </w:p>
    <w:p>
      <w:pPr>
        <w:spacing w:after="80"/>
      </w:pPr>
      <w:r>
        <w:rPr>
          <w:i/>
          <w:color w:val="555555"/>
          <w:sz w:val="19"/>
        </w:rPr>
        <w:t>Report the counterfactual mode from the survey against the observed mode split from the classified traces. Where they disagree, the survey is probably flattering the bus. That comparison is a validity check, and it belongs in the paper rather than in a footnote.</w:t>
      </w:r>
    </w:p>
    <w:p>
      <w:r>
        <w:br w:type="page"/>
      </w:r>
    </w:p>
    <w:p>
      <w:pPr>
        <w:spacing w:before="260" w:after="60"/>
        <w:pBdr>
          <w:bottom w:val="single" w:sz="6" w:space="3" w:color="006D77"/>
        </w:pBdr>
      </w:pPr>
      <w:r>
        <w:rPr>
          <w:b/>
          <w:color w:val="006D77"/>
          <w:sz w:val="25"/>
        </w:rPr>
        <w:t>7. From finding to policy recommendation</w:t>
      </w:r>
    </w:p>
    <w:p>
      <w:pPr>
        <w:spacing w:after="80"/>
      </w:pPr>
      <w:r>
        <w:rPr>
          <w:i w:val="0"/>
          <w:color w:val="1A1A1A"/>
          <w:sz w:val="19"/>
        </w:rPr>
        <w:t>This is the column the framework exists for. Each confirmed hypothesis produces a specific recommendation, directed at a specific institution, attached to a specific instrument.</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907"/>
            <w:shd w:val="clear" w:color="auto" w:fill="E8F2F2"/>
          </w:tcPr>
          <w:p>
            <w:pPr>
              <w:spacing w:after="20" w:before="20"/>
            </w:pPr>
            <w:r>
              <w:rPr>
                <w:b/>
                <w:color w:val="006D77"/>
                <w:sz w:val="15"/>
              </w:rPr>
              <w:t>From</w:t>
            </w:r>
          </w:p>
        </w:tc>
        <w:tc>
          <w:tcPr>
            <w:tcW w:type="dxa" w:w="4535"/>
            <w:shd w:val="clear" w:color="auto" w:fill="E8F2F2"/>
          </w:tcPr>
          <w:p>
            <w:pPr>
              <w:spacing w:after="20" w:before="20"/>
            </w:pPr>
            <w:r>
              <w:rPr>
                <w:b/>
                <w:color w:val="006D77"/>
                <w:sz w:val="15"/>
              </w:rPr>
              <w:t>Recommendation</w:t>
            </w:r>
          </w:p>
        </w:tc>
        <w:tc>
          <w:tcPr>
            <w:tcW w:type="dxa" w:w="2494"/>
            <w:shd w:val="clear" w:color="auto" w:fill="E8F2F2"/>
          </w:tcPr>
          <w:p>
            <w:pPr>
              <w:spacing w:after="20" w:before="20"/>
            </w:pPr>
            <w:r>
              <w:rPr>
                <w:b/>
                <w:color w:val="006D77"/>
                <w:sz w:val="15"/>
              </w:rPr>
              <w:t>Who acts</w:t>
            </w:r>
          </w:p>
        </w:tc>
        <w:tc>
          <w:tcPr>
            <w:tcW w:type="dxa" w:w="2154"/>
            <w:shd w:val="clear" w:color="auto" w:fill="E8F2F2"/>
          </w:tcPr>
          <w:p>
            <w:pPr>
              <w:spacing w:after="20" w:before="20"/>
            </w:pPr>
            <w:r>
              <w:rPr>
                <w:b/>
                <w:color w:val="006D77"/>
                <w:sz w:val="15"/>
              </w:rPr>
              <w:t>Instrument</w:t>
            </w:r>
          </w:p>
        </w:tc>
      </w:tr>
      <w:tr>
        <w:tc>
          <w:tcPr>
            <w:tcW w:type="dxa" w:w="907"/>
          </w:tcPr>
          <w:p>
            <w:pPr>
              <w:spacing w:after="20" w:before="20"/>
            </w:pPr>
            <w:r>
              <w:rPr>
                <w:b/>
                <w:sz w:val="15"/>
              </w:rPr>
              <w:t>H1</w:t>
            </w:r>
          </w:p>
        </w:tc>
        <w:tc>
          <w:tcPr>
            <w:tcW w:type="dxa" w:w="4535"/>
          </w:tcPr>
          <w:p>
            <w:pPr>
              <w:spacing w:after="20" w:before="20"/>
            </w:pPr>
            <w:r>
              <w:rPr>
                <w:sz w:val="15"/>
              </w:rPr>
              <w:t>Allocate bus corridors by measured unserved demand rather than by city population or political weight. Publish the corridor ranking</w:t>
            </w:r>
          </w:p>
        </w:tc>
        <w:tc>
          <w:tcPr>
            <w:tcW w:type="dxa" w:w="2494"/>
          </w:tcPr>
          <w:p>
            <w:pPr>
              <w:spacing w:after="20" w:before="20"/>
            </w:pPr>
            <w:r>
              <w:rPr>
                <w:sz w:val="15"/>
              </w:rPr>
              <w:t>MoHUA, state transport departments</w:t>
            </w:r>
          </w:p>
        </w:tc>
        <w:tc>
          <w:tcPr>
            <w:tcW w:type="dxa" w:w="2154"/>
          </w:tcPr>
          <w:p>
            <w:pPr>
              <w:spacing w:after="20" w:before="20"/>
            </w:pPr>
            <w:r>
              <w:rPr>
                <w:sz w:val="15"/>
              </w:rPr>
              <w:t>PM e-Bus Sewa phase two allocation criteria</w:t>
            </w:r>
          </w:p>
        </w:tc>
      </w:tr>
      <w:tr>
        <w:tc>
          <w:tcPr>
            <w:tcW w:type="dxa" w:w="907"/>
          </w:tcPr>
          <w:p>
            <w:pPr>
              <w:spacing w:after="20" w:before="20"/>
            </w:pPr>
            <w:r>
              <w:rPr>
                <w:b/>
                <w:sz w:val="15"/>
              </w:rPr>
              <w:t>H2</w:t>
            </w:r>
          </w:p>
        </w:tc>
        <w:tc>
          <w:tcPr>
            <w:tcW w:type="dxa" w:w="4535"/>
          </w:tcPr>
          <w:p>
            <w:pPr>
              <w:spacing w:after="20" w:before="20"/>
            </w:pPr>
            <w:r>
              <w:rPr>
                <w:sz w:val="15"/>
              </w:rPr>
              <w:t>Fund bus priority lanes on the corridors where measured delay is highest, and treat avoided congestion cost as a justification for operating support</w:t>
            </w:r>
          </w:p>
        </w:tc>
        <w:tc>
          <w:tcPr>
            <w:tcW w:type="dxa" w:w="2494"/>
          </w:tcPr>
          <w:p>
            <w:pPr>
              <w:spacing w:after="20" w:before="20"/>
            </w:pPr>
            <w:r>
              <w:rPr>
                <w:sz w:val="15"/>
              </w:rPr>
              <w:t>Municipal corporations, state transport undertakings</w:t>
            </w:r>
          </w:p>
        </w:tc>
        <w:tc>
          <w:tcPr>
            <w:tcW w:type="dxa" w:w="2154"/>
          </w:tcPr>
          <w:p>
            <w:pPr>
              <w:spacing w:after="20" w:before="20"/>
            </w:pPr>
            <w:r>
              <w:rPr>
                <w:sz w:val="15"/>
              </w:rPr>
              <w:t>Capital works; operating subsidy case</w:t>
            </w:r>
          </w:p>
        </w:tc>
      </w:tr>
      <w:tr>
        <w:tc>
          <w:tcPr>
            <w:tcW w:type="dxa" w:w="907"/>
          </w:tcPr>
          <w:p>
            <w:pPr>
              <w:spacing w:after="20" w:before="20"/>
            </w:pPr>
            <w:r>
              <w:rPr>
                <w:b/>
                <w:sz w:val="15"/>
              </w:rPr>
              <w:t>H3</w:t>
            </w:r>
          </w:p>
        </w:tc>
        <w:tc>
          <w:tcPr>
            <w:tcW w:type="dxa" w:w="4535"/>
          </w:tcPr>
          <w:p>
            <w:pPr>
              <w:spacing w:after="20" w:before="20"/>
            </w:pPr>
            <w:r>
              <w:rPr>
                <w:sz w:val="15"/>
              </w:rPr>
              <w:t>Plan routes to maximise jobs reachable, not only ridership. Adopt an accessibility target alongside the ridership target</w:t>
            </w:r>
          </w:p>
        </w:tc>
        <w:tc>
          <w:tcPr>
            <w:tcW w:type="dxa" w:w="2494"/>
          </w:tcPr>
          <w:p>
            <w:pPr>
              <w:spacing w:after="20" w:before="20"/>
            </w:pPr>
            <w:r>
              <w:rPr>
                <w:sz w:val="15"/>
              </w:rPr>
              <w:t>State transport undertakings, city planning departments</w:t>
            </w:r>
          </w:p>
        </w:tc>
        <w:tc>
          <w:tcPr>
            <w:tcW w:type="dxa" w:w="2154"/>
          </w:tcPr>
          <w:p>
            <w:pPr>
              <w:spacing w:after="20" w:before="20"/>
            </w:pPr>
            <w:r>
              <w:rPr>
                <w:sz w:val="15"/>
              </w:rPr>
              <w:t>Comprehensive Mobility Plan targets</w:t>
            </w:r>
          </w:p>
        </w:tc>
      </w:tr>
      <w:tr>
        <w:tc>
          <w:tcPr>
            <w:tcW w:type="dxa" w:w="907"/>
          </w:tcPr>
          <w:p>
            <w:pPr>
              <w:spacing w:after="20" w:before="20"/>
            </w:pPr>
            <w:r>
              <w:rPr>
                <w:b/>
                <w:sz w:val="15"/>
              </w:rPr>
              <w:t>H4</w:t>
            </w:r>
          </w:p>
        </w:tc>
        <w:tc>
          <w:tcPr>
            <w:tcW w:type="dxa" w:w="4535"/>
          </w:tcPr>
          <w:p>
            <w:pPr>
              <w:spacing w:after="20" w:before="20"/>
            </w:pPr>
            <w:r>
              <w:rPr>
                <w:sz w:val="15"/>
              </w:rPr>
              <w:t>Proceed with full electrification on these corridors; size charging to the observed trip length distribution rather than to worst-case assumptions</w:t>
            </w:r>
          </w:p>
        </w:tc>
        <w:tc>
          <w:tcPr>
            <w:tcW w:type="dxa" w:w="2494"/>
          </w:tcPr>
          <w:p>
            <w:pPr>
              <w:spacing w:after="20" w:before="20"/>
            </w:pPr>
            <w:r>
              <w:rPr>
                <w:sz w:val="15"/>
              </w:rPr>
              <w:t>State transport undertakings</w:t>
            </w:r>
          </w:p>
        </w:tc>
        <w:tc>
          <w:tcPr>
            <w:tcW w:type="dxa" w:w="2154"/>
          </w:tcPr>
          <w:p>
            <w:pPr>
              <w:spacing w:after="20" w:before="20"/>
            </w:pPr>
            <w:r>
              <w:rPr>
                <w:sz w:val="15"/>
              </w:rPr>
              <w:t>Detailed project reports; procurement specification</w:t>
            </w:r>
          </w:p>
        </w:tc>
      </w:tr>
      <w:tr>
        <w:tc>
          <w:tcPr>
            <w:tcW w:type="dxa" w:w="907"/>
          </w:tcPr>
          <w:p>
            <w:pPr>
              <w:spacing w:after="20" w:before="20"/>
            </w:pPr>
            <w:r>
              <w:rPr>
                <w:b/>
                <w:sz w:val="15"/>
              </w:rPr>
              <w:t>H5</w:t>
            </w:r>
          </w:p>
        </w:tc>
        <w:tc>
          <w:tcPr>
            <w:tcW w:type="dxa" w:w="4535"/>
          </w:tcPr>
          <w:p>
            <w:pPr>
              <w:spacing w:after="20" w:before="20"/>
            </w:pPr>
            <w:r>
              <w:rPr>
                <w:sz w:val="15"/>
              </w:rPr>
              <w:t>Pre-position fleet and protect the identified critical corridors ahead of monsoon and heat events</w:t>
            </w:r>
          </w:p>
        </w:tc>
        <w:tc>
          <w:tcPr>
            <w:tcW w:type="dxa" w:w="2494"/>
          </w:tcPr>
          <w:p>
            <w:pPr>
              <w:spacing w:after="20" w:before="20"/>
            </w:pPr>
            <w:r>
              <w:rPr>
                <w:sz w:val="15"/>
              </w:rPr>
              <w:t>Municipal disaster management authorities</w:t>
            </w:r>
          </w:p>
        </w:tc>
        <w:tc>
          <w:tcPr>
            <w:tcW w:type="dxa" w:w="2154"/>
          </w:tcPr>
          <w:p>
            <w:pPr>
              <w:spacing w:after="20" w:before="20"/>
            </w:pPr>
            <w:r>
              <w:rPr>
                <w:sz w:val="15"/>
              </w:rPr>
              <w:t>City disaster management plan; adaptation finance</w:t>
            </w:r>
          </w:p>
        </w:tc>
      </w:tr>
      <w:tr>
        <w:tc>
          <w:tcPr>
            <w:tcW w:type="dxa" w:w="907"/>
          </w:tcPr>
          <w:p>
            <w:pPr>
              <w:spacing w:after="20" w:before="20"/>
            </w:pPr>
            <w:r>
              <w:rPr>
                <w:b/>
                <w:sz w:val="15"/>
              </w:rPr>
              <w:t>H6, H7</w:t>
            </w:r>
          </w:p>
        </w:tc>
        <w:tc>
          <w:tcPr>
            <w:tcW w:type="dxa" w:w="4535"/>
          </w:tcPr>
          <w:p>
            <w:pPr>
              <w:spacing w:after="20" w:before="20"/>
            </w:pPr>
            <w:r>
              <w:rPr>
                <w:sz w:val="15"/>
              </w:rPr>
              <w:t>Set fare and concession policy on measured household burden by income group rather than on uniform fares</w:t>
            </w:r>
          </w:p>
        </w:tc>
        <w:tc>
          <w:tcPr>
            <w:tcW w:type="dxa" w:w="2494"/>
          </w:tcPr>
          <w:p>
            <w:pPr>
              <w:spacing w:after="20" w:before="20"/>
            </w:pPr>
            <w:r>
              <w:rPr>
                <w:sz w:val="15"/>
              </w:rPr>
              <w:t>State governments, transport undertakings</w:t>
            </w:r>
          </w:p>
        </w:tc>
        <w:tc>
          <w:tcPr>
            <w:tcW w:type="dxa" w:w="2154"/>
          </w:tcPr>
          <w:p>
            <w:pPr>
              <w:spacing w:after="20" w:before="20"/>
            </w:pPr>
            <w:r>
              <w:rPr>
                <w:sz w:val="15"/>
              </w:rPr>
              <w:t>Fare policy; targeted concession design</w:t>
            </w:r>
          </w:p>
        </w:tc>
      </w:tr>
      <w:tr>
        <w:tc>
          <w:tcPr>
            <w:tcW w:type="dxa" w:w="907"/>
          </w:tcPr>
          <w:p>
            <w:pPr>
              <w:spacing w:after="20" w:before="20"/>
            </w:pPr>
            <w:r>
              <w:rPr>
                <w:b/>
                <w:sz w:val="15"/>
              </w:rPr>
              <w:t>H8</w:t>
            </w:r>
          </w:p>
        </w:tc>
        <w:tc>
          <w:tcPr>
            <w:tcW w:type="dxa" w:w="4535"/>
          </w:tcPr>
          <w:p>
            <w:pPr>
              <w:spacing w:after="20" w:before="20"/>
            </w:pPr>
            <w:r>
              <w:rPr>
                <w:sz w:val="15"/>
              </w:rPr>
              <w:t>Treat bus service in underserved wards as social infrastructure, with a coverage obligation rather than a commercial viability test</w:t>
            </w:r>
          </w:p>
        </w:tc>
        <w:tc>
          <w:tcPr>
            <w:tcW w:type="dxa" w:w="2494"/>
          </w:tcPr>
          <w:p>
            <w:pPr>
              <w:spacing w:after="20" w:before="20"/>
            </w:pPr>
            <w:r>
              <w:rPr>
                <w:sz w:val="15"/>
              </w:rPr>
              <w:t>State governments</w:t>
            </w:r>
          </w:p>
        </w:tc>
        <w:tc>
          <w:tcPr>
            <w:tcW w:type="dxa" w:w="2154"/>
          </w:tcPr>
          <w:p>
            <w:pPr>
              <w:spacing w:after="20" w:before="20"/>
            </w:pPr>
            <w:r>
              <w:rPr>
                <w:sz w:val="15"/>
              </w:rPr>
              <w:t>Route licensing; viability gap funding</w:t>
            </w:r>
          </w:p>
        </w:tc>
      </w:tr>
      <w:tr>
        <w:tc>
          <w:tcPr>
            <w:tcW w:type="dxa" w:w="907"/>
          </w:tcPr>
          <w:p>
            <w:pPr>
              <w:spacing w:after="20" w:before="20"/>
            </w:pPr>
            <w:r>
              <w:rPr>
                <w:b/>
                <w:sz w:val="15"/>
              </w:rPr>
              <w:t>H9</w:t>
            </w:r>
          </w:p>
        </w:tc>
        <w:tc>
          <w:tcPr>
            <w:tcW w:type="dxa" w:w="4535"/>
          </w:tcPr>
          <w:p>
            <w:pPr>
              <w:spacing w:after="20" w:before="20"/>
            </w:pPr>
            <w:r>
              <w:rPr>
                <w:sz w:val="15"/>
              </w:rPr>
              <w:t>Invest in service attributes that women identify as binding, and report female ridership and employment as scheme indicators</w:t>
            </w:r>
          </w:p>
        </w:tc>
        <w:tc>
          <w:tcPr>
            <w:tcW w:type="dxa" w:w="2494"/>
          </w:tcPr>
          <w:p>
            <w:pPr>
              <w:spacing w:after="20" w:before="20"/>
            </w:pPr>
            <w:r>
              <w:rPr>
                <w:sz w:val="15"/>
              </w:rPr>
              <w:t>Transport undertakings, state women and child development departments</w:t>
            </w:r>
          </w:p>
        </w:tc>
        <w:tc>
          <w:tcPr>
            <w:tcW w:type="dxa" w:w="2154"/>
          </w:tcPr>
          <w:p>
            <w:pPr>
              <w:spacing w:after="20" w:before="20"/>
            </w:pPr>
            <w:r>
              <w:rPr>
                <w:sz w:val="15"/>
              </w:rPr>
              <w:t>Gender-responsive budgeting; gender-lens investment</w:t>
            </w:r>
          </w:p>
        </w:tc>
      </w:tr>
      <w:tr>
        <w:tc>
          <w:tcPr>
            <w:tcW w:type="dxa" w:w="907"/>
          </w:tcPr>
          <w:p>
            <w:pPr>
              <w:spacing w:after="20" w:before="20"/>
            </w:pPr>
            <w:r>
              <w:rPr>
                <w:b/>
                <w:sz w:val="15"/>
              </w:rPr>
              <w:t>H10</w:t>
            </w:r>
          </w:p>
        </w:tc>
        <w:tc>
          <w:tcPr>
            <w:tcW w:type="dxa" w:w="4535"/>
          </w:tcPr>
          <w:p>
            <w:pPr>
              <w:spacing w:after="20" w:before="20"/>
            </w:pPr>
            <w:r>
              <w:rPr>
                <w:sz w:val="15"/>
              </w:rPr>
              <w:t>Redesign subsidy targeting where incidence analysis shows leakage away from the poorest</w:t>
            </w:r>
          </w:p>
        </w:tc>
        <w:tc>
          <w:tcPr>
            <w:tcW w:type="dxa" w:w="2494"/>
          </w:tcPr>
          <w:p>
            <w:pPr>
              <w:spacing w:after="20" w:before="20"/>
            </w:pPr>
            <w:r>
              <w:rPr>
                <w:sz w:val="15"/>
              </w:rPr>
              <w:t>State finance and transport departments</w:t>
            </w:r>
          </w:p>
        </w:tc>
        <w:tc>
          <w:tcPr>
            <w:tcW w:type="dxa" w:w="2154"/>
          </w:tcPr>
          <w:p>
            <w:pPr>
              <w:spacing w:after="20" w:before="20"/>
            </w:pPr>
            <w:r>
              <w:rPr>
                <w:sz w:val="15"/>
              </w:rPr>
              <w:t>Subsidy design; direct benefit transfer options</w:t>
            </w:r>
          </w:p>
        </w:tc>
      </w:tr>
      <w:tr>
        <w:tc>
          <w:tcPr>
            <w:tcW w:type="dxa" w:w="907"/>
          </w:tcPr>
          <w:p>
            <w:pPr>
              <w:spacing w:after="20" w:before="20"/>
            </w:pPr>
            <w:r>
              <w:rPr>
                <w:b/>
                <w:sz w:val="15"/>
              </w:rPr>
              <w:t>H11</w:t>
            </w:r>
          </w:p>
        </w:tc>
        <w:tc>
          <w:tcPr>
            <w:tcW w:type="dxa" w:w="4535"/>
          </w:tcPr>
          <w:p>
            <w:pPr>
              <w:spacing w:after="20" w:before="20"/>
            </w:pPr>
            <w:r>
              <w:rPr>
                <w:sz w:val="15"/>
              </w:rPr>
              <w:t>Fund footpaths and last-mile access as health expenditure, not as transport decoration</w:t>
            </w:r>
          </w:p>
        </w:tc>
        <w:tc>
          <w:tcPr>
            <w:tcW w:type="dxa" w:w="2494"/>
          </w:tcPr>
          <w:p>
            <w:pPr>
              <w:spacing w:after="20" w:before="20"/>
            </w:pPr>
            <w:r>
              <w:rPr>
                <w:sz w:val="15"/>
              </w:rPr>
              <w:t>Municipal corporations, health departments</w:t>
            </w:r>
          </w:p>
        </w:tc>
        <w:tc>
          <w:tcPr>
            <w:tcW w:type="dxa" w:w="2154"/>
          </w:tcPr>
          <w:p>
            <w:pPr>
              <w:spacing w:after="20" w:before="20"/>
            </w:pPr>
            <w:r>
              <w:rPr>
                <w:sz w:val="15"/>
              </w:rPr>
              <w:t>Health-transport convergence funding</w:t>
            </w:r>
          </w:p>
        </w:tc>
      </w:tr>
      <w:tr>
        <w:tc>
          <w:tcPr>
            <w:tcW w:type="dxa" w:w="907"/>
          </w:tcPr>
          <w:p>
            <w:pPr>
              <w:spacing w:after="20" w:before="20"/>
            </w:pPr>
            <w:r>
              <w:rPr>
                <w:b/>
                <w:sz w:val="15"/>
              </w:rPr>
              <w:t>H12</w:t>
            </w:r>
          </w:p>
        </w:tc>
        <w:tc>
          <w:tcPr>
            <w:tcW w:type="dxa" w:w="4535"/>
          </w:tcPr>
          <w:p>
            <w:pPr>
              <w:spacing w:after="20" w:before="20"/>
            </w:pPr>
            <w:r>
              <w:rPr>
                <w:sz w:val="15"/>
              </w:rPr>
              <w:t>Accelerate fleet electrification and set cabin air quality standards; present the pollution case at population level, not rider level</w:t>
            </w:r>
          </w:p>
        </w:tc>
        <w:tc>
          <w:tcPr>
            <w:tcW w:type="dxa" w:w="2494"/>
          </w:tcPr>
          <w:p>
            <w:pPr>
              <w:spacing w:after="20" w:before="20"/>
            </w:pPr>
            <w:r>
              <w:rPr>
                <w:sz w:val="15"/>
              </w:rPr>
              <w:t>MoHUA, state pollution control boards</w:t>
            </w:r>
          </w:p>
        </w:tc>
        <w:tc>
          <w:tcPr>
            <w:tcW w:type="dxa" w:w="2154"/>
          </w:tcPr>
          <w:p>
            <w:pPr>
              <w:spacing w:after="20" w:before="20"/>
            </w:pPr>
            <w:r>
              <w:rPr>
                <w:sz w:val="15"/>
              </w:rPr>
              <w:t>National Clean Air Programme convergence</w:t>
            </w:r>
          </w:p>
        </w:tc>
      </w:tr>
      <w:tr>
        <w:tc>
          <w:tcPr>
            <w:tcW w:type="dxa" w:w="907"/>
          </w:tcPr>
          <w:p>
            <w:pPr>
              <w:spacing w:after="20" w:before="20"/>
            </w:pPr>
            <w:r>
              <w:rPr>
                <w:b/>
                <w:sz w:val="15"/>
              </w:rPr>
              <w:t>H13</w:t>
            </w:r>
          </w:p>
        </w:tc>
        <w:tc>
          <w:tcPr>
            <w:tcW w:type="dxa" w:w="4535"/>
          </w:tcPr>
          <w:p>
            <w:pPr>
              <w:spacing w:after="20" w:before="20"/>
            </w:pPr>
            <w:r>
              <w:rPr>
                <w:sz w:val="15"/>
              </w:rPr>
              <w:t>Mandate centre-lane alignment, prohibit counterflow lanes, and require protected crossings at every stop</w:t>
            </w:r>
          </w:p>
        </w:tc>
        <w:tc>
          <w:tcPr>
            <w:tcW w:type="dxa" w:w="2494"/>
          </w:tcPr>
          <w:p>
            <w:pPr>
              <w:spacing w:after="20" w:before="20"/>
            </w:pPr>
            <w:r>
              <w:rPr>
                <w:sz w:val="15"/>
              </w:rPr>
              <w:t>MoRTH, Indian Roads Congress, municipal corporations</w:t>
            </w:r>
          </w:p>
        </w:tc>
        <w:tc>
          <w:tcPr>
            <w:tcW w:type="dxa" w:w="2154"/>
          </w:tcPr>
          <w:p>
            <w:pPr>
              <w:spacing w:after="20" w:before="20"/>
            </w:pPr>
            <w:r>
              <w:rPr>
                <w:sz w:val="15"/>
              </w:rPr>
              <w:t>Design standards; scheme eligibility conditions</w:t>
            </w:r>
          </w:p>
        </w:tc>
      </w:tr>
      <w:tr>
        <w:tc>
          <w:tcPr>
            <w:tcW w:type="dxa" w:w="907"/>
          </w:tcPr>
          <w:p>
            <w:pPr>
              <w:spacing w:after="20" w:before="20"/>
            </w:pPr>
            <w:r>
              <w:rPr>
                <w:b/>
                <w:sz w:val="15"/>
              </w:rPr>
              <w:t>All</w:t>
            </w:r>
          </w:p>
        </w:tc>
        <w:tc>
          <w:tcPr>
            <w:tcW w:type="dxa" w:w="4535"/>
          </w:tcPr>
          <w:p>
            <w:pPr>
              <w:spacing w:after="20" w:before="20"/>
            </w:pPr>
            <w:r>
              <w:rPr>
                <w:sz w:val="15"/>
              </w:rPr>
              <w:t>Publish the four-in-one appraisal tool so any city can generate its own investment case in the format GCF, ADB and the World Bank require</w:t>
            </w:r>
          </w:p>
        </w:tc>
        <w:tc>
          <w:tcPr>
            <w:tcW w:type="dxa" w:w="2494"/>
          </w:tcPr>
          <w:p>
            <w:pPr>
              <w:spacing w:after="20" w:before="20"/>
            </w:pPr>
            <w:r>
              <w:rPr>
                <w:sz w:val="15"/>
              </w:rPr>
              <w:t>CEEW, MoHUA</w:t>
            </w:r>
          </w:p>
        </w:tc>
        <w:tc>
          <w:tcPr>
            <w:tcW w:type="dxa" w:w="2154"/>
          </w:tcPr>
          <w:p>
            <w:pPr>
              <w:spacing w:after="20" w:before="20"/>
            </w:pPr>
            <w:r>
              <w:rPr>
                <w:sz w:val="15"/>
              </w:rPr>
              <w:t>Open-access tool; project preparation</w:t>
            </w:r>
          </w:p>
        </w:tc>
      </w:tr>
    </w:tbl>
    <w:p>
      <w:pPr>
        <w:spacing w:after="40"/>
      </w:pPr>
    </w:p>
    <w:p>
      <w:pPr>
        <w:spacing w:before="260" w:after="60"/>
        <w:pBdr>
          <w:bottom w:val="single" w:sz="6" w:space="3" w:color="006D77"/>
        </w:pBdr>
      </w:pPr>
      <w:r>
        <w:rPr>
          <w:b/>
          <w:color w:val="006D77"/>
          <w:sz w:val="25"/>
        </w:rPr>
        <w:t>8. What we will not claim</w:t>
      </w:r>
    </w:p>
    <w:tbl>
      <w:tblPr>
        <w:tblStyle w:val="TableGrid"/>
        <w:tblW w:type="auto" w:w="0"/>
        <w:jc w:val="center"/>
        <w:tblLook w:firstColumn="1" w:firstRow="1" w:lastColumn="0" w:lastRow="0" w:noHBand="0" w:noVBand="1" w:val="04A0"/>
      </w:tblPr>
      <w:tblGrid>
        <w:gridCol w:w="5213"/>
        <w:gridCol w:w="5213"/>
      </w:tblGrid>
      <w:tr>
        <w:tc>
          <w:tcPr>
            <w:tcW w:type="dxa" w:w="3628"/>
            <w:shd w:val="clear" w:color="auto" w:fill="E8F2F2"/>
          </w:tcPr>
          <w:p>
            <w:pPr>
              <w:spacing w:after="20" w:before="20"/>
            </w:pPr>
            <w:r>
              <w:rPr>
                <w:b/>
                <w:color w:val="006D77"/>
                <w:sz w:val="15"/>
              </w:rPr>
              <w:t>Limit</w:t>
            </w:r>
          </w:p>
        </w:tc>
        <w:tc>
          <w:tcPr>
            <w:tcW w:type="dxa" w:w="6463"/>
            <w:shd w:val="clear" w:color="auto" w:fill="E8F2F2"/>
          </w:tcPr>
          <w:p>
            <w:pPr>
              <w:spacing w:after="20" w:before="20"/>
            </w:pPr>
            <w:r>
              <w:rPr>
                <w:b/>
                <w:color w:val="006D77"/>
                <w:sz w:val="15"/>
              </w:rPr>
              <w:t>Why</w:t>
            </w:r>
          </w:p>
        </w:tc>
      </w:tr>
      <w:tr>
        <w:tc>
          <w:tcPr>
            <w:tcW w:type="dxa" w:w="3628"/>
          </w:tcPr>
          <w:p>
            <w:pPr>
              <w:spacing w:after="20" w:before="20"/>
            </w:pPr>
            <w:r>
              <w:rPr>
                <w:b/>
                <w:sz w:val="15"/>
              </w:rPr>
              <w:t>No city-level causal estimates</w:t>
            </w:r>
          </w:p>
        </w:tc>
        <w:tc>
          <w:tcPr>
            <w:tcW w:type="dxa" w:w="6463"/>
          </w:tcPr>
          <w:p>
            <w:pPr>
              <w:spacing w:after="20" w:before="20"/>
            </w:pPr>
            <w:r>
              <w:rPr>
                <w:sz w:val="15"/>
              </w:rPr>
              <w:t>At 1,000 households per city the detectable effect is implausibly large. Pooled with city fixed effects is the primary specification</w:t>
            </w:r>
          </w:p>
        </w:tc>
      </w:tr>
      <w:tr>
        <w:tc>
          <w:tcPr>
            <w:tcW w:type="dxa" w:w="3628"/>
          </w:tcPr>
          <w:p>
            <w:pPr>
              <w:spacing w:after="20" w:before="20"/>
            </w:pPr>
            <w:r>
              <w:rPr>
                <w:b/>
                <w:sz w:val="15"/>
              </w:rPr>
              <w:t>No significance test on the equity interaction, unless stratified sampling is adopted</w:t>
            </w:r>
          </w:p>
        </w:tc>
        <w:tc>
          <w:tcPr>
            <w:tcW w:type="dxa" w:w="6463"/>
          </w:tcPr>
          <w:p>
            <w:pPr>
              <w:spacing w:after="20" w:before="20"/>
            </w:pPr>
            <w:r>
              <w:rPr>
                <w:sz w:val="15"/>
              </w:rPr>
              <w:t>Underpowered at 6,000. Stratified estimates with intervals will be reported instead</w:t>
            </w:r>
          </w:p>
        </w:tc>
      </w:tr>
      <w:tr>
        <w:tc>
          <w:tcPr>
            <w:tcW w:type="dxa" w:w="3628"/>
          </w:tcPr>
          <w:p>
            <w:pPr>
              <w:spacing w:after="20" w:before="20"/>
            </w:pPr>
            <w:r>
              <w:rPr>
                <w:b/>
                <w:sz w:val="15"/>
              </w:rPr>
              <w:t>No claim that bus riders breathe less than car occupants</w:t>
            </w:r>
          </w:p>
        </w:tc>
        <w:tc>
          <w:tcPr>
            <w:tcW w:type="dxa" w:w="6463"/>
          </w:tcPr>
          <w:p>
            <w:pPr>
              <w:spacing w:after="20" w:before="20"/>
            </w:pPr>
            <w:r>
              <w:rPr>
                <w:sz w:val="15"/>
              </w:rPr>
              <w:t>Indian measurements put in-bus particulate levels above air-conditioned cars. The pollution case is made at population level</w:t>
            </w:r>
          </w:p>
        </w:tc>
      </w:tr>
      <w:tr>
        <w:tc>
          <w:tcPr>
            <w:tcW w:type="dxa" w:w="3628"/>
          </w:tcPr>
          <w:p>
            <w:pPr>
              <w:spacing w:after="20" w:before="20"/>
            </w:pPr>
            <w:r>
              <w:rPr>
                <w:b/>
                <w:sz w:val="15"/>
              </w:rPr>
              <w:t>No unconditional road safety claim</w:t>
            </w:r>
          </w:p>
        </w:tc>
        <w:tc>
          <w:tcPr>
            <w:tcW w:type="dxa" w:w="6463"/>
          </w:tcPr>
          <w:p>
            <w:pPr>
              <w:spacing w:after="20" w:before="20"/>
            </w:pPr>
            <w:r>
              <w:rPr>
                <w:sz w:val="15"/>
              </w:rPr>
              <w:t>Vulnerable road users are the large majority of Indian road deaths and buses are involved in a substantial share. The safety claim is conditional on corridor design</w:t>
            </w:r>
          </w:p>
        </w:tc>
      </w:tr>
      <w:tr>
        <w:tc>
          <w:tcPr>
            <w:tcW w:type="dxa" w:w="3628"/>
          </w:tcPr>
          <w:p>
            <w:pPr>
              <w:spacing w:after="20" w:before="20"/>
            </w:pPr>
            <w:r>
              <w:rPr>
                <w:b/>
                <w:sz w:val="15"/>
              </w:rPr>
              <w:t>No single social return figure presented alone</w:t>
            </w:r>
          </w:p>
        </w:tc>
        <w:tc>
          <w:tcPr>
            <w:tcW w:type="dxa" w:w="6463"/>
          </w:tcPr>
          <w:p>
            <w:pPr>
              <w:spacing w:after="20" w:before="20"/>
            </w:pPr>
            <w:r>
              <w:rPr>
                <w:sz w:val="15"/>
              </w:rPr>
              <w:t>Valuation choices are contestable. A conventional cost-benefit ratio will be reported alongside, and the value of statistical life will be shown as a band across the published Indian estimates</w:t>
            </w:r>
          </w:p>
        </w:tc>
      </w:tr>
      <w:tr>
        <w:tc>
          <w:tcPr>
            <w:tcW w:type="dxa" w:w="3628"/>
          </w:tcPr>
          <w:p>
            <w:pPr>
              <w:spacing w:after="20" w:before="20"/>
            </w:pPr>
            <w:r>
              <w:rPr>
                <w:b/>
                <w:sz w:val="15"/>
              </w:rPr>
              <w:t>No transfer of international effect sizes</w:t>
            </w:r>
          </w:p>
        </w:tc>
        <w:tc>
          <w:tcPr>
            <w:tcW w:type="dxa" w:w="6463"/>
          </w:tcPr>
          <w:p>
            <w:pPr>
              <w:spacing w:after="20" w:before="20"/>
            </w:pPr>
            <w:r>
              <w:rPr>
                <w:sz w:val="15"/>
              </w:rPr>
              <w:t>The evidence base is thin for India precisely because transferability is untested. International studies inform design, not results</w:t>
            </w:r>
          </w:p>
        </w:tc>
      </w:tr>
    </w:tbl>
    <w:p>
      <w:pPr>
        <w:spacing w:after="40"/>
      </w:pPr>
    </w:p>
    <w:p>
      <w:pPr>
        <w:spacing w:after="80"/>
      </w:pPr>
      <w:r>
        <w:rPr>
          <w:i/>
          <w:color w:val="555555"/>
          <w:sz w:val="19"/>
        </w:rPr>
        <w:t>Committing to these limits before the data arrives is what separates the framework from advocacy, and it is what CEEW’s independence requires.</w:t>
      </w:r>
    </w:p>
    <w:p>
      <w:pPr>
        <w:spacing w:before="260" w:after="60"/>
        <w:pBdr>
          <w:bottom w:val="single" w:sz="6" w:space="3" w:color="006D77"/>
        </w:pBdr>
      </w:pPr>
      <w:r>
        <w:rPr>
          <w:b/>
          <w:color w:val="006D77"/>
          <w:sz w:val="25"/>
        </w:rPr>
        <w:t>9. Sequence</w:t>
      </w:r>
    </w:p>
    <w:tbl>
      <w:tblPr>
        <w:tblStyle w:val="TableGrid"/>
        <w:tblW w:type="auto" w:w="0"/>
        <w:jc w:val="center"/>
        <w:tblLook w:firstColumn="1" w:firstRow="1" w:lastColumn="0" w:lastRow="0" w:noHBand="0" w:noVBand="1" w:val="04A0"/>
      </w:tblPr>
      <w:tblGrid>
        <w:gridCol w:w="5213"/>
        <w:gridCol w:w="5213"/>
      </w:tblGrid>
      <w:tr>
        <w:tc>
          <w:tcPr>
            <w:tcW w:type="dxa" w:w="794"/>
            <w:shd w:val="clear" w:color="auto" w:fill="E8F2F2"/>
          </w:tcPr>
          <w:p>
            <w:pPr>
              <w:spacing w:after="20" w:before="20"/>
            </w:pPr>
            <w:r>
              <w:rPr>
                <w:b/>
                <w:color w:val="006D77"/>
                <w:sz w:val="15"/>
              </w:rPr>
              <w:t>Stage</w:t>
            </w:r>
          </w:p>
        </w:tc>
        <w:tc>
          <w:tcPr>
            <w:tcW w:type="dxa" w:w="9298"/>
            <w:shd w:val="clear" w:color="auto" w:fill="E8F2F2"/>
          </w:tcPr>
          <w:p>
            <w:pPr>
              <w:spacing w:after="20" w:before="20"/>
            </w:pPr>
            <w:r>
              <w:rPr>
                <w:b/>
                <w:color w:val="006D77"/>
                <w:sz w:val="15"/>
              </w:rPr>
              <w:t>Action</w:t>
            </w:r>
          </w:p>
        </w:tc>
      </w:tr>
      <w:tr>
        <w:tc>
          <w:tcPr>
            <w:tcW w:type="dxa" w:w="794"/>
          </w:tcPr>
          <w:p>
            <w:pPr>
              <w:spacing w:after="20" w:before="20"/>
            </w:pPr>
            <w:r>
              <w:rPr>
                <w:b/>
                <w:sz w:val="15"/>
              </w:rPr>
              <w:t>1</w:t>
            </w:r>
          </w:p>
        </w:tc>
        <w:tc>
          <w:tcPr>
            <w:tcW w:type="dxa" w:w="9298"/>
          </w:tcPr>
          <w:p>
            <w:pPr>
              <w:spacing w:after="20" w:before="20"/>
            </w:pPr>
            <w:r>
              <w:rPr>
                <w:sz w:val="15"/>
              </w:rPr>
              <w:t>Pilot to estimate intra-cluster correlation and wave-to-wave correlation; fix ward counts and resolve the Group B attrition gap</w:t>
            </w:r>
          </w:p>
        </w:tc>
      </w:tr>
      <w:tr>
        <w:tc>
          <w:tcPr>
            <w:tcW w:type="dxa" w:w="794"/>
          </w:tcPr>
          <w:p>
            <w:pPr>
              <w:spacing w:after="20" w:before="20"/>
            </w:pPr>
            <w:r>
              <w:rPr>
                <w:b/>
                <w:sz w:val="15"/>
              </w:rPr>
              <w:t>2</w:t>
            </w:r>
          </w:p>
        </w:tc>
        <w:tc>
          <w:tcPr>
            <w:tcW w:type="dxa" w:w="9298"/>
          </w:tcPr>
          <w:p>
            <w:pPr>
              <w:spacing w:after="20" w:before="20"/>
            </w:pPr>
            <w:r>
              <w:rPr>
                <w:sz w:val="15"/>
              </w:rPr>
              <w:t>Test H1 to H5 on passive data alone. These need no survey and produce the first policy output</w:t>
            </w:r>
          </w:p>
        </w:tc>
      </w:tr>
      <w:tr>
        <w:tc>
          <w:tcPr>
            <w:tcW w:type="dxa" w:w="794"/>
          </w:tcPr>
          <w:p>
            <w:pPr>
              <w:spacing w:after="20" w:before="20"/>
            </w:pPr>
            <w:r>
              <w:rPr>
                <w:b/>
                <w:sz w:val="15"/>
              </w:rPr>
              <w:t>3</w:t>
            </w:r>
          </w:p>
        </w:tc>
        <w:tc>
          <w:tcPr>
            <w:tcW w:type="dxa" w:w="9298"/>
          </w:tcPr>
          <w:p>
            <w:pPr>
              <w:spacing w:after="20" w:before="20"/>
            </w:pPr>
            <w:r>
              <w:rPr>
                <w:sz w:val="15"/>
              </w:rPr>
              <w:t>Build and validate the mode classifier with GTFS route matching; recruit the labelled subsample</w:t>
            </w:r>
          </w:p>
        </w:tc>
      </w:tr>
      <w:tr>
        <w:tc>
          <w:tcPr>
            <w:tcW w:type="dxa" w:w="794"/>
          </w:tcPr>
          <w:p>
            <w:pPr>
              <w:spacing w:after="20" w:before="20"/>
            </w:pPr>
            <w:r>
              <w:rPr>
                <w:b/>
                <w:sz w:val="15"/>
              </w:rPr>
              <w:t>4</w:t>
            </w:r>
          </w:p>
        </w:tc>
        <w:tc>
          <w:tcPr>
            <w:tcW w:type="dxa" w:w="9298"/>
          </w:tcPr>
          <w:p>
            <w:pPr>
              <w:spacing w:after="20" w:before="20"/>
            </w:pPr>
            <w:r>
              <w:rPr>
                <w:sz w:val="15"/>
              </w:rPr>
              <w:t>Finalise the survey instrument around the hypotheses that survive</w:t>
            </w:r>
          </w:p>
        </w:tc>
      </w:tr>
      <w:tr>
        <w:tc>
          <w:tcPr>
            <w:tcW w:type="dxa" w:w="794"/>
          </w:tcPr>
          <w:p>
            <w:pPr>
              <w:spacing w:after="20" w:before="20"/>
            </w:pPr>
            <w:r>
              <w:rPr>
                <w:b/>
                <w:sz w:val="15"/>
              </w:rPr>
              <w:t>5</w:t>
            </w:r>
          </w:p>
        </w:tc>
        <w:tc>
          <w:tcPr>
            <w:tcW w:type="dxa" w:w="9298"/>
          </w:tcPr>
          <w:p>
            <w:pPr>
              <w:spacing w:after="20" w:before="20"/>
            </w:pPr>
            <w:r>
              <w:rPr>
                <w:sz w:val="15"/>
              </w:rPr>
              <w:t>Field Group A cross-section and Group B baseline</w:t>
            </w:r>
          </w:p>
        </w:tc>
      </w:tr>
      <w:tr>
        <w:tc>
          <w:tcPr>
            <w:tcW w:type="dxa" w:w="794"/>
          </w:tcPr>
          <w:p>
            <w:pPr>
              <w:spacing w:after="20" w:before="20"/>
            </w:pPr>
            <w:r>
              <w:rPr>
                <w:b/>
                <w:sz w:val="15"/>
              </w:rPr>
              <w:t>6</w:t>
            </w:r>
          </w:p>
        </w:tc>
        <w:tc>
          <w:tcPr>
            <w:tcW w:type="dxa" w:w="9298"/>
          </w:tcPr>
          <w:p>
            <w:pPr>
              <w:spacing w:after="20" w:before="20"/>
            </w:pPr>
            <w:r>
              <w:rPr>
                <w:sz w:val="15"/>
              </w:rPr>
              <w:t>Run WHO HEAT for an early health number while the full model is built</w:t>
            </w:r>
          </w:p>
        </w:tc>
      </w:tr>
      <w:tr>
        <w:tc>
          <w:tcPr>
            <w:tcW w:type="dxa" w:w="794"/>
          </w:tcPr>
          <w:p>
            <w:pPr>
              <w:spacing w:after="20" w:before="20"/>
            </w:pPr>
            <w:r>
              <w:rPr>
                <w:b/>
                <w:sz w:val="15"/>
              </w:rPr>
              <w:t>7</w:t>
            </w:r>
          </w:p>
        </w:tc>
        <w:tc>
          <w:tcPr>
            <w:tcW w:type="dxa" w:w="9298"/>
          </w:tcPr>
          <w:p>
            <w:pPr>
              <w:spacing w:after="20" w:before="20"/>
            </w:pPr>
            <w:r>
              <w:rPr>
                <w:sz w:val="15"/>
              </w:rPr>
              <w:t>Group B follow-up wave once service has run six to twelve months</w:t>
            </w:r>
          </w:p>
        </w:tc>
      </w:tr>
      <w:tr>
        <w:tc>
          <w:tcPr>
            <w:tcW w:type="dxa" w:w="794"/>
          </w:tcPr>
          <w:p>
            <w:pPr>
              <w:spacing w:after="20" w:before="20"/>
            </w:pPr>
            <w:r>
              <w:rPr>
                <w:b/>
                <w:sz w:val="15"/>
              </w:rPr>
              <w:t>8</w:t>
            </w:r>
          </w:p>
        </w:tc>
        <w:tc>
          <w:tcPr>
            <w:tcW w:type="dxa" w:w="9298"/>
          </w:tcPr>
          <w:p>
            <w:pPr>
              <w:spacing w:after="20" w:before="20"/>
            </w:pPr>
            <w:r>
              <w:rPr>
                <w:sz w:val="15"/>
              </w:rPr>
              <w:t>Estimate M1 and M2, monetise, run switching values, publish the tool</w:t>
            </w:r>
          </w:p>
        </w:tc>
      </w:tr>
    </w:tbl>
    <w:p>
      <w:pPr>
        <w:spacing w:after="40"/>
      </w:pP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